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4BB4376D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4BB4376D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4BB4376D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P="228944C0" w:rsidRDefault="006F219D" w14:paraId="0E4EB1B2" w14:textId="21E26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  <w:shd w:val="clear" w:color="auto" w:fill="FFE599"/>
              </w:rPr>
            </w:pPr>
            <w:r w:rsidRPr="228944C0" w:rsidR="6FB5A79A">
              <w:rPr>
                <w:rFonts w:ascii="Calibri" w:hAnsi="Calibri" w:eastAsia="Calibri" w:cs="Calibri"/>
                <w:i w:val="1"/>
                <w:iCs w:val="1"/>
                <w:color w:val="000000"/>
              </w:rPr>
              <w:t>Esta actividad le permitirá determinar el grado de apropiación de los contenidos del componente formativo</w:t>
            </w:r>
            <w:r w:rsidRPr="228944C0" w:rsidR="7FFD83C7">
              <w:rPr>
                <w:rFonts w:ascii="Calibri" w:hAnsi="Calibri" w:eastAsia="Calibri" w:cs="Calibri"/>
                <w:i w:val="1"/>
                <w:iCs w:val="1"/>
                <w:color w:val="000000"/>
              </w:rPr>
              <w:t xml:space="preserve"> </w:t>
            </w:r>
            <w:r w:rsidRPr="228944C0" w:rsidR="13D89382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Identificación y análisis del cliente ideal </w:t>
            </w:r>
            <w:r w:rsidRPr="228944C0" w:rsidR="3D1DDD10">
              <w:rPr>
                <w:rFonts w:ascii="Calibri" w:hAnsi="Calibri" w:eastAsia="Calibri" w:cs="Calibri"/>
                <w:i w:val="1"/>
                <w:iCs w:val="1"/>
                <w:color w:val="000000"/>
                <w:shd w:val="clear" w:color="auto" w:fill="D9D9D9" w:themeFill="background1" w:themeFillShade="D9"/>
              </w:rPr>
              <w:t>.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57B0F" w:rsidTr="4BB4376D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4BB4376D" w:rsidRDefault="00822B52" w14:paraId="60B4012D" w14:textId="65A21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BB4376D" w:rsidR="2FDC5850">
              <w:rPr>
                <w:rFonts w:ascii="Calibri" w:hAnsi="Calibri" w:eastAsia="Calibri" w:cs="Calibri"/>
                <w:i w:val="1"/>
                <w:iCs w:val="1"/>
                <w:color w:val="auto"/>
              </w:rPr>
              <w:t>E</w:t>
            </w:r>
            <w:r w:rsidRPr="4BB4376D" w:rsidR="4FD11DE0">
              <w:rPr>
                <w:rFonts w:ascii="Calibri" w:hAnsi="Calibri" w:eastAsia="Calibri" w:cs="Calibri"/>
                <w:i w:val="1"/>
                <w:iCs w:val="1"/>
                <w:color w:val="auto"/>
              </w:rPr>
              <w:t>l</w:t>
            </w:r>
            <w:r w:rsidRPr="4BB4376D" w:rsidR="4FD11DE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cliente ideal</w:t>
            </w:r>
            <w:r w:rsidRPr="4BB4376D" w:rsidR="4793BC49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C57B0F" w:rsidTr="4BB4376D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228944C0" w:rsidRDefault="00F03327" w14:paraId="79A04D82" w14:textId="2B86A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28944C0" w:rsidR="4793BC49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Validar el conocimiento adquirido sobre la </w:t>
            </w:r>
            <w:r w:rsidRPr="228944C0" w:rsidR="31457B92">
              <w:rPr>
                <w:rFonts w:ascii="Calibri" w:hAnsi="Calibri" w:eastAsia="Calibri" w:cs="Calibri"/>
                <w:i w:val="1"/>
                <w:iCs w:val="1"/>
                <w:color w:val="auto"/>
              </w:rPr>
              <w:t>gestión e identificación de los clientes</w:t>
            </w:r>
            <w:r w:rsidRPr="228944C0" w:rsidR="4793BC49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C57B0F" w:rsidTr="4BB4376D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4BB4376D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4BB4376D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RDefault="00DA2455" w14:paraId="73542B6F" w14:textId="71880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DA245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concepto de cliente ideal, también conocido como Buyer Persona, es una representación ficticia del cliente promedio de una empresa.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4BB4376D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4CEC4D6E" w14:textId="0A9558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4BB4376D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DA2455" w14:paraId="0F73ACCC" w14:textId="1E78AD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4BB4376D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DA2455" w14:paraId="5B7DC219" w14:textId="531CD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¡Correcto! El Buyer Persona es una representación detallada y semi-ficticia basada en datos reales, que refleja las características y necesidades de los clientes más valiosos para la empresa.</w:t>
            </w:r>
          </w:p>
        </w:tc>
      </w:tr>
      <w:tr w:rsidR="00C57B0F" w:rsidTr="4BB4376D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DA2455" w14:paraId="484D921F" w14:textId="77E1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Incorrecto. El Buyer Persona no es una simple representación ficticia del cliente promedio; es un perfil detallado basado en datos reales que ayuda a entender mejor a los clientes más valiosos para la empresa.</w:t>
            </w:r>
          </w:p>
        </w:tc>
      </w:tr>
      <w:tr w:rsidR="00C57B0F" w:rsidTr="4BB4376D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DA2455" w:rsidR="00C57B0F" w:rsidRDefault="00DA2455" w14:paraId="1B7CAEBC" w14:textId="0AAF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segmentación de mercados solo considera factores demográficos para clasificar a los clientes.</w:t>
            </w:r>
          </w:p>
        </w:tc>
      </w:tr>
      <w:tr w:rsidR="00C57B0F" w:rsidTr="4BB4376D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03389B73" w14:textId="34B49CE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4BB4376D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822675" w14:paraId="20A71059" w14:textId="62E98C3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4BB4376D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DA2455" w14:paraId="317B5FC6" w14:textId="4F26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¡Correcto! La segmentación de mercados considera factores demográficos, geográficos, psicográficos y conductuales para clasificar a los clientes de manera efectiva.</w:t>
            </w:r>
          </w:p>
        </w:tc>
      </w:tr>
      <w:tr w:rsidR="00C57B0F" w:rsidTr="4BB4376D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DA2455" w14:paraId="476BD9A2" w14:textId="3FA6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Incorrecto. La segmentación de mercados no se limita a factores demográficos; también incluye geográficos, psicográficos y conductuales.</w:t>
            </w:r>
          </w:p>
        </w:tc>
      </w:tr>
      <w:tr w:rsidR="00C57B0F" w:rsidTr="4BB4376D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A2455" w:rsidR="00C57B0F" w:rsidRDefault="00DA2455" w14:paraId="61D73A45" w14:textId="08609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Utilizar herramientas como Google Trends y SEMrush puede ayudar a identificar tendencias del mercado y oportunidades de negocio.</w:t>
            </w:r>
          </w:p>
        </w:tc>
      </w:tr>
      <w:tr w:rsidR="00C57B0F" w:rsidTr="4BB4376D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7844D1" w14:paraId="2DEA1E69" w14:textId="58CE0BF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4BB4376D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7459CED2" w14:textId="73AEA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4BB4376D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DA2455" w14:paraId="78C5ECCB" w14:textId="6014B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¡Correcto! Estas herramientas proporcionan información valiosa sobre tendencias de búsqueda y análisis de la competencia, lo que ayuda a identificar oportunidades de negocio.</w:t>
            </w:r>
          </w:p>
        </w:tc>
      </w:tr>
      <w:tr w:rsidR="00C57B0F" w:rsidTr="4BB4376D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902CCE" w:rsidRDefault="00DA2455" w14:paraId="2902B640" w14:textId="6979B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Incorrecto. Herramientas como Google Trends y SEMrush son esenciales para identificar tendencias del mercado y oportunidades de negocio, proporcionando datos cruciales para la estrategia comercial.</w:t>
            </w:r>
          </w:p>
        </w:tc>
      </w:tr>
      <w:tr w:rsidR="00C57B0F" w:rsidTr="4BB4376D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DA2455" w:rsidR="00C57B0F" w:rsidRDefault="00DA2455" w14:paraId="4D6D2B7B" w14:textId="27F6C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 perfil de cliente ideal debe incluir información sobre los hábitos de compra y la lealtad a la marca.</w:t>
            </w:r>
          </w:p>
        </w:tc>
      </w:tr>
      <w:tr w:rsidR="00C57B0F" w:rsidTr="4BB4376D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F321DB" w14:paraId="67A2608D" w14:textId="1FDB5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4BB4376D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4363353C" w14:textId="3C5333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4BB4376D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DA2455" w14:paraId="747E4A24" w14:textId="2972B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¡Correcto! Los hábitos de compra y la lealtad a la marca son aspectos conductuales críticos que deben incluirse en un perfil de cliente ideal para entender mejor a los clientes.</w:t>
            </w:r>
          </w:p>
        </w:tc>
      </w:tr>
      <w:tr w:rsidR="00C57B0F" w:rsidTr="4BB4376D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DA2455" w14:paraId="231C98AB" w14:textId="506D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Incorrecto. Es importante incluir información sobre hábitos de compra y lealtad a la marca en el perfil del cliente ideal para tener una comprensión completa de los comportamientos de los clientes.</w:t>
            </w:r>
          </w:p>
        </w:tc>
      </w:tr>
      <w:tr w:rsidR="00C57B0F" w:rsidTr="4BB4376D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A2455" w:rsidR="00C57B0F" w:rsidP="00DA2455" w:rsidRDefault="00DA2455" w14:paraId="42742D49" w14:textId="15EE91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creación de Buyer Personas no es relevante para las estrategias de marketing y ventas de una empresa.</w:t>
            </w:r>
          </w:p>
        </w:tc>
      </w:tr>
      <w:tr w:rsidR="00C57B0F" w:rsidTr="4BB4376D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5DFF5F4F" w14:textId="6CE590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4BB4376D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09090B" w14:paraId="6CAA8A0E" w14:textId="30CABD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4BB4376D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DA2455" w14:paraId="547EA69B" w14:textId="2EF6F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¡Correcto! La creación de Buyer Personas es fundamental para alinear las estrategias de marketing y ventas con las expectativas y necesidades reales de los clientes.</w:t>
            </w:r>
          </w:p>
        </w:tc>
      </w:tr>
      <w:tr w:rsidR="00C57B0F" w:rsidTr="4BB4376D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DA2455" w14:paraId="5ED92D06" w14:textId="6F948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Incorrecto. La creación de Buyer Personas es crucial para desarrollar estrategias de marketing y ventas efectivas que se alineen con las necesidades y expectativas de los clientes.</w:t>
            </w:r>
          </w:p>
        </w:tc>
      </w:tr>
      <w:tr w:rsidR="00C57B0F" w:rsidTr="4BB4376D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RDefault="00DA2455" w14:paraId="6E665151" w14:textId="67F21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DA245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Las encuestas y entrevistas son métodos efectivos para recopilar información directa de los clientes.</w:t>
            </w:r>
          </w:p>
        </w:tc>
      </w:tr>
      <w:tr w:rsidR="00C57B0F" w:rsidTr="4BB4376D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BD183E" w14:paraId="7144C3D7" w14:textId="4A8D1B7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4BB4376D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0F224258" w14:textId="22649D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4BB4376D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DA2455" w14:paraId="632BB5D3" w14:textId="6AFE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¡Correcto! Las encuestas y entrevistas son métodos valiosos para obtener insights directos sobre las preferencias y necesidades de los clientes.</w:t>
            </w:r>
          </w:p>
        </w:tc>
      </w:tr>
      <w:tr w:rsidR="00C57B0F" w:rsidTr="4BB4376D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DA2455" w14:paraId="6B3062F0" w14:textId="1B638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DA2455">
              <w:rPr>
                <w:rFonts w:ascii="Calibri" w:hAnsi="Calibri" w:eastAsia="Calibri" w:cs="Calibri"/>
                <w:i/>
                <w:color w:val="auto"/>
              </w:rPr>
              <w:t>Incorrecto. Las encuestas y entrevistas son herramientas efectivas para recopilar información directa y obtener insights valiosos sobre las preferencias de los clientes.</w:t>
            </w:r>
          </w:p>
        </w:tc>
      </w:tr>
      <w:tr w:rsidR="00C57B0F" w:rsidTr="4BB4376D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C57B0F" w:rsidTr="4BB4376D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C57B0F" w:rsidP="00902CCE" w:rsidRDefault="005D6C01" w14:paraId="674AF642" w14:textId="5795A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:rsidTr="4BB4376D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468DDE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DA2455" w14:paraId="62D46FB2" w14:textId="7FD421D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5D6C01" w14:paraId="0ACDF65B" w14:textId="6B9C5D8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Julio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5023" w:rsidRDefault="00315023" w14:paraId="0F71BFF7" w14:textId="77777777">
      <w:pPr>
        <w:spacing w:line="240" w:lineRule="auto"/>
      </w:pPr>
      <w:r>
        <w:separator/>
      </w:r>
    </w:p>
  </w:endnote>
  <w:endnote w:type="continuationSeparator" w:id="0">
    <w:p w:rsidR="00315023" w:rsidRDefault="00315023" w14:paraId="78EAF18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5023" w:rsidRDefault="00315023" w14:paraId="1A2CBEC9" w14:textId="77777777">
      <w:pPr>
        <w:spacing w:line="240" w:lineRule="auto"/>
      </w:pPr>
      <w:r>
        <w:separator/>
      </w:r>
    </w:p>
  </w:footnote>
  <w:footnote w:type="continuationSeparator" w:id="0">
    <w:p w:rsidR="00315023" w:rsidRDefault="00315023" w14:paraId="2F0471F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72738192">
    <w:abstractNumId w:val="1"/>
  </w:num>
  <w:num w:numId="2" w16cid:durableId="11883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15023"/>
    <w:rsid w:val="00383143"/>
    <w:rsid w:val="00391997"/>
    <w:rsid w:val="004A00B2"/>
    <w:rsid w:val="004A5B24"/>
    <w:rsid w:val="004E274A"/>
    <w:rsid w:val="005D1E22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7B02"/>
    <w:rsid w:val="00996CB7"/>
    <w:rsid w:val="009A36D1"/>
    <w:rsid w:val="009B224D"/>
    <w:rsid w:val="009C2A48"/>
    <w:rsid w:val="009D1BF1"/>
    <w:rsid w:val="009D37F0"/>
    <w:rsid w:val="00A50801"/>
    <w:rsid w:val="00B02B81"/>
    <w:rsid w:val="00B33D03"/>
    <w:rsid w:val="00B63D1C"/>
    <w:rsid w:val="00BB561B"/>
    <w:rsid w:val="00BD183E"/>
    <w:rsid w:val="00C0495F"/>
    <w:rsid w:val="00C57B0F"/>
    <w:rsid w:val="00CA2567"/>
    <w:rsid w:val="00CD3981"/>
    <w:rsid w:val="00CF6CED"/>
    <w:rsid w:val="00D154B7"/>
    <w:rsid w:val="00D16CEB"/>
    <w:rsid w:val="00D96770"/>
    <w:rsid w:val="00DA2455"/>
    <w:rsid w:val="00EA1809"/>
    <w:rsid w:val="00ED3B41"/>
    <w:rsid w:val="00F03327"/>
    <w:rsid w:val="00F22708"/>
    <w:rsid w:val="00F321DB"/>
    <w:rsid w:val="00F52AA1"/>
    <w:rsid w:val="13D89382"/>
    <w:rsid w:val="228944C0"/>
    <w:rsid w:val="2FDC5850"/>
    <w:rsid w:val="31457B92"/>
    <w:rsid w:val="3D1DDD10"/>
    <w:rsid w:val="474EE353"/>
    <w:rsid w:val="4793BC49"/>
    <w:rsid w:val="4BB4376D"/>
    <w:rsid w:val="4FD11DE0"/>
    <w:rsid w:val="6FB5A79A"/>
    <w:rsid w:val="7D87F7D6"/>
    <w:rsid w:val="7FFD8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0" w:customStyle="true">
    <w:uiPriority w:val="1"/>
    <w:name w:val="Normal0"/>
    <w:basedOn w:val="Normal"/>
    <w:qFormat/>
    <w:rsid w:val="228944C0"/>
    <w:rPr>
      <w:rFonts w:ascii="Arial" w:hAnsi="Arial" w:eastAsia="Arial" w:cs="Arial"/>
      <w:sz w:val="22"/>
      <w:szCs w:val="22"/>
      <w:lang w:val="es-CO" w:eastAsia="ja-JP" w:bidi="ar-SA"/>
    </w:rPr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D52D69-8D44-4764-9DC4-235C5628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Luis Fernando Botero Mendoza</lastModifiedBy>
  <revision>5</revision>
  <dcterms:created xsi:type="dcterms:W3CDTF">2024-08-12T14:22:00.0000000Z</dcterms:created>
  <dcterms:modified xsi:type="dcterms:W3CDTF">2024-08-13T12:55:32.7588328Z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2024-08-12T14:22:09Z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def0bfd3-6e35-4bee-8bf1-a01a2cb55aa4</vt:lpwstr>
  </property>
  <property fmtid="{D5CDD505-2E9C-101B-9397-08002B2CF9AE}" pid="10" name="MSIP_Label_fc111285-cafa-4fc9-8a9a-bd902089b24f_ContentBits">
    <vt:lpwstr>0</vt:lpwstr>
  </property>
</Properties>
</file>