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004B0CF3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86069" w:rsidRPr="00486069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Ventas comunicación y negociación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4C4C817" w:rsidR="00C57B0F" w:rsidRPr="000E3ADC" w:rsidRDefault="0048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86069">
              <w:rPr>
                <w:rFonts w:ascii="Calibri" w:eastAsia="Calibri" w:hAnsi="Calibri" w:cs="Calibri"/>
                <w:i/>
                <w:color w:val="auto"/>
              </w:rPr>
              <w:t>El tipo de cliente.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1343F9E" w:rsidR="00C57B0F" w:rsidRPr="000E3ADC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03327">
              <w:rPr>
                <w:rFonts w:ascii="Calibri" w:eastAsia="Calibri" w:hAnsi="Calibri" w:cs="Calibri"/>
                <w:i/>
                <w:color w:val="auto"/>
              </w:rPr>
              <w:t>Validar el conocimiento adquirido sobre l</w:t>
            </w:r>
            <w:r w:rsidR="00E6514C">
              <w:rPr>
                <w:rFonts w:ascii="Calibri" w:eastAsia="Calibri" w:hAnsi="Calibri" w:cs="Calibri"/>
                <w:i/>
                <w:color w:val="auto"/>
              </w:rPr>
              <w:t>os tipos de clientes.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73807452" w:rsidR="00C57B0F" w:rsidRPr="000E3ADC" w:rsidRDefault="0048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8606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modelo de negocio B2B se refiere a las transacciones entre consumidores finales.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5246213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FD3477F" w:rsidR="00C57B0F" w:rsidRPr="00CA2567" w:rsidRDefault="0048606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31B2AED" w:rsidR="00C57B0F" w:rsidRPr="000E3ADC" w:rsidRDefault="00486069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86069">
              <w:rPr>
                <w:rFonts w:ascii="Calibri" w:eastAsia="Calibri" w:hAnsi="Calibri" w:cs="Calibri"/>
                <w:i/>
                <w:color w:val="auto"/>
              </w:rPr>
              <w:t>¡Correcto! El modelo B2B se refiere a transacciones entre empresas, no entre consumidores finales.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AC6822B" w:rsidR="00C57B0F" w:rsidRPr="000E3ADC" w:rsidRDefault="0048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86069">
              <w:rPr>
                <w:rFonts w:ascii="Calibri" w:eastAsia="Calibri" w:hAnsi="Calibri" w:cs="Calibri"/>
                <w:i/>
                <w:color w:val="auto"/>
              </w:rPr>
              <w:t>Incorrecto. El modelo B2B involucra transacciones entre empresas, no entre consumidores finales.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6AF8DB8F" w:rsidR="00C57B0F" w:rsidRPr="000E3ADC" w:rsidRDefault="0048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8606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Una de las ventajas del modelo de negocio B2C es que permite a los consumidores comparar fácilmente las características de productos similares.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A94C59D" w:rsidR="00C57B0F" w:rsidRPr="000E3ADC" w:rsidRDefault="0048606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80BDFC7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686F0AA" w:rsidR="00C57B0F" w:rsidRPr="000E3ADC" w:rsidRDefault="0048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86069">
              <w:rPr>
                <w:rFonts w:ascii="Calibri" w:eastAsia="Calibri" w:hAnsi="Calibri" w:cs="Calibri"/>
                <w:i/>
                <w:color w:val="auto"/>
              </w:rPr>
              <w:t>¡Exacto! El modelo B2C facilita la comparación de productos, lo que ayuda a los consumidores a tomar decisiones informadas.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57D0B0EE" w:rsidR="00C57B0F" w:rsidRPr="000E3ADC" w:rsidRDefault="00486069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86069">
              <w:rPr>
                <w:rFonts w:ascii="Calibri" w:eastAsia="Calibri" w:hAnsi="Calibri" w:cs="Calibri"/>
                <w:i/>
                <w:color w:val="auto"/>
              </w:rPr>
              <w:t>Incorrecto. El modelo B2C sí permite a los consumidores comparar productos similares antes de comprarlos.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D344DE4" w:rsidR="00C57B0F" w:rsidRPr="000E3ADC" w:rsidRDefault="0048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8606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 cliente impulsivo prefiere explicaciones detalladas y extensas sobre el producto antes de tomar una decisión de compra.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4A9CF174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01E7CFE1" w:rsidR="00C57B0F" w:rsidRPr="000E3ADC" w:rsidRDefault="0048606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7CEB798" w:rsidR="00C57B0F" w:rsidRPr="000E3ADC" w:rsidRDefault="0048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86069">
              <w:rPr>
                <w:rFonts w:ascii="Calibri" w:eastAsia="Calibri" w:hAnsi="Calibri" w:cs="Calibri"/>
                <w:i/>
                <w:color w:val="auto"/>
              </w:rPr>
              <w:t>¡Exacto! El cliente impulsivo prefiere explicaciones breves y claras, y toma decisiones rápidamente.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23A09D5E" w:rsidR="00C57B0F" w:rsidRPr="000E3ADC" w:rsidRDefault="00486069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86069">
              <w:rPr>
                <w:rFonts w:ascii="Calibri" w:eastAsia="Calibri" w:hAnsi="Calibri" w:cs="Calibri"/>
                <w:i/>
                <w:color w:val="auto"/>
              </w:rPr>
              <w:t>Incorrecto. Los clientes impulsivos prefieren explicaciones cortas y directas, no detalladas y extensas.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1AA15C93" w:rsidR="00C57B0F" w:rsidRDefault="0048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8606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En la negociación acomodativa, el vendedor puede ceder en el corto plazo, esperando beneficios a largo plazo.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0249E42D" w:rsidR="00C57B0F" w:rsidRPr="000E3ADC" w:rsidRDefault="0048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86069">
              <w:rPr>
                <w:rFonts w:ascii="Calibri" w:eastAsia="Calibri" w:hAnsi="Calibri" w:cs="Calibri"/>
                <w:i/>
                <w:color w:val="auto"/>
              </w:rPr>
              <w:t>¡Correcto! La negociación acomodativa implica ceder inicialmente con la esperanza de obtener beneficios a largo plazo.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14B63542" w:rsidR="00C57B0F" w:rsidRPr="000E3ADC" w:rsidRDefault="0048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86069">
              <w:rPr>
                <w:rFonts w:ascii="Calibri" w:eastAsia="Calibri" w:hAnsi="Calibri" w:cs="Calibri"/>
                <w:i/>
                <w:color w:val="auto"/>
              </w:rPr>
              <w:t>Incorrecto. En la negociación acomodativa, el vendedor cede a corto plazo pero espera obtener beneficios futuros.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381406CC" w:rsidR="00C57B0F" w:rsidRDefault="0048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8606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En el modelo C2C, los consumidores no tienen la posibilidad de interactuar directamente entre sí, ya que siempre hay un intermediario involucrado.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46EE618" w:rsidR="00C57B0F" w:rsidRPr="000E3ADC" w:rsidRDefault="0048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86069">
              <w:rPr>
                <w:rFonts w:ascii="Calibri" w:eastAsia="Calibri" w:hAnsi="Calibri" w:cs="Calibri"/>
                <w:i/>
                <w:color w:val="auto"/>
              </w:rPr>
              <w:t>¡Bien hecho! En el modelo C2C, los consumidores interactúan directamente entre ellos sin intermediarios.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10CF72CA" w:rsidR="00C57B0F" w:rsidRPr="000E3ADC" w:rsidRDefault="0048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86069">
              <w:rPr>
                <w:rFonts w:ascii="Calibri" w:eastAsia="Calibri" w:hAnsi="Calibri" w:cs="Calibri"/>
                <w:i/>
                <w:color w:val="auto"/>
              </w:rPr>
              <w:t>Incorrecto. En el modelo C2C, los consumidores pueden interactuar directamente sin la necesidad de un intermediario.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3A2F0A13" w:rsidR="00C57B0F" w:rsidRDefault="0048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8606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modelo G2G se utiliza exclusivamente para transacciones comerciales entre empresas privadas.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39A24C6D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5ABD0D" w:rsidR="00C57B0F" w:rsidRPr="00EA1809" w:rsidRDefault="0048606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1F01E26D" w:rsidR="00C57B0F" w:rsidRPr="00EA1809" w:rsidRDefault="0048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486069">
              <w:rPr>
                <w:rFonts w:ascii="Calibri" w:eastAsia="Calibri" w:hAnsi="Calibri" w:cs="Calibri"/>
                <w:i/>
                <w:color w:val="auto"/>
              </w:rPr>
              <w:t>¡Correcto! El modelo G2G se utiliza para transacciones entre entidades gubernamentales, no entre empresas privadas.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0ECBCBC0" w:rsidR="00C57B0F" w:rsidRPr="00EA1809" w:rsidRDefault="0048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486069">
              <w:rPr>
                <w:rFonts w:ascii="Calibri" w:eastAsia="Calibri" w:hAnsi="Calibri" w:cs="Calibri"/>
                <w:i/>
                <w:color w:val="auto"/>
              </w:rPr>
              <w:t>Incorrecto. El modelo G2G se refiere a transacciones entre entidades gubernamentales, no entre empresas privadas.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95A2C0" w:rsidR="00C57B0F" w:rsidRPr="00996CB7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E03126" w:rsidR="00C0495F" w:rsidRDefault="0048606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Luis Fernando Botero Mendoza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5BA06E9" w:rsidR="00C0495F" w:rsidRDefault="0048606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61DB7" w14:textId="77777777" w:rsidR="00B01747" w:rsidRDefault="00B01747">
      <w:pPr>
        <w:spacing w:line="240" w:lineRule="auto"/>
      </w:pPr>
      <w:r>
        <w:separator/>
      </w:r>
    </w:p>
  </w:endnote>
  <w:endnote w:type="continuationSeparator" w:id="0">
    <w:p w14:paraId="3CE1117F" w14:textId="77777777" w:rsidR="00B01747" w:rsidRDefault="00B01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06701" w14:textId="77777777" w:rsidR="00B01747" w:rsidRDefault="00B01747">
      <w:pPr>
        <w:spacing w:line="240" w:lineRule="auto"/>
      </w:pPr>
      <w:r>
        <w:separator/>
      </w:r>
    </w:p>
  </w:footnote>
  <w:footnote w:type="continuationSeparator" w:id="0">
    <w:p w14:paraId="00330989" w14:textId="77777777" w:rsidR="00B01747" w:rsidRDefault="00B017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383143"/>
    <w:rsid w:val="00391997"/>
    <w:rsid w:val="00486069"/>
    <w:rsid w:val="004A00B2"/>
    <w:rsid w:val="004E274A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805A67"/>
    <w:rsid w:val="00822675"/>
    <w:rsid w:val="00822B52"/>
    <w:rsid w:val="00836FBD"/>
    <w:rsid w:val="00862211"/>
    <w:rsid w:val="00902CCE"/>
    <w:rsid w:val="00917B02"/>
    <w:rsid w:val="00996CB7"/>
    <w:rsid w:val="009A36D1"/>
    <w:rsid w:val="009B224D"/>
    <w:rsid w:val="009C2A48"/>
    <w:rsid w:val="009D1BF1"/>
    <w:rsid w:val="009D37F0"/>
    <w:rsid w:val="00A50801"/>
    <w:rsid w:val="00B01747"/>
    <w:rsid w:val="00B02B81"/>
    <w:rsid w:val="00B33D03"/>
    <w:rsid w:val="00B63D1C"/>
    <w:rsid w:val="00BB561B"/>
    <w:rsid w:val="00BD183E"/>
    <w:rsid w:val="00C0495F"/>
    <w:rsid w:val="00C57B0F"/>
    <w:rsid w:val="00CA2567"/>
    <w:rsid w:val="00CC4530"/>
    <w:rsid w:val="00CD3981"/>
    <w:rsid w:val="00CF6CED"/>
    <w:rsid w:val="00D154B7"/>
    <w:rsid w:val="00D16CEB"/>
    <w:rsid w:val="00D96770"/>
    <w:rsid w:val="00E6514C"/>
    <w:rsid w:val="00EA1809"/>
    <w:rsid w:val="00ED3B41"/>
    <w:rsid w:val="00ED5C0E"/>
    <w:rsid w:val="00F03327"/>
    <w:rsid w:val="00F22708"/>
    <w:rsid w:val="00F321DB"/>
    <w:rsid w:val="00F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4FB914-9B9B-4C54-9545-1BB2C9683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Helio Armando Fernandez Aranda</cp:lastModifiedBy>
  <cp:revision>11</cp:revision>
  <dcterms:created xsi:type="dcterms:W3CDTF">2024-07-20T13:51:00Z</dcterms:created>
  <dcterms:modified xsi:type="dcterms:W3CDTF">2024-08-20T12:36:00Z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