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62288" w14:textId="77777777" w:rsidR="00C20F49" w:rsidRDefault="00000000">
      <w:pPr>
        <w:spacing w:after="0"/>
        <w:jc w:val="center"/>
        <w:rPr>
          <w:rFonts w:ascii="Arial" w:eastAsia="Arial" w:hAnsi="Arial" w:cs="Arial"/>
          <w:b/>
          <w:sz w:val="20"/>
          <w:szCs w:val="20"/>
        </w:rPr>
      </w:pPr>
      <w:r>
        <w:rPr>
          <w:rFonts w:ascii="Arial" w:eastAsia="Arial" w:hAnsi="Arial" w:cs="Arial"/>
          <w:b/>
          <w:sz w:val="20"/>
          <w:szCs w:val="20"/>
        </w:rPr>
        <w:t xml:space="preserve">PROCESO DE GESTIÓN DE FORMACIÓN PROFESIONAL INTEGRAL </w:t>
      </w:r>
    </w:p>
    <w:p w14:paraId="2D378CC8" w14:textId="77777777" w:rsidR="00C20F49" w:rsidRDefault="00000000">
      <w:pPr>
        <w:pBdr>
          <w:top w:val="nil"/>
          <w:left w:val="nil"/>
          <w:bottom w:val="nil"/>
          <w:right w:val="nil"/>
          <w:between w:val="nil"/>
        </w:pBdr>
        <w:tabs>
          <w:tab w:val="left" w:pos="4320"/>
          <w:tab w:val="left" w:pos="4485"/>
          <w:tab w:val="left" w:pos="5445"/>
        </w:tabs>
        <w:spacing w:after="0"/>
        <w:jc w:val="center"/>
        <w:rPr>
          <w:rFonts w:ascii="Arial" w:eastAsia="Arial" w:hAnsi="Arial" w:cs="Arial"/>
          <w:b/>
          <w:sz w:val="20"/>
          <w:szCs w:val="20"/>
        </w:rPr>
      </w:pPr>
      <w:r>
        <w:rPr>
          <w:rFonts w:ascii="Arial" w:eastAsia="Arial" w:hAnsi="Arial" w:cs="Arial"/>
          <w:b/>
          <w:sz w:val="20"/>
          <w:szCs w:val="20"/>
        </w:rPr>
        <w:t>ANEXO COMPONENTE FORMATIVO</w:t>
      </w:r>
    </w:p>
    <w:p w14:paraId="4720922C" w14:textId="77777777" w:rsidR="00C20F49" w:rsidRDefault="00C20F49">
      <w:pPr>
        <w:pBdr>
          <w:top w:val="nil"/>
          <w:left w:val="nil"/>
          <w:bottom w:val="nil"/>
          <w:right w:val="nil"/>
          <w:between w:val="nil"/>
        </w:pBdr>
        <w:tabs>
          <w:tab w:val="left" w:pos="4320"/>
          <w:tab w:val="left" w:pos="4485"/>
          <w:tab w:val="left" w:pos="5445"/>
        </w:tabs>
        <w:spacing w:after="0"/>
        <w:jc w:val="both"/>
        <w:rPr>
          <w:rFonts w:ascii="Arial" w:eastAsia="Arial" w:hAnsi="Arial" w:cs="Arial"/>
          <w:b/>
          <w:sz w:val="20"/>
          <w:szCs w:val="20"/>
        </w:rPr>
      </w:pPr>
    </w:p>
    <w:p w14:paraId="479480B2" w14:textId="77777777" w:rsidR="00C20F49" w:rsidRDefault="00000000">
      <w:pPr>
        <w:pBdr>
          <w:top w:val="nil"/>
          <w:left w:val="nil"/>
          <w:bottom w:val="nil"/>
          <w:right w:val="nil"/>
          <w:between w:val="nil"/>
        </w:pBdr>
        <w:tabs>
          <w:tab w:val="left" w:pos="4320"/>
          <w:tab w:val="left" w:pos="4485"/>
          <w:tab w:val="left" w:pos="5445"/>
        </w:tabs>
        <w:spacing w:after="0"/>
        <w:jc w:val="center"/>
        <w:rPr>
          <w:rFonts w:ascii="Arial" w:eastAsia="Arial" w:hAnsi="Arial" w:cs="Arial"/>
          <w:b/>
          <w:sz w:val="20"/>
          <w:szCs w:val="20"/>
        </w:rPr>
      </w:pPr>
      <w:r>
        <w:rPr>
          <w:rFonts w:ascii="Arial" w:eastAsia="Arial" w:hAnsi="Arial" w:cs="Arial"/>
          <w:b/>
          <w:sz w:val="20"/>
          <w:szCs w:val="20"/>
        </w:rPr>
        <w:t>TIPOS DE NORMALIZACIÓN DE DATOS MÁS COMUNES</w:t>
      </w:r>
    </w:p>
    <w:p w14:paraId="2719F6EB" w14:textId="77777777" w:rsidR="00C20F49" w:rsidRDefault="00C20F49">
      <w:pPr>
        <w:pBdr>
          <w:top w:val="nil"/>
          <w:left w:val="nil"/>
          <w:bottom w:val="nil"/>
          <w:right w:val="nil"/>
          <w:between w:val="nil"/>
        </w:pBdr>
        <w:tabs>
          <w:tab w:val="left" w:pos="4320"/>
          <w:tab w:val="left" w:pos="4485"/>
          <w:tab w:val="left" w:pos="5445"/>
        </w:tabs>
        <w:spacing w:after="0"/>
        <w:jc w:val="center"/>
        <w:rPr>
          <w:rFonts w:ascii="Arial" w:eastAsia="Arial" w:hAnsi="Arial" w:cs="Arial"/>
          <w:b/>
          <w:sz w:val="20"/>
          <w:szCs w:val="20"/>
        </w:rPr>
      </w:pPr>
    </w:p>
    <w:p w14:paraId="2A226F70" w14:textId="77777777" w:rsidR="00C20F49" w:rsidRDefault="00000000">
      <w:pPr>
        <w:jc w:val="both"/>
        <w:rPr>
          <w:rFonts w:ascii="Arial" w:eastAsia="Arial" w:hAnsi="Arial" w:cs="Arial"/>
          <w:sz w:val="20"/>
          <w:szCs w:val="20"/>
          <w:highlight w:val="white"/>
        </w:rPr>
      </w:pPr>
      <w:r>
        <w:rPr>
          <w:rFonts w:ascii="Arial" w:eastAsia="Arial" w:hAnsi="Arial" w:cs="Arial"/>
          <w:sz w:val="20"/>
          <w:szCs w:val="20"/>
        </w:rPr>
        <w:t>Hay diferentes tipos de normalizaciones en estadística: razones adimensionales de errores, residuos, medias y desviaciones estándar, que, por lo tanto, son invariantes en la escala, algunas de las cuales pueden resumirse de la siguiente manera. Tenga en cuenta que, en términos de niveles de medición, estas proporciones solo tienen sentido para las mediciones de razón (donde las proporciones de las mediciones son significativas), no para las mediciones de intervalo (donde solo las distancias son significativas, pero no las proporciones). Consulte también Categoría: Ratios estadísticos.</w:t>
      </w:r>
    </w:p>
    <w:tbl>
      <w:tblPr>
        <w:tblStyle w:val="a2"/>
        <w:tblW w:w="9956" w:type="dxa"/>
        <w:tblInd w:w="0" w:type="dxa"/>
        <w:tblBorders>
          <w:top w:val="single" w:sz="6" w:space="0" w:color="A2A9B1"/>
          <w:left w:val="single" w:sz="6" w:space="0" w:color="A2A9B1"/>
          <w:bottom w:val="single" w:sz="6" w:space="0" w:color="A2A9B1"/>
          <w:right w:val="single" w:sz="6" w:space="0" w:color="A2A9B1"/>
        </w:tblBorders>
        <w:tblLayout w:type="fixed"/>
        <w:tblLook w:val="0400" w:firstRow="0" w:lastRow="0" w:firstColumn="0" w:lastColumn="0" w:noHBand="0" w:noVBand="1"/>
      </w:tblPr>
      <w:tblGrid>
        <w:gridCol w:w="1482"/>
        <w:gridCol w:w="2562"/>
        <w:gridCol w:w="5912"/>
      </w:tblGrid>
      <w:tr w:rsidR="00C20F49" w14:paraId="06D259E5" w14:textId="77777777">
        <w:trPr>
          <w:trHeight w:val="226"/>
        </w:trPr>
        <w:tc>
          <w:tcPr>
            <w:tcW w:w="1482" w:type="dxa"/>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tcPr>
          <w:p w14:paraId="0619DBE8" w14:textId="77777777" w:rsidR="00C20F49" w:rsidRDefault="00000000">
            <w:pPr>
              <w:spacing w:after="240" w:line="240" w:lineRule="auto"/>
              <w:jc w:val="center"/>
              <w:rPr>
                <w:rFonts w:ascii="Arial" w:eastAsia="Arial" w:hAnsi="Arial" w:cs="Arial"/>
                <w:b/>
                <w:color w:val="202122"/>
                <w:sz w:val="20"/>
                <w:szCs w:val="20"/>
              </w:rPr>
            </w:pPr>
            <w:r>
              <w:rPr>
                <w:rFonts w:ascii="Arial" w:eastAsia="Arial" w:hAnsi="Arial" w:cs="Arial"/>
                <w:b/>
                <w:color w:val="202122"/>
                <w:sz w:val="20"/>
                <w:szCs w:val="20"/>
              </w:rPr>
              <w:t>Nombre</w:t>
            </w:r>
          </w:p>
        </w:tc>
        <w:tc>
          <w:tcPr>
            <w:tcW w:w="2562" w:type="dxa"/>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tcPr>
          <w:p w14:paraId="2915F9F2" w14:textId="77777777" w:rsidR="00C20F49" w:rsidRDefault="00000000">
            <w:pPr>
              <w:spacing w:after="240" w:line="240" w:lineRule="auto"/>
              <w:jc w:val="center"/>
              <w:rPr>
                <w:rFonts w:ascii="Arial" w:eastAsia="Arial" w:hAnsi="Arial" w:cs="Arial"/>
                <w:b/>
                <w:color w:val="202122"/>
                <w:sz w:val="20"/>
                <w:szCs w:val="20"/>
              </w:rPr>
            </w:pPr>
            <w:r>
              <w:rPr>
                <w:rFonts w:ascii="Arial" w:eastAsia="Arial" w:hAnsi="Arial" w:cs="Arial"/>
                <w:b/>
                <w:color w:val="202122"/>
                <w:sz w:val="20"/>
                <w:szCs w:val="20"/>
              </w:rPr>
              <w:t>Fórmula</w:t>
            </w:r>
          </w:p>
        </w:tc>
        <w:tc>
          <w:tcPr>
            <w:tcW w:w="5912" w:type="dxa"/>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tcPr>
          <w:p w14:paraId="4B228843" w14:textId="77777777" w:rsidR="00C20F49" w:rsidRDefault="00000000">
            <w:pPr>
              <w:spacing w:after="240" w:line="240" w:lineRule="auto"/>
              <w:jc w:val="center"/>
              <w:rPr>
                <w:rFonts w:ascii="Arial" w:eastAsia="Arial" w:hAnsi="Arial" w:cs="Arial"/>
                <w:b/>
                <w:color w:val="202122"/>
                <w:sz w:val="20"/>
                <w:szCs w:val="20"/>
              </w:rPr>
            </w:pPr>
            <w:r>
              <w:rPr>
                <w:rFonts w:ascii="Arial" w:eastAsia="Arial" w:hAnsi="Arial" w:cs="Arial"/>
                <w:b/>
                <w:color w:val="202122"/>
                <w:sz w:val="20"/>
                <w:szCs w:val="20"/>
              </w:rPr>
              <w:t>Usar</w:t>
            </w:r>
          </w:p>
        </w:tc>
      </w:tr>
      <w:tr w:rsidR="00C20F49" w14:paraId="7864F6C7" w14:textId="77777777">
        <w:trPr>
          <w:trHeight w:val="819"/>
        </w:trPr>
        <w:tc>
          <w:tcPr>
            <w:tcW w:w="1482" w:type="dxa"/>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tcPr>
          <w:p w14:paraId="4ECF5AB7" w14:textId="77777777" w:rsidR="00C20F49" w:rsidRDefault="00000000">
            <w:pPr>
              <w:spacing w:after="240" w:line="240" w:lineRule="auto"/>
              <w:rPr>
                <w:rFonts w:ascii="Arial" w:eastAsia="Arial" w:hAnsi="Arial" w:cs="Arial"/>
                <w:sz w:val="20"/>
                <w:szCs w:val="20"/>
              </w:rPr>
            </w:pPr>
            <w:r>
              <w:rPr>
                <w:rFonts w:ascii="Arial" w:eastAsia="Arial" w:hAnsi="Arial" w:cs="Arial"/>
                <w:sz w:val="20"/>
                <w:szCs w:val="20"/>
              </w:rPr>
              <w:t>Puntuación estándar</w:t>
            </w:r>
          </w:p>
        </w:tc>
        <w:tc>
          <w:tcPr>
            <w:tcW w:w="2562" w:type="dxa"/>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tcPr>
          <w:p w14:paraId="03D804FD" w14:textId="77777777" w:rsidR="00C20F49" w:rsidRDefault="00000000">
            <w:pPr>
              <w:spacing w:after="240" w:line="240" w:lineRule="auto"/>
              <w:rPr>
                <w:rFonts w:ascii="Arial" w:eastAsia="Arial" w:hAnsi="Arial" w:cs="Arial"/>
                <w:sz w:val="20"/>
                <w:szCs w:val="20"/>
              </w:rPr>
            </w:pPr>
            <w:r>
              <w:rPr>
                <w:rFonts w:ascii="Arial" w:eastAsia="Arial" w:hAnsi="Arial" w:cs="Arial"/>
                <w:noProof/>
                <w:sz w:val="20"/>
                <w:szCs w:val="20"/>
              </w:rPr>
              <w:drawing>
                <wp:inline distT="0" distB="0" distL="0" distR="0" wp14:anchorId="3C0390E3" wp14:editId="6FDA3B57">
                  <wp:extent cx="533400" cy="409575"/>
                  <wp:effectExtent l="0" t="0" r="0" b="0"/>
                  <wp:docPr id="1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33400" cy="409575"/>
                          </a:xfrm>
                          <a:prstGeom prst="rect">
                            <a:avLst/>
                          </a:prstGeom>
                          <a:ln/>
                        </pic:spPr>
                      </pic:pic>
                    </a:graphicData>
                  </a:graphic>
                </wp:inline>
              </w:drawing>
            </w:r>
          </w:p>
        </w:tc>
        <w:tc>
          <w:tcPr>
            <w:tcW w:w="5912" w:type="dxa"/>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tcPr>
          <w:p w14:paraId="1143FD9C" w14:textId="77777777" w:rsidR="00C20F49" w:rsidRDefault="00000000">
            <w:pPr>
              <w:spacing w:after="240" w:line="240" w:lineRule="auto"/>
              <w:rPr>
                <w:rFonts w:ascii="Arial" w:eastAsia="Arial" w:hAnsi="Arial" w:cs="Arial"/>
                <w:sz w:val="20"/>
                <w:szCs w:val="20"/>
              </w:rPr>
            </w:pPr>
            <w:r>
              <w:rPr>
                <w:rFonts w:ascii="Arial" w:eastAsia="Arial" w:hAnsi="Arial" w:cs="Arial"/>
                <w:sz w:val="20"/>
                <w:szCs w:val="20"/>
              </w:rPr>
              <w:t>Normalización de errores cuando se conocen los parámetros poblacionales. Funciona bien para poblaciones que se distribuyen normalmente.</w:t>
            </w:r>
          </w:p>
        </w:tc>
      </w:tr>
      <w:tr w:rsidR="00C20F49" w14:paraId="0F402C40" w14:textId="77777777">
        <w:tc>
          <w:tcPr>
            <w:tcW w:w="1482" w:type="dxa"/>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tcPr>
          <w:p w14:paraId="545C1778" w14:textId="77777777" w:rsidR="00C20F49" w:rsidRDefault="00000000">
            <w:pPr>
              <w:spacing w:after="240" w:line="240" w:lineRule="auto"/>
              <w:rPr>
                <w:rFonts w:ascii="Arial" w:eastAsia="Arial" w:hAnsi="Arial" w:cs="Arial"/>
                <w:sz w:val="20"/>
                <w:szCs w:val="20"/>
              </w:rPr>
            </w:pPr>
            <w:r>
              <w:rPr>
                <w:rFonts w:ascii="Arial" w:eastAsia="Arial" w:hAnsi="Arial" w:cs="Arial"/>
                <w:sz w:val="20"/>
                <w:szCs w:val="20"/>
              </w:rPr>
              <w:t xml:space="preserve">Estadístico t de </w:t>
            </w:r>
            <w:proofErr w:type="spellStart"/>
            <w:r>
              <w:rPr>
                <w:rFonts w:ascii="Arial" w:eastAsia="Arial" w:hAnsi="Arial" w:cs="Arial"/>
                <w:sz w:val="20"/>
                <w:szCs w:val="20"/>
              </w:rPr>
              <w:t>Student</w:t>
            </w:r>
            <w:proofErr w:type="spellEnd"/>
          </w:p>
        </w:tc>
        <w:tc>
          <w:tcPr>
            <w:tcW w:w="2562" w:type="dxa"/>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tcPr>
          <w:p w14:paraId="6BFD3513" w14:textId="77777777" w:rsidR="00C20F49" w:rsidRDefault="00000000">
            <w:pPr>
              <w:spacing w:after="240" w:line="240" w:lineRule="auto"/>
              <w:rPr>
                <w:rFonts w:ascii="Arial" w:eastAsia="Arial" w:hAnsi="Arial" w:cs="Arial"/>
                <w:sz w:val="20"/>
                <w:szCs w:val="20"/>
              </w:rPr>
            </w:pPr>
            <w:r>
              <w:rPr>
                <w:rFonts w:ascii="Arial" w:eastAsia="Arial" w:hAnsi="Arial" w:cs="Arial"/>
                <w:noProof/>
                <w:sz w:val="20"/>
                <w:szCs w:val="20"/>
              </w:rPr>
              <w:drawing>
                <wp:inline distT="0" distB="0" distL="0" distR="0" wp14:anchorId="22236182" wp14:editId="42607717">
                  <wp:extent cx="590550" cy="571500"/>
                  <wp:effectExtent l="0" t="0" r="0" b="0"/>
                  <wp:docPr id="1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0550" cy="571500"/>
                          </a:xfrm>
                          <a:prstGeom prst="rect">
                            <a:avLst/>
                          </a:prstGeom>
                          <a:ln/>
                        </pic:spPr>
                      </pic:pic>
                    </a:graphicData>
                  </a:graphic>
                </wp:inline>
              </w:drawing>
            </w:r>
          </w:p>
        </w:tc>
        <w:tc>
          <w:tcPr>
            <w:tcW w:w="5912" w:type="dxa"/>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tcPr>
          <w:p w14:paraId="6BEA1BFA" w14:textId="77777777" w:rsidR="00C20F49" w:rsidRDefault="00000000">
            <w:pPr>
              <w:spacing w:after="240" w:line="240" w:lineRule="auto"/>
              <w:rPr>
                <w:rFonts w:ascii="Arial" w:eastAsia="Arial" w:hAnsi="Arial" w:cs="Arial"/>
                <w:sz w:val="20"/>
                <w:szCs w:val="20"/>
              </w:rPr>
            </w:pPr>
            <w:r>
              <w:rPr>
                <w:rFonts w:ascii="Arial" w:eastAsia="Arial" w:hAnsi="Arial" w:cs="Arial"/>
                <w:sz w:val="20"/>
                <w:szCs w:val="20"/>
              </w:rPr>
              <w:t>La desviación del valor estimado de un parámetro de su valor hipotético, normalizado por su error estándar.</w:t>
            </w:r>
          </w:p>
        </w:tc>
      </w:tr>
      <w:tr w:rsidR="00C20F49" w14:paraId="5EE4CCF0" w14:textId="77777777">
        <w:tc>
          <w:tcPr>
            <w:tcW w:w="1482" w:type="dxa"/>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tcPr>
          <w:p w14:paraId="2BEE526B" w14:textId="77777777" w:rsidR="00C20F49" w:rsidRDefault="00000000">
            <w:pPr>
              <w:spacing w:after="240" w:line="240" w:lineRule="auto"/>
              <w:rPr>
                <w:rFonts w:ascii="Arial" w:eastAsia="Arial" w:hAnsi="Arial" w:cs="Arial"/>
                <w:sz w:val="20"/>
                <w:szCs w:val="20"/>
              </w:rPr>
            </w:pPr>
            <w:r>
              <w:rPr>
                <w:rFonts w:ascii="Arial" w:eastAsia="Arial" w:hAnsi="Arial" w:cs="Arial"/>
                <w:sz w:val="20"/>
                <w:szCs w:val="20"/>
              </w:rPr>
              <w:t xml:space="preserve">Residuo </w:t>
            </w:r>
            <w:proofErr w:type="spellStart"/>
            <w:r>
              <w:rPr>
                <w:rFonts w:ascii="Arial" w:eastAsia="Arial" w:hAnsi="Arial" w:cs="Arial"/>
                <w:sz w:val="20"/>
                <w:szCs w:val="20"/>
              </w:rPr>
              <w:t>estudentizado</w:t>
            </w:r>
            <w:proofErr w:type="spellEnd"/>
          </w:p>
        </w:tc>
        <w:tc>
          <w:tcPr>
            <w:tcW w:w="2562" w:type="dxa"/>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tcPr>
          <w:p w14:paraId="70DC8B11" w14:textId="77777777" w:rsidR="00C20F49" w:rsidRDefault="00000000">
            <w:pPr>
              <w:spacing w:after="240" w:line="240" w:lineRule="auto"/>
              <w:rPr>
                <w:rFonts w:ascii="Arial" w:eastAsia="Arial" w:hAnsi="Arial" w:cs="Arial"/>
                <w:sz w:val="20"/>
                <w:szCs w:val="20"/>
              </w:rPr>
            </w:pPr>
            <w:r>
              <w:rPr>
                <w:rFonts w:ascii="Arial" w:eastAsia="Arial" w:hAnsi="Arial" w:cs="Arial"/>
                <w:noProof/>
                <w:sz w:val="20"/>
                <w:szCs w:val="20"/>
                <w:highlight w:val="white"/>
              </w:rPr>
              <w:drawing>
                <wp:inline distT="0" distB="0" distL="0" distR="0" wp14:anchorId="09C59669" wp14:editId="7C27E094">
                  <wp:extent cx="1123950" cy="457200"/>
                  <wp:effectExtent l="0" t="0" r="0" b="0"/>
                  <wp:docPr id="1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1123950" cy="457200"/>
                          </a:xfrm>
                          <a:prstGeom prst="rect">
                            <a:avLst/>
                          </a:prstGeom>
                          <a:ln/>
                        </pic:spPr>
                      </pic:pic>
                    </a:graphicData>
                  </a:graphic>
                </wp:inline>
              </w:drawing>
            </w:r>
          </w:p>
        </w:tc>
        <w:tc>
          <w:tcPr>
            <w:tcW w:w="5912" w:type="dxa"/>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tcPr>
          <w:p w14:paraId="57CFEDDB" w14:textId="77777777" w:rsidR="00C20F49" w:rsidRDefault="00000000">
            <w:pPr>
              <w:spacing w:after="240" w:line="240" w:lineRule="auto"/>
              <w:rPr>
                <w:rFonts w:ascii="Arial" w:eastAsia="Arial" w:hAnsi="Arial" w:cs="Arial"/>
                <w:sz w:val="20"/>
                <w:szCs w:val="20"/>
              </w:rPr>
            </w:pPr>
            <w:r>
              <w:rPr>
                <w:rFonts w:ascii="Arial" w:eastAsia="Arial" w:hAnsi="Arial" w:cs="Arial"/>
                <w:sz w:val="20"/>
                <w:szCs w:val="20"/>
              </w:rPr>
              <w:t>Normalizar los residuos cuando se estiman los parámetros, particularmente en diferentes puntos de datos en el análisis de regresión.</w:t>
            </w:r>
          </w:p>
        </w:tc>
      </w:tr>
      <w:tr w:rsidR="00C20F49" w14:paraId="677D9809" w14:textId="77777777">
        <w:tc>
          <w:tcPr>
            <w:tcW w:w="1482" w:type="dxa"/>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tcPr>
          <w:p w14:paraId="0A96FFFD" w14:textId="77777777" w:rsidR="00C20F49" w:rsidRDefault="00000000">
            <w:pPr>
              <w:spacing w:after="240" w:line="240" w:lineRule="auto"/>
              <w:rPr>
                <w:rFonts w:ascii="Arial" w:eastAsia="Arial" w:hAnsi="Arial" w:cs="Arial"/>
                <w:sz w:val="20"/>
                <w:szCs w:val="20"/>
              </w:rPr>
            </w:pPr>
            <w:r>
              <w:rPr>
                <w:rFonts w:ascii="Arial" w:eastAsia="Arial" w:hAnsi="Arial" w:cs="Arial"/>
                <w:sz w:val="20"/>
                <w:szCs w:val="20"/>
              </w:rPr>
              <w:t>Momento estandarizado</w:t>
            </w:r>
          </w:p>
        </w:tc>
        <w:tc>
          <w:tcPr>
            <w:tcW w:w="2562" w:type="dxa"/>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tcPr>
          <w:p w14:paraId="5DE7367E" w14:textId="77777777" w:rsidR="00C20F49" w:rsidRDefault="00000000">
            <w:pPr>
              <w:spacing w:after="240" w:line="240" w:lineRule="auto"/>
              <w:rPr>
                <w:rFonts w:ascii="Arial" w:eastAsia="Arial" w:hAnsi="Arial" w:cs="Arial"/>
                <w:sz w:val="20"/>
                <w:szCs w:val="20"/>
              </w:rPr>
            </w:pPr>
            <w:r>
              <w:rPr>
                <w:rFonts w:ascii="Arial" w:eastAsia="Arial" w:hAnsi="Arial" w:cs="Arial"/>
                <w:noProof/>
                <w:sz w:val="20"/>
                <w:szCs w:val="20"/>
                <w:highlight w:val="white"/>
              </w:rPr>
              <w:drawing>
                <wp:inline distT="0" distB="0" distL="0" distR="0" wp14:anchorId="20DF94F0" wp14:editId="3C6188BD">
                  <wp:extent cx="257175" cy="390525"/>
                  <wp:effectExtent l="0" t="0" r="0" b="0"/>
                  <wp:docPr id="12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257175" cy="390525"/>
                          </a:xfrm>
                          <a:prstGeom prst="rect">
                            <a:avLst/>
                          </a:prstGeom>
                          <a:ln/>
                        </pic:spPr>
                      </pic:pic>
                    </a:graphicData>
                  </a:graphic>
                </wp:inline>
              </w:drawing>
            </w:r>
          </w:p>
        </w:tc>
        <w:tc>
          <w:tcPr>
            <w:tcW w:w="5912" w:type="dxa"/>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tcPr>
          <w:p w14:paraId="0A2278B6" w14:textId="77777777" w:rsidR="00C20F49" w:rsidRDefault="00000000">
            <w:pPr>
              <w:spacing w:after="240" w:line="240" w:lineRule="auto"/>
              <w:rPr>
                <w:rFonts w:ascii="Arial" w:eastAsia="Arial" w:hAnsi="Arial" w:cs="Arial"/>
                <w:sz w:val="20"/>
                <w:szCs w:val="20"/>
              </w:rPr>
            </w:pPr>
            <w:r>
              <w:rPr>
                <w:rFonts w:ascii="Arial" w:eastAsia="Arial" w:hAnsi="Arial" w:cs="Arial"/>
                <w:sz w:val="20"/>
                <w:szCs w:val="20"/>
              </w:rPr>
              <w:t xml:space="preserve">Normalizando momentos, usando la desviación estándar    </w:t>
            </w:r>
            <w:r>
              <w:rPr>
                <w:rFonts w:ascii="Arial" w:eastAsia="Arial" w:hAnsi="Arial" w:cs="Arial"/>
                <w:noProof/>
                <w:sz w:val="20"/>
                <w:szCs w:val="20"/>
              </w:rPr>
              <w:drawing>
                <wp:inline distT="0" distB="0" distL="0" distR="0" wp14:anchorId="04C7946E" wp14:editId="7795E44C">
                  <wp:extent cx="104775" cy="123825"/>
                  <wp:effectExtent l="0" t="0" r="0" b="0"/>
                  <wp:docPr id="12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104775" cy="123825"/>
                          </a:xfrm>
                          <a:prstGeom prst="rect">
                            <a:avLst/>
                          </a:prstGeom>
                          <a:ln/>
                        </pic:spPr>
                      </pic:pic>
                    </a:graphicData>
                  </a:graphic>
                </wp:inline>
              </w:drawing>
            </w:r>
            <w:r>
              <w:rPr>
                <w:rFonts w:ascii="Arial" w:eastAsia="Arial" w:hAnsi="Arial" w:cs="Arial"/>
                <w:sz w:val="20"/>
                <w:szCs w:val="20"/>
              </w:rPr>
              <w:t xml:space="preserve">  como medida de escala.</w:t>
            </w:r>
          </w:p>
        </w:tc>
      </w:tr>
      <w:tr w:rsidR="00C20F49" w14:paraId="1C74ADAD" w14:textId="77777777">
        <w:tc>
          <w:tcPr>
            <w:tcW w:w="1482" w:type="dxa"/>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tcPr>
          <w:p w14:paraId="583E7AC4" w14:textId="77777777" w:rsidR="00C20F49" w:rsidRDefault="00000000">
            <w:pPr>
              <w:spacing w:after="240" w:line="240" w:lineRule="auto"/>
              <w:rPr>
                <w:rFonts w:ascii="Arial" w:eastAsia="Arial" w:hAnsi="Arial" w:cs="Arial"/>
                <w:sz w:val="20"/>
                <w:szCs w:val="20"/>
              </w:rPr>
            </w:pPr>
            <w:r>
              <w:rPr>
                <w:rFonts w:ascii="Arial" w:eastAsia="Arial" w:hAnsi="Arial" w:cs="Arial"/>
                <w:sz w:val="20"/>
                <w:szCs w:val="20"/>
              </w:rPr>
              <w:t>Coeficiente de</w:t>
            </w:r>
            <w:r>
              <w:rPr>
                <w:rFonts w:ascii="Arial" w:eastAsia="Arial" w:hAnsi="Arial" w:cs="Arial"/>
                <w:sz w:val="20"/>
                <w:szCs w:val="20"/>
              </w:rPr>
              <w:br/>
              <w:t>variación</w:t>
            </w:r>
          </w:p>
        </w:tc>
        <w:tc>
          <w:tcPr>
            <w:tcW w:w="2562" w:type="dxa"/>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tcPr>
          <w:p w14:paraId="6FF8A7D0" w14:textId="77777777" w:rsidR="00C20F49" w:rsidRDefault="00000000">
            <w:pPr>
              <w:spacing w:after="240" w:line="240" w:lineRule="auto"/>
              <w:rPr>
                <w:rFonts w:ascii="Arial" w:eastAsia="Arial" w:hAnsi="Arial" w:cs="Arial"/>
                <w:sz w:val="20"/>
                <w:szCs w:val="20"/>
              </w:rPr>
            </w:pPr>
            <w:r>
              <w:rPr>
                <w:rFonts w:ascii="Arial" w:eastAsia="Arial" w:hAnsi="Arial" w:cs="Arial"/>
                <w:noProof/>
                <w:sz w:val="20"/>
                <w:szCs w:val="20"/>
                <w:highlight w:val="white"/>
              </w:rPr>
              <w:drawing>
                <wp:inline distT="0" distB="0" distL="0" distR="0" wp14:anchorId="4C643B7C" wp14:editId="3C4AD1E6">
                  <wp:extent cx="231206" cy="526636"/>
                  <wp:effectExtent l="0" t="0" r="0" b="0"/>
                  <wp:docPr id="1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31206" cy="526636"/>
                          </a:xfrm>
                          <a:prstGeom prst="rect">
                            <a:avLst/>
                          </a:prstGeom>
                          <a:ln/>
                        </pic:spPr>
                      </pic:pic>
                    </a:graphicData>
                  </a:graphic>
                </wp:inline>
              </w:drawing>
            </w:r>
          </w:p>
        </w:tc>
        <w:tc>
          <w:tcPr>
            <w:tcW w:w="5912" w:type="dxa"/>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tcPr>
          <w:p w14:paraId="314AC502" w14:textId="77777777" w:rsidR="00C20F49" w:rsidRDefault="00000000">
            <w:pPr>
              <w:spacing w:after="240" w:line="240" w:lineRule="auto"/>
              <w:rPr>
                <w:rFonts w:ascii="Arial" w:eastAsia="Arial" w:hAnsi="Arial" w:cs="Arial"/>
                <w:sz w:val="20"/>
                <w:szCs w:val="20"/>
              </w:rPr>
            </w:pPr>
            <w:r>
              <w:rPr>
                <w:rFonts w:ascii="Arial" w:eastAsia="Arial" w:hAnsi="Arial" w:cs="Arial"/>
                <w:sz w:val="20"/>
                <w:szCs w:val="20"/>
              </w:rPr>
              <w:t>Normalizando la dispersión, usando la media  </w:t>
            </w:r>
            <w:r>
              <w:rPr>
                <w:rFonts w:ascii="Arial" w:eastAsia="Arial" w:hAnsi="Arial" w:cs="Arial"/>
                <w:noProof/>
                <w:sz w:val="20"/>
                <w:szCs w:val="20"/>
              </w:rPr>
              <w:drawing>
                <wp:inline distT="0" distB="0" distL="0" distR="0" wp14:anchorId="1D6333D5" wp14:editId="01C82C9A">
                  <wp:extent cx="104775" cy="161925"/>
                  <wp:effectExtent l="0" t="0" r="0" b="0"/>
                  <wp:docPr id="12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104775" cy="161925"/>
                          </a:xfrm>
                          <a:prstGeom prst="rect">
                            <a:avLst/>
                          </a:prstGeom>
                          <a:ln/>
                        </pic:spPr>
                      </pic:pic>
                    </a:graphicData>
                  </a:graphic>
                </wp:inline>
              </w:drawing>
            </w:r>
            <w:r>
              <w:rPr>
                <w:rFonts w:ascii="Arial" w:eastAsia="Arial" w:hAnsi="Arial" w:cs="Arial"/>
                <w:sz w:val="20"/>
                <w:szCs w:val="20"/>
              </w:rPr>
              <w:t xml:space="preserve">    como medida de escala, en particular para la distribución positiva, como la distribución exponencial y la distribución de Poisson.</w:t>
            </w:r>
          </w:p>
        </w:tc>
      </w:tr>
      <w:tr w:rsidR="00C20F49" w14:paraId="392A765F" w14:textId="77777777">
        <w:tc>
          <w:tcPr>
            <w:tcW w:w="1482" w:type="dxa"/>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tcPr>
          <w:p w14:paraId="4337986B" w14:textId="77777777" w:rsidR="00C20F49" w:rsidRDefault="00000000">
            <w:pPr>
              <w:spacing w:after="240" w:line="240" w:lineRule="auto"/>
              <w:rPr>
                <w:rFonts w:ascii="Arial" w:eastAsia="Arial" w:hAnsi="Arial" w:cs="Arial"/>
                <w:sz w:val="20"/>
                <w:szCs w:val="20"/>
              </w:rPr>
            </w:pPr>
            <w:r>
              <w:rPr>
                <w:rFonts w:ascii="Arial" w:eastAsia="Arial" w:hAnsi="Arial" w:cs="Arial"/>
                <w:sz w:val="20"/>
                <w:szCs w:val="20"/>
              </w:rPr>
              <w:t>Escalado de características mínimo-máximo</w:t>
            </w:r>
          </w:p>
        </w:tc>
        <w:tc>
          <w:tcPr>
            <w:tcW w:w="2562" w:type="dxa"/>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tcPr>
          <w:p w14:paraId="46DF2127" w14:textId="77777777" w:rsidR="00C20F49" w:rsidRDefault="00000000">
            <w:pPr>
              <w:spacing w:after="240" w:line="240" w:lineRule="auto"/>
              <w:rPr>
                <w:rFonts w:ascii="Arial" w:eastAsia="Arial" w:hAnsi="Arial" w:cs="Arial"/>
                <w:sz w:val="20"/>
                <w:szCs w:val="20"/>
              </w:rPr>
            </w:pPr>
            <w:r>
              <w:rPr>
                <w:rFonts w:ascii="Arial" w:eastAsia="Arial" w:hAnsi="Arial" w:cs="Arial"/>
                <w:noProof/>
                <w:sz w:val="20"/>
                <w:szCs w:val="20"/>
                <w:highlight w:val="white"/>
              </w:rPr>
              <w:drawing>
                <wp:inline distT="0" distB="0" distL="0" distR="0" wp14:anchorId="7763C897" wp14:editId="4A132EFC">
                  <wp:extent cx="1495425" cy="428625"/>
                  <wp:effectExtent l="0" t="0" r="0" b="0"/>
                  <wp:docPr id="12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1495425" cy="428625"/>
                          </a:xfrm>
                          <a:prstGeom prst="rect">
                            <a:avLst/>
                          </a:prstGeom>
                          <a:ln/>
                        </pic:spPr>
                      </pic:pic>
                    </a:graphicData>
                  </a:graphic>
                </wp:inline>
              </w:drawing>
            </w:r>
          </w:p>
        </w:tc>
        <w:tc>
          <w:tcPr>
            <w:tcW w:w="5912" w:type="dxa"/>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tcPr>
          <w:p w14:paraId="7907BEAA" w14:textId="77777777" w:rsidR="00C20F49" w:rsidRDefault="00000000">
            <w:pPr>
              <w:spacing w:after="240" w:line="240" w:lineRule="auto"/>
              <w:rPr>
                <w:rFonts w:ascii="Arial" w:eastAsia="Arial" w:hAnsi="Arial" w:cs="Arial"/>
                <w:sz w:val="20"/>
                <w:szCs w:val="20"/>
              </w:rPr>
            </w:pPr>
            <w:bookmarkStart w:id="0" w:name="_heading=h.gjdgxs" w:colFirst="0" w:colLast="0"/>
            <w:bookmarkEnd w:id="0"/>
            <w:r>
              <w:rPr>
                <w:rFonts w:ascii="Arial" w:eastAsia="Arial" w:hAnsi="Arial" w:cs="Arial"/>
                <w:sz w:val="20"/>
                <w:szCs w:val="20"/>
              </w:rPr>
              <w:t>La escala de características se usa para traer todos los valores al rango [0,1]. Esto también se denomina normalización basada en unidades. Esto se puede generalizar para restringir el rango de valores en el conjunto de datos entre cualquier punto arbitrario  </w:t>
            </w:r>
            <w:r>
              <w:rPr>
                <w:rFonts w:ascii="Arial" w:eastAsia="Arial" w:hAnsi="Arial" w:cs="Arial"/>
                <w:noProof/>
                <w:sz w:val="20"/>
                <w:szCs w:val="20"/>
              </w:rPr>
              <w:drawing>
                <wp:inline distT="0" distB="0" distL="0" distR="0" wp14:anchorId="5CFE5A21" wp14:editId="24D48300">
                  <wp:extent cx="95250" cy="123825"/>
                  <wp:effectExtent l="0" t="0" r="0" b="0"/>
                  <wp:docPr id="12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95250" cy="123825"/>
                          </a:xfrm>
                          <a:prstGeom prst="rect">
                            <a:avLst/>
                          </a:prstGeom>
                          <a:ln/>
                        </pic:spPr>
                      </pic:pic>
                    </a:graphicData>
                  </a:graphic>
                </wp:inline>
              </w:drawing>
            </w:r>
            <w:r>
              <w:rPr>
                <w:rFonts w:ascii="Arial" w:eastAsia="Arial" w:hAnsi="Arial" w:cs="Arial"/>
                <w:sz w:val="20"/>
                <w:szCs w:val="20"/>
              </w:rPr>
              <w:t xml:space="preserve">   y  </w:t>
            </w:r>
            <w:r>
              <w:rPr>
                <w:rFonts w:ascii="Arial" w:eastAsia="Arial" w:hAnsi="Arial" w:cs="Arial"/>
                <w:noProof/>
                <w:sz w:val="20"/>
                <w:szCs w:val="20"/>
              </w:rPr>
              <w:drawing>
                <wp:inline distT="0" distB="0" distL="0" distR="0" wp14:anchorId="07B256C5" wp14:editId="5FB766C8">
                  <wp:extent cx="76200" cy="161925"/>
                  <wp:effectExtent l="0" t="0" r="0" b="0"/>
                  <wp:docPr id="13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76200" cy="161925"/>
                          </a:xfrm>
                          <a:prstGeom prst="rect">
                            <a:avLst/>
                          </a:prstGeom>
                          <a:ln/>
                        </pic:spPr>
                      </pic:pic>
                    </a:graphicData>
                  </a:graphic>
                </wp:inline>
              </w:drawing>
            </w:r>
            <w:proofErr w:type="gramStart"/>
            <w:r>
              <w:rPr>
                <w:rFonts w:ascii="Arial" w:eastAsia="Arial" w:hAnsi="Arial" w:cs="Arial"/>
                <w:sz w:val="20"/>
                <w:szCs w:val="20"/>
              </w:rPr>
              <w:t xml:space="preserve">  ,</w:t>
            </w:r>
            <w:proofErr w:type="gramEnd"/>
            <w:r>
              <w:rPr>
                <w:rFonts w:ascii="Arial" w:eastAsia="Arial" w:hAnsi="Arial" w:cs="Arial"/>
                <w:sz w:val="20"/>
                <w:szCs w:val="20"/>
              </w:rPr>
              <w:t xml:space="preserve"> usando por ejemplo . </w:t>
            </w:r>
            <w:r>
              <w:rPr>
                <w:rFonts w:ascii="Arial" w:eastAsia="Arial" w:hAnsi="Arial" w:cs="Arial"/>
                <w:noProof/>
                <w:sz w:val="20"/>
                <w:szCs w:val="20"/>
              </w:rPr>
              <w:drawing>
                <wp:inline distT="0" distB="0" distL="0" distR="0" wp14:anchorId="19EEEEBC" wp14:editId="7E49613C">
                  <wp:extent cx="2247900" cy="466725"/>
                  <wp:effectExtent l="0" t="0" r="0" b="0"/>
                  <wp:docPr id="12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2247900" cy="466725"/>
                          </a:xfrm>
                          <a:prstGeom prst="rect">
                            <a:avLst/>
                          </a:prstGeom>
                          <a:ln/>
                        </pic:spPr>
                      </pic:pic>
                    </a:graphicData>
                  </a:graphic>
                </wp:inline>
              </w:drawing>
            </w:r>
          </w:p>
        </w:tc>
      </w:tr>
    </w:tbl>
    <w:p w14:paraId="2D0BE2AB" w14:textId="77777777" w:rsidR="00C20F49" w:rsidRDefault="00000000">
      <w:pPr>
        <w:shd w:val="clear" w:color="auto" w:fill="FFFFFF"/>
        <w:spacing w:before="120" w:after="120" w:line="240" w:lineRule="auto"/>
        <w:rPr>
          <w:rFonts w:ascii="Arial" w:eastAsia="Arial" w:hAnsi="Arial" w:cs="Arial"/>
          <w:b/>
          <w:sz w:val="20"/>
          <w:szCs w:val="20"/>
        </w:rPr>
      </w:pPr>
      <w:r>
        <w:rPr>
          <w:rFonts w:ascii="Arial" w:eastAsia="Arial" w:hAnsi="Arial" w:cs="Arial"/>
          <w:sz w:val="20"/>
          <w:szCs w:val="20"/>
        </w:rPr>
        <w:t>Tenga en cuenta que algunas otras relaciones, como la relación entre varianza y media  </w:t>
      </w:r>
      <w:r>
        <w:rPr>
          <w:rFonts w:ascii="Arial" w:eastAsia="Arial" w:hAnsi="Arial" w:cs="Arial"/>
          <w:noProof/>
          <w:sz w:val="20"/>
          <w:szCs w:val="20"/>
        </w:rPr>
        <w:drawing>
          <wp:inline distT="0" distB="0" distL="0" distR="0" wp14:anchorId="60242AD0" wp14:editId="668B5CAE">
            <wp:extent cx="409575" cy="371475"/>
            <wp:effectExtent l="0" t="0" r="0" b="0"/>
            <wp:docPr id="13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409575" cy="371475"/>
                    </a:xfrm>
                    <a:prstGeom prst="rect">
                      <a:avLst/>
                    </a:prstGeom>
                    <a:ln/>
                  </pic:spPr>
                </pic:pic>
              </a:graphicData>
            </a:graphic>
          </wp:inline>
        </w:drawing>
      </w:r>
      <w:r>
        <w:rPr>
          <w:rFonts w:ascii="Arial" w:eastAsia="Arial" w:hAnsi="Arial" w:cs="Arial"/>
          <w:sz w:val="20"/>
          <w:szCs w:val="20"/>
        </w:rPr>
        <w:t>, también se realizan para la normalización, pero no son adimensionales: las unidades no se cancelan y, por lo tanto, la relación tiene unidades y no es invariante de escala.</w:t>
      </w:r>
    </w:p>
    <w:sectPr w:rsidR="00C20F49">
      <w:headerReference w:type="default" r:id="rId22"/>
      <w:footerReference w:type="default" r:id="rId23"/>
      <w:headerReference w:type="first" r:id="rId24"/>
      <w:pgSz w:w="12240" w:h="15840"/>
      <w:pgMar w:top="1701" w:right="1134" w:bottom="1134" w:left="1134" w:header="709" w:footer="3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F138F" w14:textId="77777777" w:rsidR="00B3249B" w:rsidRDefault="00B3249B">
      <w:pPr>
        <w:spacing w:after="0" w:line="240" w:lineRule="auto"/>
      </w:pPr>
      <w:r>
        <w:separator/>
      </w:r>
    </w:p>
  </w:endnote>
  <w:endnote w:type="continuationSeparator" w:id="0">
    <w:p w14:paraId="77AA1BE8" w14:textId="77777777" w:rsidR="00B3249B" w:rsidRDefault="00B32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ucida Grande">
    <w:panose1 w:val="00000000000000000000"/>
    <w:charset w:val="00"/>
    <w:family w:val="roman"/>
    <w:notTrueType/>
    <w:pitch w:val="default"/>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37587" w14:textId="77777777" w:rsidR="00C20F49" w:rsidRDefault="00C20F49">
    <w:pPr>
      <w:pBdr>
        <w:top w:val="nil"/>
        <w:left w:val="nil"/>
        <w:bottom w:val="nil"/>
        <w:right w:val="nil"/>
        <w:between w:val="nil"/>
      </w:pBdr>
      <w:tabs>
        <w:tab w:val="center" w:pos="4419"/>
        <w:tab w:val="right" w:pos="8838"/>
      </w:tabs>
      <w:spacing w:after="0" w:line="240" w:lineRule="auto"/>
      <w:jc w:val="right"/>
      <w:rPr>
        <w:color w:val="595959"/>
        <w:sz w:val="18"/>
        <w:szCs w:val="18"/>
      </w:rPr>
    </w:pPr>
  </w:p>
  <w:p w14:paraId="1F20998E" w14:textId="77777777" w:rsidR="00C20F49" w:rsidRDefault="00C20F49">
    <w:pPr>
      <w:pBdr>
        <w:top w:val="nil"/>
        <w:left w:val="nil"/>
        <w:bottom w:val="nil"/>
        <w:right w:val="nil"/>
        <w:between w:val="nil"/>
      </w:pBdr>
      <w:tabs>
        <w:tab w:val="center" w:pos="4419"/>
        <w:tab w:val="right" w:pos="8838"/>
      </w:tabs>
      <w:spacing w:after="0" w:line="240" w:lineRule="auto"/>
      <w:rPr>
        <w:color w:val="000000"/>
      </w:rPr>
    </w:pPr>
  </w:p>
  <w:p w14:paraId="40AFAA70" w14:textId="77777777" w:rsidR="00C20F49" w:rsidRDefault="00C20F49">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B7335" w14:textId="77777777" w:rsidR="00B3249B" w:rsidRDefault="00B3249B">
      <w:pPr>
        <w:spacing w:after="0" w:line="240" w:lineRule="auto"/>
      </w:pPr>
      <w:r>
        <w:separator/>
      </w:r>
    </w:p>
  </w:footnote>
  <w:footnote w:type="continuationSeparator" w:id="0">
    <w:p w14:paraId="57059ECF" w14:textId="77777777" w:rsidR="00B3249B" w:rsidRDefault="00B324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6F1D4" w14:textId="7C594089" w:rsidR="00C20F49" w:rsidRDefault="00986080" w:rsidP="00986080">
    <w:pPr>
      <w:pBdr>
        <w:top w:val="nil"/>
        <w:left w:val="nil"/>
        <w:bottom w:val="nil"/>
        <w:right w:val="nil"/>
        <w:between w:val="nil"/>
      </w:pBdr>
      <w:tabs>
        <w:tab w:val="center" w:pos="0"/>
        <w:tab w:val="center" w:pos="4419"/>
        <w:tab w:val="right" w:pos="8838"/>
      </w:tabs>
      <w:spacing w:after="0" w:line="240" w:lineRule="auto"/>
      <w:jc w:val="center"/>
      <w:rPr>
        <w:color w:val="000000"/>
      </w:rPr>
    </w:pPr>
    <w:r>
      <w:rPr>
        <w:noProof/>
        <w:color w:val="000000"/>
        <w:lang w:val="en-US"/>
      </w:rPr>
      <w:drawing>
        <wp:inline distT="0" distB="0" distL="0" distR="0" wp14:anchorId="292F28DA" wp14:editId="113F0878">
          <wp:extent cx="578078" cy="601200"/>
          <wp:effectExtent l="0" t="0" r="0" b="8890"/>
          <wp:docPr id="13425863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86367" name="Imagen 1342586367"/>
                  <pic:cNvPicPr/>
                </pic:nvPicPr>
                <pic:blipFill rotWithShape="1">
                  <a:blip r:embed="rId1">
                    <a:extLst>
                      <a:ext uri="{28A0092B-C50C-407E-A947-70E740481C1C}">
                        <a14:useLocalDpi xmlns:a14="http://schemas.microsoft.com/office/drawing/2010/main" val="0"/>
                      </a:ext>
                    </a:extLst>
                  </a:blip>
                  <a:srcRect l="8306" t="7829" r="8638" b="10669"/>
                  <a:stretch/>
                </pic:blipFill>
                <pic:spPr bwMode="auto">
                  <a:xfrm>
                    <a:off x="0" y="0"/>
                    <a:ext cx="578078" cy="601200"/>
                  </a:xfrm>
                  <a:prstGeom prst="rect">
                    <a:avLst/>
                  </a:prstGeom>
                  <a:ln>
                    <a:noFill/>
                  </a:ln>
                  <a:extLst>
                    <a:ext uri="{53640926-AAD7-44D8-BBD7-CCE9431645EC}">
                      <a14:shadowObscured xmlns:a14="http://schemas.microsoft.com/office/drawing/2010/main"/>
                    </a:ext>
                  </a:extLst>
                </pic:spPr>
              </pic:pic>
            </a:graphicData>
          </a:graphic>
        </wp:inline>
      </w:drawing>
    </w:r>
  </w:p>
  <w:p w14:paraId="7F7815BF" w14:textId="77777777" w:rsidR="00C20F49" w:rsidRDefault="00C20F49">
    <w:pPr>
      <w:pBdr>
        <w:top w:val="nil"/>
        <w:left w:val="nil"/>
        <w:bottom w:val="nil"/>
        <w:right w:val="nil"/>
        <w:between w:val="nil"/>
      </w:pBdr>
      <w:tabs>
        <w:tab w:val="center" w:pos="4419"/>
        <w:tab w:val="right" w:pos="8838"/>
        <w:tab w:val="right" w:pos="8413"/>
      </w:tabs>
      <w:spacing w:after="0" w:line="240" w:lineRule="auto"/>
      <w:ind w:left="-1134"/>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A12F4" w14:textId="77777777" w:rsidR="00C20F49" w:rsidRDefault="00C20F49">
    <w:pPr>
      <w:pBdr>
        <w:top w:val="nil"/>
        <w:left w:val="nil"/>
        <w:bottom w:val="nil"/>
        <w:right w:val="nil"/>
        <w:between w:val="nil"/>
      </w:pBdr>
      <w:tabs>
        <w:tab w:val="center" w:pos="4419"/>
        <w:tab w:val="right" w:pos="8838"/>
      </w:tabs>
      <w:spacing w:after="0" w:line="240" w:lineRule="auto"/>
      <w:rPr>
        <w:color w:val="000000"/>
      </w:rPr>
    </w:pPr>
  </w:p>
  <w:p w14:paraId="4845D349" w14:textId="77777777" w:rsidR="00C20F49" w:rsidRDefault="00C20F49">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F49"/>
    <w:rsid w:val="00986080"/>
    <w:rsid w:val="00B3249B"/>
    <w:rsid w:val="00C20F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2A558"/>
  <w15:docId w15:val="{17954790-4163-413A-A8DC-7E524CF51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semiHidden/>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semiHidden/>
    <w:unhideWhenUsed/>
    <w:qFormat/>
    <w:pPr>
      <w:keepNext/>
      <w:keepLines/>
      <w:spacing w:before="200" w:after="0"/>
      <w:outlineLvl w:val="2"/>
    </w:pPr>
    <w:rPr>
      <w:rFonts w:asciiTheme="majorHAnsi" w:eastAsiaTheme="majorEastAsia" w:hAnsiTheme="majorHAnsi" w:cstheme="majorBidi"/>
      <w:b/>
      <w:bCs/>
      <w:color w:val="052F61" w:themeColor="accent1"/>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eJzPzWKJVPJbv2rY8smFjUD2gg==">AMUW2mXOLhciB8XUGRE3z+0S07UFfpqP+KgbaxiAT4L9P/uGreZgez+Kq6PmghWrh+hAJPA9m9M59lodoWWq0ym+DcAh5i1RkQY1wqfzAEBzrx7pKT5jE9D5U0pOhojqPcxWIu2xEtId</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AE9E13D-E54E-4569-865D-B336D1C5C436}">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FEA71987-99A2-441A-90B9-309EBC443BD7}">
  <ds:schemaRefs>
    <ds:schemaRef ds:uri="http://schemas.microsoft.com/sharepoint/v3/contenttype/forms"/>
  </ds:schemaRefs>
</ds:datastoreItem>
</file>

<file path=customXml/itemProps4.xml><?xml version="1.0" encoding="utf-8"?>
<ds:datastoreItem xmlns:ds="http://schemas.openxmlformats.org/officeDocument/2006/customXml" ds:itemID="{369ACC51-4639-4F1A-B4A8-8238C931CD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1788</Characters>
  <Application>Microsoft Office Word</Application>
  <DocSecurity>0</DocSecurity>
  <Lines>14</Lines>
  <Paragraphs>4</Paragraphs>
  <ScaleCrop>false</ScaleCrop>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oscar daniel espitia marin</cp:lastModifiedBy>
  <cp:revision>2</cp:revision>
  <dcterms:created xsi:type="dcterms:W3CDTF">2022-06-14T20:31:00Z</dcterms:created>
  <dcterms:modified xsi:type="dcterms:W3CDTF">2023-07-08T04:01:00Z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6751000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