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70E03" w:rsidR="00072A0F" w:rsidP="00A70E03" w:rsidRDefault="3EB62023" w14:paraId="0109B87B" w14:noSpellErr="1" w14:textId="043883E9">
      <w:pPr>
        <w:jc w:val="center"/>
        <w:rPr>
          <w:b w:val="1"/>
          <w:bCs w:val="1"/>
        </w:rPr>
      </w:pPr>
      <w:r w:rsidRPr="59579A88" w:rsidR="3EB62023">
        <w:rPr>
          <w:b w:val="1"/>
          <w:bCs w:val="1"/>
        </w:rPr>
        <w:t>P</w:t>
      </w:r>
      <w:r w:rsidRPr="59579A88" w:rsidR="00A70E03">
        <w:rPr>
          <w:b w:val="1"/>
          <w:bCs w:val="1"/>
        </w:rPr>
        <w:t>ódcast</w:t>
      </w:r>
      <w:r w:rsidRPr="59579A88" w:rsidR="00072A0F">
        <w:rPr>
          <w:b w:val="1"/>
          <w:bCs w:val="1"/>
        </w:rPr>
        <w:t>:</w:t>
      </w:r>
      <w:r w:rsidRPr="59579A88" w:rsidR="00A70E03">
        <w:rPr>
          <w:b w:val="1"/>
          <w:bCs w:val="1"/>
        </w:rPr>
        <w:t xml:space="preserve"> </w:t>
      </w:r>
      <w:r w:rsidRPr="59579A88" w:rsidR="00A70E03">
        <w:rPr>
          <w:b w:val="1"/>
          <w:bCs w:val="1"/>
        </w:rPr>
        <w:t>El ritmo de la cuenta T: Débitos, créditos y saldos</w:t>
      </w:r>
    </w:p>
    <w:p w:rsidR="00072A0F" w:rsidP="00072A0F" w:rsidRDefault="00072A0F" w14:paraId="595AEEE7" w14:textId="77777777">
      <w:pPr>
        <w:jc w:val="both"/>
      </w:pPr>
    </w:p>
    <w:p w:rsidR="00072A0F" w:rsidP="00072A0F" w:rsidRDefault="00072A0F" w14:paraId="7B5E393B" w14:textId="3F77EF15">
      <w:pPr>
        <w:jc w:val="both"/>
      </w:pPr>
      <w:r w:rsidR="00AD3B2B">
        <w:rPr/>
        <w:t>Persona</w:t>
      </w:r>
      <w:r w:rsidR="00072A0F">
        <w:rPr/>
        <w:t xml:space="preserve"> </w:t>
      </w:r>
      <w:r w:rsidR="00AD3B2B">
        <w:rPr/>
        <w:t>1</w:t>
      </w:r>
      <w:r w:rsidR="00072A0F">
        <w:rPr/>
        <w:t>:</w:t>
      </w:r>
      <w:r w:rsidR="00072A0F">
        <w:rPr/>
        <w:t xml:space="preserve"> ¡Hola a todos! Bienvenidos a su dosis rápida de contabilidad. Hoy vamos a perderle el miedo a esa famosa herramienta que parece una letra pero que es el corazón de las finanzas: </w:t>
      </w:r>
      <w:r w:rsidR="00072A0F">
        <w:rPr/>
        <w:t>La Cuenta T</w:t>
      </w:r>
      <w:r w:rsidR="00072A0F">
        <w:rPr/>
        <w:t>.</w:t>
      </w:r>
    </w:p>
    <w:p w:rsidR="00072A0F" w:rsidP="00072A0F" w:rsidRDefault="00AD3B2B" w14:paraId="68C684EB" w14:textId="3422ABBA">
      <w:pPr>
        <w:jc w:val="both"/>
      </w:pPr>
      <w:r>
        <w:t>Persona</w:t>
      </w:r>
      <w:r w:rsidRPr="00072A0F" w:rsidR="00072A0F">
        <w:t xml:space="preserve"> </w:t>
      </w:r>
      <w:r>
        <w:t>2</w:t>
      </w:r>
      <w:r w:rsidRPr="00072A0F" w:rsidR="00072A0F">
        <w:t>:</w:t>
      </w:r>
      <w:r w:rsidR="00072A0F">
        <w:t xml:space="preserve"> Así es. Ya vimos cómo se ve una Cuenta T, pero hoy vamos a lo emocionante: ¡cómo se llena! Porque, aunque no lo crean, registrar valores tiene su propio vocabulario técnico.</w:t>
      </w:r>
    </w:p>
    <w:p w:rsidR="00072A0F" w:rsidP="00072A0F" w:rsidRDefault="00AD3B2B" w14:paraId="22E60836" w14:textId="5D64D6C0">
      <w:pPr>
        <w:jc w:val="both"/>
      </w:pPr>
      <w:r>
        <w:t>Persona</w:t>
      </w:r>
      <w:r w:rsidRPr="00072A0F" w:rsidR="00072A0F">
        <w:t xml:space="preserve"> </w:t>
      </w:r>
      <w:r>
        <w:t>1</w:t>
      </w:r>
      <w:r w:rsidRPr="00072A0F" w:rsidR="00072A0F">
        <w:t>:</w:t>
      </w:r>
      <w:r w:rsidR="00072A0F">
        <w:t xml:space="preserve"> Exacto. Empecemos por la acción. Cuando ponemos un valor en la </w:t>
      </w:r>
      <w:r w:rsidRPr="00072A0F" w:rsidR="00072A0F">
        <w:t>columna de la izquierda</w:t>
      </w:r>
      <w:r w:rsidR="00072A0F">
        <w:t xml:space="preserve">, es decir, en </w:t>
      </w:r>
      <w:proofErr w:type="spellStart"/>
      <w:r w:rsidR="00072A0F">
        <w:t>el</w:t>
      </w:r>
      <w:proofErr w:type="spellEnd"/>
      <w:r w:rsidR="00072A0F">
        <w:t xml:space="preserve"> </w:t>
      </w:r>
      <w:r w:rsidR="00725506">
        <w:t>“</w:t>
      </w:r>
      <w:r w:rsidRPr="00072A0F" w:rsidR="00072A0F">
        <w:t>Debe</w:t>
      </w:r>
      <w:r w:rsidR="00725506">
        <w:t>”</w:t>
      </w:r>
      <w:r w:rsidR="00072A0F">
        <w:t xml:space="preserve">, a eso lo llamamos </w:t>
      </w:r>
      <w:r w:rsidR="00725506">
        <w:t>“</w:t>
      </w:r>
      <w:r w:rsidRPr="00072A0F" w:rsidR="00072A0F">
        <w:t>Debitar</w:t>
      </w:r>
      <w:r w:rsidR="00725506">
        <w:t>”</w:t>
      </w:r>
      <w:r w:rsidR="00072A0F">
        <w:t>.</w:t>
      </w:r>
    </w:p>
    <w:p w:rsidR="00072A0F" w:rsidP="00072A0F" w:rsidRDefault="00AD3B2B" w14:paraId="6DD5B51D" w14:textId="41278D65">
      <w:pPr>
        <w:jc w:val="both"/>
      </w:pPr>
      <w:r>
        <w:t>Persona</w:t>
      </w:r>
      <w:r w:rsidRPr="00072A0F" w:rsidR="00072A0F">
        <w:t xml:space="preserve"> </w:t>
      </w:r>
      <w:r>
        <w:t>2</w:t>
      </w:r>
      <w:r w:rsidRPr="00072A0F" w:rsidR="00072A0F">
        <w:t>:</w:t>
      </w:r>
      <w:r w:rsidR="00072A0F">
        <w:t xml:space="preserve"> Y si nos movemos al otro lado, a la </w:t>
      </w:r>
      <w:r w:rsidRPr="00072A0F" w:rsidR="00072A0F">
        <w:t>derecha</w:t>
      </w:r>
      <w:r w:rsidR="00072A0F">
        <w:t xml:space="preserve">, estamos en la columna del </w:t>
      </w:r>
      <w:r w:rsidR="00725506">
        <w:t>“</w:t>
      </w:r>
      <w:r w:rsidRPr="00072A0F" w:rsidR="00072A0F">
        <w:t>Haber</w:t>
      </w:r>
      <w:r w:rsidR="00725506">
        <w:t>”</w:t>
      </w:r>
      <w:r w:rsidR="00072A0F">
        <w:t xml:space="preserve">. Registrar algo ahí se llama </w:t>
      </w:r>
      <w:r w:rsidR="00725506">
        <w:t>“</w:t>
      </w:r>
      <w:r w:rsidRPr="00072A0F" w:rsidR="00072A0F">
        <w:t>Acreditar</w:t>
      </w:r>
      <w:r w:rsidR="00725506">
        <w:t>”</w:t>
      </w:r>
      <w:r w:rsidR="00072A0F">
        <w:t>. Izquierda es debitar, derecha es acreditar. ¡Fácil!</w:t>
      </w:r>
    </w:p>
    <w:p w:rsidR="00072A0F" w:rsidP="00072A0F" w:rsidRDefault="00AD3B2B" w14:paraId="3A920DE6" w14:textId="068D20D8">
      <w:pPr>
        <w:jc w:val="both"/>
      </w:pPr>
      <w:r>
        <w:t>Persona</w:t>
      </w:r>
      <w:r w:rsidRPr="00072A0F" w:rsidR="00072A0F">
        <w:t xml:space="preserve"> </w:t>
      </w:r>
      <w:r>
        <w:t>1</w:t>
      </w:r>
      <w:r w:rsidRPr="00072A0F" w:rsidR="00072A0F">
        <w:t>:</w:t>
      </w:r>
      <w:r w:rsidR="00072A0F">
        <w:t xml:space="preserve"> Ahora, no se confundan con los "movimientos". Una cosa es registrar un valor suelto y otra es ver la foto completa. Si sumas todos esos valores que pusiste en el lado izquierdo, el resultado es el </w:t>
      </w:r>
      <w:r w:rsidR="00725506">
        <w:t>“m</w:t>
      </w:r>
      <w:r w:rsidRPr="00072A0F" w:rsidR="00072A0F">
        <w:t xml:space="preserve">ovimiento </w:t>
      </w:r>
      <w:r w:rsidR="00725506">
        <w:t>d</w:t>
      </w:r>
      <w:r w:rsidRPr="00072A0F" w:rsidR="00072A0F">
        <w:t>ébito</w:t>
      </w:r>
      <w:r w:rsidR="00725506">
        <w:t>”</w:t>
      </w:r>
      <w:r w:rsidR="00072A0F">
        <w:t>.</w:t>
      </w:r>
    </w:p>
    <w:p w:rsidR="00072A0F" w:rsidP="00072A0F" w:rsidRDefault="00AD3B2B" w14:paraId="102C0DD8" w14:textId="750E7B85">
      <w:pPr>
        <w:jc w:val="both"/>
      </w:pPr>
      <w:r>
        <w:t>Persona</w:t>
      </w:r>
      <w:r w:rsidRPr="00072A0F" w:rsidR="00072A0F">
        <w:t xml:space="preserve"> </w:t>
      </w:r>
      <w:r>
        <w:t>2</w:t>
      </w:r>
      <w:r w:rsidRPr="00072A0F" w:rsidR="00072A0F">
        <w:t>:</w:t>
      </w:r>
      <w:r w:rsidR="00072A0F">
        <w:t xml:space="preserve"> Y, lógicamente, si sumas todo lo que registraste en la derecha, tienes el </w:t>
      </w:r>
      <w:r w:rsidR="00725506">
        <w:t>“m</w:t>
      </w:r>
      <w:r w:rsidRPr="00072A0F" w:rsidR="00072A0F">
        <w:t xml:space="preserve">ovimiento </w:t>
      </w:r>
      <w:r w:rsidR="00725506">
        <w:t>c</w:t>
      </w:r>
      <w:r w:rsidRPr="00072A0F" w:rsidR="00072A0F">
        <w:t>rédito</w:t>
      </w:r>
      <w:r w:rsidR="00725506">
        <w:t>”</w:t>
      </w:r>
      <w:r w:rsidR="00072A0F">
        <w:t>. Es como hacer un inventario de cada lado de la balanza.</w:t>
      </w:r>
    </w:p>
    <w:p w:rsidR="00072A0F" w:rsidP="00072A0F" w:rsidRDefault="00AD3B2B" w14:paraId="051BD06B" w14:textId="6C42C4AE">
      <w:pPr>
        <w:jc w:val="both"/>
      </w:pPr>
      <w:r>
        <w:t>Persona</w:t>
      </w:r>
      <w:r w:rsidRPr="00072A0F" w:rsidR="00072A0F">
        <w:t xml:space="preserve"> </w:t>
      </w:r>
      <w:r>
        <w:t>1</w:t>
      </w:r>
      <w:r w:rsidRPr="00072A0F" w:rsidR="00072A0F">
        <w:t>:</w:t>
      </w:r>
      <w:r w:rsidR="00072A0F">
        <w:t xml:space="preserve"> Pero aquí viene la pregunta del millón: después de tanto movimiento, ¿cuánto dinero queda realmente en la cuenta? Para eso necesitamos el </w:t>
      </w:r>
      <w:r w:rsidRPr="00072A0F" w:rsidR="00072A0F">
        <w:t>Saldo</w:t>
      </w:r>
      <w:r w:rsidR="00072A0F">
        <w:t>.</w:t>
      </w:r>
    </w:p>
    <w:p w:rsidR="00072A0F" w:rsidP="00072A0F" w:rsidRDefault="00AD3B2B" w14:paraId="17174E26" w14:textId="4B1E2C3E">
      <w:pPr>
        <w:jc w:val="both"/>
      </w:pPr>
      <w:r>
        <w:t>Persona</w:t>
      </w:r>
      <w:r w:rsidRPr="00072A0F" w:rsidR="00072A0F">
        <w:t xml:space="preserve"> </w:t>
      </w:r>
      <w:r>
        <w:t>2</w:t>
      </w:r>
      <w:r w:rsidRPr="00072A0F" w:rsidR="00072A0F">
        <w:t>:</w:t>
      </w:r>
      <w:r w:rsidR="00072A0F">
        <w:t xml:space="preserve"> Y para sacar el saldo no hay que ser un genio de la NASA. Solo hay que encontrar la </w:t>
      </w:r>
      <w:r w:rsidRPr="00072A0F" w:rsidR="00072A0F">
        <w:t>diferencia</w:t>
      </w:r>
      <w:r w:rsidR="00072A0F">
        <w:t>. Restas el movimiento mayor del menor y ¡listo! El resultado es lo que te define si tu saldo es débito o crédito.</w:t>
      </w:r>
    </w:p>
    <w:p w:rsidR="00072A0F" w:rsidP="00072A0F" w:rsidRDefault="00AD3B2B" w14:paraId="741DC0E6" w14:textId="4FBBCC31">
      <w:pPr>
        <w:jc w:val="both"/>
      </w:pPr>
      <w:r>
        <w:t>Persona</w:t>
      </w:r>
      <w:r w:rsidRPr="00072A0F" w:rsidR="00072A0F">
        <w:t xml:space="preserve"> </w:t>
      </w:r>
      <w:r>
        <w:t>1</w:t>
      </w:r>
      <w:r w:rsidRPr="00072A0F" w:rsidR="00072A0F">
        <w:t>:</w:t>
      </w:r>
      <w:r w:rsidR="00072A0F">
        <w:t xml:space="preserve"> En resumen: debitas a la izquierda, acreditas a la derecha, sumas para ver los movimientos y restas para encontrar el saldo final.</w:t>
      </w:r>
    </w:p>
    <w:p w:rsidR="00072A0F" w:rsidP="00072A0F" w:rsidRDefault="00AD3B2B" w14:paraId="347E2121" w14:textId="64438496">
      <w:pPr>
        <w:jc w:val="both"/>
      </w:pPr>
      <w:r>
        <w:t>Persona</w:t>
      </w:r>
      <w:r w:rsidRPr="00072A0F" w:rsidR="00072A0F">
        <w:t xml:space="preserve"> </w:t>
      </w:r>
      <w:r>
        <w:t>2</w:t>
      </w:r>
      <w:r w:rsidRPr="00072A0F" w:rsidR="00072A0F">
        <w:t>:</w:t>
      </w:r>
      <w:r w:rsidR="00072A0F">
        <w:t xml:space="preserve"> ¡Dominado! En el próximo episodio veremos cómo decidir de qué lado registrar según el tipo de cuenta. ¡No se lo pierdan!</w:t>
      </w:r>
    </w:p>
    <w:p w:rsidR="00072A0F" w:rsidP="42D7D8A4" w:rsidRDefault="00072A0F" w14:paraId="54C7CF78" w14:textId="77777777">
      <w:pPr>
        <w:jc w:val="center"/>
        <w:rPr>
          <w:b/>
          <w:bCs/>
        </w:rPr>
      </w:pPr>
    </w:p>
    <w:p w:rsidR="00072A0F" w:rsidP="42D7D8A4" w:rsidRDefault="00072A0F" w14:paraId="11CB17A9" w14:textId="77777777">
      <w:pPr>
        <w:jc w:val="center"/>
        <w:rPr>
          <w:b/>
          <w:bCs/>
        </w:rPr>
      </w:pPr>
    </w:p>
    <w:p w:rsidR="003E5484" w:rsidP="42D7D8A4" w:rsidRDefault="00072A0F" w14:paraId="5C1A07E2" w14:textId="106F1D7E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:rsidR="42D7D8A4" w:rsidP="42D7D8A4" w:rsidRDefault="42D7D8A4" w14:paraId="1B65D0AD" w14:textId="24973EE5">
      <w:pPr>
        <w:jc w:val="center"/>
        <w:rPr>
          <w:b/>
          <w:bCs/>
        </w:rPr>
      </w:pPr>
    </w:p>
    <w:p w:rsidR="15BAE71A" w:rsidP="42D7D8A4" w:rsidRDefault="15BAE71A" w14:paraId="7CEE9E34" w14:textId="4E72DE66">
      <w:pPr>
        <w:jc w:val="both"/>
      </w:pPr>
    </w:p>
    <w:sectPr w:rsidR="15BAE71A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A5F5CA"/>
    <w:rsid w:val="00072A0F"/>
    <w:rsid w:val="003E5484"/>
    <w:rsid w:val="00725506"/>
    <w:rsid w:val="00A70E03"/>
    <w:rsid w:val="00AD3B2B"/>
    <w:rsid w:val="00D87B28"/>
    <w:rsid w:val="00FE7010"/>
    <w:rsid w:val="08512F13"/>
    <w:rsid w:val="1556E366"/>
    <w:rsid w:val="15BAE71A"/>
    <w:rsid w:val="3EB62023"/>
    <w:rsid w:val="42D7D8A4"/>
    <w:rsid w:val="4666EB56"/>
    <w:rsid w:val="59052252"/>
    <w:rsid w:val="59579A88"/>
    <w:rsid w:val="5AA5F5CA"/>
    <w:rsid w:val="5B450A65"/>
    <w:rsid w:val="62144ADA"/>
    <w:rsid w:val="6F6E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5F5CA"/>
  <w15:chartTrackingRefBased/>
  <w15:docId w15:val="{E0ED2D4A-8B61-4A17-9DDC-DDD41ADA1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2A0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A13F87F-983A-4E5D-A1B8-8926B82C91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CEDF40-9B99-496C-9206-026F5D4DA4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4a4fb-80c2-4523-8d89-375030acacbf"/>
    <ds:schemaRef ds:uri="b250f519-6473-4480-8c44-6ee3a3a53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AC5A5A-07DB-4F6F-91E1-43AF69699DF5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Paula Marcela Vidal Quintero</dc:creator>
  <keywords/>
  <dc:description/>
  <lastModifiedBy>Paula Marcela Vidal Quintero</lastModifiedBy>
  <revision>7</revision>
  <dcterms:created xsi:type="dcterms:W3CDTF">2026-02-05T21:34:00.0000000Z</dcterms:created>
  <dcterms:modified xsi:type="dcterms:W3CDTF">2026-02-05T21:35:06.6967441Z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2026-02-05T21:34:26Z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12d58eb5-0ab0-4298-a6a1-944927cad986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