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10EC1AB3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721B9E">
        <w:rPr>
          <w:rFonts w:ascii="Times" w:hAnsi="Times"/>
        </w:rPr>
        <w:t>20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73F8406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2E3585">
        <w:rPr>
          <w:rFonts w:ascii="Times" w:hAnsi="Times"/>
          <w:b/>
          <w:bCs/>
        </w:rPr>
        <w:t>1</w:t>
      </w:r>
      <w:r w:rsidRPr="006A7BB8">
        <w:rPr>
          <w:rFonts w:ascii="Times" w:hAnsi="Times"/>
          <w:b/>
          <w:bCs/>
        </w:rPr>
        <w:t>.</w:t>
      </w:r>
      <w:r w:rsidR="00721B9E">
        <w:rPr>
          <w:rFonts w:ascii="Times" w:hAnsi="Times"/>
          <w:b/>
          <w:bCs/>
        </w:rPr>
        <w:t>3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AAE17AF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F773B7">
        <w:rPr>
          <w:b/>
        </w:rPr>
        <w:t>1</w:t>
      </w:r>
      <w:r w:rsidRPr="00240600">
        <w:rPr>
          <w:b/>
        </w:rPr>
        <w:t>.</w:t>
      </w:r>
      <w:r w:rsidR="00721B9E">
        <w:rPr>
          <w:b/>
        </w:rPr>
        <w:t>3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130D47D7" w14:textId="4496A022" w:rsidR="00B57755" w:rsidRDefault="002442AE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proofErr w:type="spellStart"/>
      <w:r>
        <w:rPr>
          <w:rFonts w:ascii="Times" w:hAnsi="Times"/>
        </w:rPr>
        <w:t>disALEXI</w:t>
      </w:r>
      <w:proofErr w:type="spellEnd"/>
      <w:r>
        <w:rPr>
          <w:rFonts w:ascii="Times" w:hAnsi="Times"/>
        </w:rPr>
        <w:t xml:space="preserve"> returns exit code 17 when the output image is blank due to clouds</w:t>
      </w:r>
    </w:p>
    <w:p w14:paraId="618A236C" w14:textId="5E6A11BC" w:rsidR="002442AE" w:rsidRDefault="002442AE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initializing iteratively updated </w:t>
      </w:r>
      <w:proofErr w:type="spellStart"/>
      <w:r>
        <w:rPr>
          <w:rFonts w:ascii="Times" w:hAnsi="Times"/>
        </w:rPr>
        <w:t>disALEXI</w:t>
      </w:r>
      <w:proofErr w:type="spellEnd"/>
      <w:r>
        <w:rPr>
          <w:rFonts w:ascii="Times" w:hAnsi="Times"/>
        </w:rPr>
        <w:t xml:space="preserve"> variables to None before loops occur and checking that both the running image variable and updated subset variable of has been assigned before making the image update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3B51E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3B51E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lastRenderedPageBreak/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lastRenderedPageBreak/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969F" w14:textId="77777777" w:rsidR="003B51E0" w:rsidRDefault="003B51E0" w:rsidP="000F66C3">
      <w:r>
        <w:separator/>
      </w:r>
    </w:p>
  </w:endnote>
  <w:endnote w:type="continuationSeparator" w:id="0">
    <w:p w14:paraId="3B4811B8" w14:textId="77777777" w:rsidR="003B51E0" w:rsidRDefault="003B51E0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5AA7" w14:textId="77777777" w:rsidR="003B51E0" w:rsidRDefault="003B51E0" w:rsidP="000F66C3">
      <w:r>
        <w:separator/>
      </w:r>
    </w:p>
  </w:footnote>
  <w:footnote w:type="continuationSeparator" w:id="0">
    <w:p w14:paraId="3A9F9C55" w14:textId="77777777" w:rsidR="003B51E0" w:rsidRDefault="003B51E0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17</cp:revision>
  <dcterms:created xsi:type="dcterms:W3CDTF">2022-01-04T18:06:00Z</dcterms:created>
  <dcterms:modified xsi:type="dcterms:W3CDTF">2022-01-20T19:41:00Z</dcterms:modified>
</cp:coreProperties>
</file>