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22720" w14:textId="77777777" w:rsidR="0082178E" w:rsidRDefault="0082178E" w:rsidP="0082178E">
      <w:pPr>
        <w:pStyle w:val="Heading1"/>
      </w:pPr>
      <w:bookmarkStart w:id="0" w:name="Xd3ab12cf10c02b6302afa7e785ad091a327be9f"/>
      <w:bookmarkStart w:id="1" w:name="summary"/>
      <w:r>
        <w:t>ECS AI Capacity Planning – Explanation of 1.725 Million TPM Sizing</w:t>
      </w:r>
    </w:p>
    <w:p w14:paraId="5D83DB54" w14:textId="77777777" w:rsidR="0082178E" w:rsidRDefault="0082178E" w:rsidP="0082178E">
      <w:pPr>
        <w:pStyle w:val="Heading2"/>
      </w:pPr>
      <w:bookmarkStart w:id="2" w:name="purpose"/>
      <w:r>
        <w:t>Purpose</w:t>
      </w:r>
    </w:p>
    <w:p w14:paraId="26820427" w14:textId="77777777" w:rsidR="0082178E" w:rsidRDefault="0082178E" w:rsidP="0082178E">
      <w:pPr>
        <w:pStyle w:val="FirstParagraph"/>
      </w:pPr>
      <w:r>
        <w:t>This note explains the basis used for estimating the ECS AI platform peak token throughput requirement for enterprise-scale capacity planning.</w:t>
      </w:r>
    </w:p>
    <w:p w14:paraId="64E60F74" w14:textId="77777777" w:rsidR="0082178E" w:rsidRDefault="0082178E" w:rsidP="0082178E">
      <w:pPr>
        <w:pStyle w:val="BodyText"/>
      </w:pPr>
      <w:r>
        <w:t>The sizing is based on the formula currently used in the Neve AI capacity calculator.</w:t>
      </w:r>
    </w:p>
    <w:p w14:paraId="68EBB353" w14:textId="77777777" w:rsidR="0082178E" w:rsidRDefault="00607121" w:rsidP="0082178E">
      <w:r>
        <w:rPr>
          <w:noProof/>
        </w:rPr>
        <w:pict w14:anchorId="2E2347AE">
          <v:rect id="_x0000_i1032" alt="" style="width:1137.85pt;height:.05pt;mso-width-percent:0;mso-height-percent:0;mso-width-percent:0;mso-height-percent:0" o:hrpct="807" o:hralign="center" o:hrstd="t" o:hr="t"/>
        </w:pict>
      </w:r>
    </w:p>
    <w:p w14:paraId="354B5D5B" w14:textId="77777777" w:rsidR="0082178E" w:rsidRDefault="0082178E" w:rsidP="0082178E">
      <w:pPr>
        <w:pStyle w:val="Heading2"/>
      </w:pPr>
      <w:bookmarkStart w:id="3" w:name="neve-capacity-formula"/>
      <w:bookmarkEnd w:id="2"/>
      <w:r>
        <w:t>Neve Capacity Formula</w:t>
      </w:r>
    </w:p>
    <w:p w14:paraId="27493C9C" w14:textId="77777777" w:rsidR="0082178E" w:rsidRDefault="0082178E" w:rsidP="0082178E">
      <w:pPr>
        <w:pStyle w:val="FirstParagraph"/>
      </w:pPr>
      <w:r>
        <w:t>The Neve sizing calculator applies the following formula:</w:t>
      </w:r>
    </w:p>
    <w:p w14:paraId="3FA6EA43" w14:textId="77777777" w:rsidR="0082178E" w:rsidRDefault="0082178E" w:rsidP="0082178E">
      <w:pPr>
        <w:pStyle w:val="BodyText"/>
      </w:pPr>
      <w:r>
        <w:t>TPM = (Input Tokens + (9 × Output Tokens)) × Peak Requests Per Minute</w:t>
      </w:r>
    </w:p>
    <w:p w14:paraId="0175F206" w14:textId="77777777" w:rsidR="0082178E" w:rsidRDefault="0082178E" w:rsidP="0082178E">
      <w:pPr>
        <w:pStyle w:val="BodyText"/>
      </w:pPr>
      <w:r>
        <w:t>Where:</w:t>
      </w:r>
    </w:p>
    <w:p w14:paraId="24D26FF4" w14:textId="77777777" w:rsidR="0082178E" w:rsidRDefault="0082178E" w:rsidP="0082178E">
      <w:pPr>
        <w:pStyle w:val="Compact"/>
        <w:numPr>
          <w:ilvl w:val="0"/>
          <w:numId w:val="2"/>
        </w:numPr>
      </w:pPr>
      <w:r>
        <w:t>Input Tokens = Average input context sent to the model</w:t>
      </w:r>
    </w:p>
    <w:p w14:paraId="381D97B8" w14:textId="77777777" w:rsidR="0082178E" w:rsidRDefault="0082178E" w:rsidP="0082178E">
      <w:pPr>
        <w:pStyle w:val="Compact"/>
        <w:numPr>
          <w:ilvl w:val="0"/>
          <w:numId w:val="2"/>
        </w:numPr>
      </w:pPr>
      <w:r>
        <w:t>Output Tokens = Average response generated by the model</w:t>
      </w:r>
    </w:p>
    <w:p w14:paraId="62523609" w14:textId="77777777" w:rsidR="0082178E" w:rsidRDefault="0082178E" w:rsidP="0082178E">
      <w:pPr>
        <w:pStyle w:val="Compact"/>
        <w:numPr>
          <w:ilvl w:val="0"/>
          <w:numId w:val="2"/>
        </w:numPr>
      </w:pPr>
      <w:r>
        <w:t>Peak Requests Per Minute = Maximum number of large AI requests expected concurrently during peak load periods</w:t>
      </w:r>
    </w:p>
    <w:p w14:paraId="06EFE4AB" w14:textId="77777777" w:rsidR="0082178E" w:rsidRDefault="0082178E" w:rsidP="0082178E">
      <w:pPr>
        <w:pStyle w:val="Compact"/>
        <w:numPr>
          <w:ilvl w:val="0"/>
          <w:numId w:val="2"/>
        </w:numPr>
      </w:pPr>
      <w:r>
        <w:t>TPM = Tokens Per Minute</w:t>
      </w:r>
    </w:p>
    <w:p w14:paraId="3C242F17" w14:textId="77777777" w:rsidR="0082178E" w:rsidRDefault="0082178E" w:rsidP="0082178E">
      <w:pPr>
        <w:pStyle w:val="FirstParagraph"/>
      </w:pPr>
      <w:r>
        <w:t>The calculator applies a weighting factor of 9x to output tokens because output generation consumes significantly more model compute resources than processing input tokens.</w:t>
      </w:r>
    </w:p>
    <w:p w14:paraId="532F5D52" w14:textId="77777777" w:rsidR="0082178E" w:rsidRDefault="00607121" w:rsidP="0082178E">
      <w:r>
        <w:rPr>
          <w:noProof/>
        </w:rPr>
        <w:pict w14:anchorId="79F80500">
          <v:rect id="_x0000_i1031" alt="" style="width:1137.85pt;height:.05pt;mso-width-percent:0;mso-height-percent:0;mso-width-percent:0;mso-height-percent:0" o:hrpct="807" o:hralign="center" o:hrstd="t" o:hr="t"/>
        </w:pict>
      </w:r>
    </w:p>
    <w:p w14:paraId="5B1BF611" w14:textId="77777777" w:rsidR="0082178E" w:rsidRDefault="0082178E" w:rsidP="0082178E">
      <w:pPr>
        <w:pStyle w:val="Heading2"/>
      </w:pPr>
      <w:bookmarkStart w:id="4" w:name="ecs-capacity-planning-assumptions"/>
      <w:bookmarkEnd w:id="3"/>
      <w:r>
        <w:t>ECS Capacity Planning Assumptions</w:t>
      </w:r>
    </w:p>
    <w:p w14:paraId="5ABBDDDD" w14:textId="77777777" w:rsidR="0082178E" w:rsidRDefault="0082178E" w:rsidP="0082178E">
      <w:pPr>
        <w:pStyle w:val="Heading3"/>
      </w:pPr>
      <w:bookmarkStart w:id="5" w:name="input-tokens"/>
      <w:r>
        <w:t>Input Tokens</w:t>
      </w:r>
    </w:p>
    <w:p w14:paraId="743B5281" w14:textId="77777777" w:rsidR="0082178E" w:rsidRDefault="0082178E" w:rsidP="0082178E">
      <w:pPr>
        <w:pStyle w:val="FirstParagraph"/>
      </w:pPr>
      <w:r>
        <w:t>Average Input Tokens per Request:</w:t>
      </w:r>
    </w:p>
    <w:p w14:paraId="22D91C4C" w14:textId="77777777" w:rsidR="0082178E" w:rsidRDefault="0082178E" w:rsidP="0082178E">
      <w:pPr>
        <w:pStyle w:val="BodyText"/>
      </w:pPr>
      <w:r>
        <w:t>125,000</w:t>
      </w:r>
    </w:p>
    <w:p w14:paraId="7E1F45C7" w14:textId="77777777" w:rsidR="0082178E" w:rsidRDefault="0082178E" w:rsidP="0082178E">
      <w:pPr>
        <w:pStyle w:val="BodyText"/>
      </w:pPr>
      <w:r>
        <w:t>This represents large enterprise AI workloads such as:</w:t>
      </w:r>
    </w:p>
    <w:p w14:paraId="10C4F003" w14:textId="77777777" w:rsidR="0082178E" w:rsidRDefault="0082178E" w:rsidP="0082178E">
      <w:pPr>
        <w:pStyle w:val="Compact"/>
        <w:numPr>
          <w:ilvl w:val="0"/>
          <w:numId w:val="2"/>
        </w:numPr>
      </w:pPr>
      <w:r>
        <w:t>Audit Readiness Assessments</w:t>
      </w:r>
    </w:p>
    <w:p w14:paraId="6E385B5C" w14:textId="77777777" w:rsidR="0082178E" w:rsidRDefault="0082178E" w:rsidP="0082178E">
      <w:pPr>
        <w:pStyle w:val="Compact"/>
        <w:numPr>
          <w:ilvl w:val="0"/>
          <w:numId w:val="2"/>
        </w:numPr>
      </w:pPr>
      <w:r>
        <w:t>Framework Gap Analysis</w:t>
      </w:r>
    </w:p>
    <w:p w14:paraId="0315C213" w14:textId="77777777" w:rsidR="0082178E" w:rsidRDefault="0082178E" w:rsidP="0082178E">
      <w:pPr>
        <w:pStyle w:val="Compact"/>
        <w:numPr>
          <w:ilvl w:val="0"/>
          <w:numId w:val="2"/>
        </w:numPr>
      </w:pPr>
      <w:r>
        <w:t>Cross-Framework Control Mapping</w:t>
      </w:r>
    </w:p>
    <w:p w14:paraId="74C30ADF" w14:textId="77777777" w:rsidR="0082178E" w:rsidRDefault="0082178E" w:rsidP="0082178E">
      <w:pPr>
        <w:pStyle w:val="Compact"/>
        <w:numPr>
          <w:ilvl w:val="0"/>
          <w:numId w:val="2"/>
        </w:numPr>
      </w:pPr>
      <w:r>
        <w:t>Evidence Reuse Analysis</w:t>
      </w:r>
    </w:p>
    <w:p w14:paraId="79850126" w14:textId="77777777" w:rsidR="0082178E" w:rsidRDefault="0082178E" w:rsidP="0082178E">
      <w:pPr>
        <w:pStyle w:val="Compact"/>
        <w:numPr>
          <w:ilvl w:val="0"/>
          <w:numId w:val="2"/>
        </w:numPr>
      </w:pPr>
      <w:r>
        <w:t>Executive Reporting</w:t>
      </w:r>
    </w:p>
    <w:p w14:paraId="7E8A148C" w14:textId="77777777" w:rsidR="0082178E" w:rsidRDefault="0082178E" w:rsidP="0082178E">
      <w:pPr>
        <w:pStyle w:val="Compact"/>
        <w:numPr>
          <w:ilvl w:val="0"/>
          <w:numId w:val="2"/>
        </w:numPr>
      </w:pPr>
      <w:r>
        <w:t>Enterprise Risk Assessments</w:t>
      </w:r>
    </w:p>
    <w:p w14:paraId="124347E8" w14:textId="77777777" w:rsidR="0082178E" w:rsidRDefault="0082178E" w:rsidP="0082178E">
      <w:pPr>
        <w:pStyle w:val="FirstParagraph"/>
      </w:pPr>
      <w:r>
        <w:t>These workloads may include:</w:t>
      </w:r>
    </w:p>
    <w:p w14:paraId="3A2A4B4D" w14:textId="77777777" w:rsidR="0082178E" w:rsidRDefault="0082178E" w:rsidP="0082178E">
      <w:pPr>
        <w:pStyle w:val="Compact"/>
        <w:numPr>
          <w:ilvl w:val="0"/>
          <w:numId w:val="2"/>
        </w:numPr>
      </w:pPr>
      <w:r>
        <w:t>Multiple frameworks</w:t>
      </w:r>
    </w:p>
    <w:p w14:paraId="03978F69" w14:textId="77777777" w:rsidR="0082178E" w:rsidRDefault="0082178E" w:rsidP="0082178E">
      <w:pPr>
        <w:pStyle w:val="Compact"/>
        <w:numPr>
          <w:ilvl w:val="0"/>
          <w:numId w:val="2"/>
        </w:numPr>
      </w:pPr>
      <w:r>
        <w:t>Control libraries</w:t>
      </w:r>
    </w:p>
    <w:p w14:paraId="686558BA" w14:textId="77777777" w:rsidR="0082178E" w:rsidRDefault="0082178E" w:rsidP="0082178E">
      <w:pPr>
        <w:pStyle w:val="Compact"/>
        <w:numPr>
          <w:ilvl w:val="0"/>
          <w:numId w:val="2"/>
        </w:numPr>
      </w:pPr>
      <w:r>
        <w:t>Evidence repositories</w:t>
      </w:r>
    </w:p>
    <w:p w14:paraId="1309D082" w14:textId="77777777" w:rsidR="0082178E" w:rsidRDefault="0082178E" w:rsidP="0082178E">
      <w:pPr>
        <w:pStyle w:val="Compact"/>
        <w:numPr>
          <w:ilvl w:val="0"/>
          <w:numId w:val="2"/>
        </w:numPr>
      </w:pPr>
      <w:r>
        <w:t>Historical observations</w:t>
      </w:r>
    </w:p>
    <w:p w14:paraId="7A90C525" w14:textId="77777777" w:rsidR="0082178E" w:rsidRDefault="0082178E" w:rsidP="0082178E">
      <w:pPr>
        <w:pStyle w:val="Compact"/>
        <w:numPr>
          <w:ilvl w:val="0"/>
          <w:numId w:val="2"/>
        </w:numPr>
      </w:pPr>
      <w:r>
        <w:t>Risk acceptance records</w:t>
      </w:r>
    </w:p>
    <w:p w14:paraId="1EE805F1" w14:textId="77777777" w:rsidR="0082178E" w:rsidRDefault="0082178E" w:rsidP="0082178E">
      <w:pPr>
        <w:pStyle w:val="Compact"/>
        <w:numPr>
          <w:ilvl w:val="0"/>
          <w:numId w:val="2"/>
        </w:numPr>
      </w:pPr>
      <w:r>
        <w:t>Compliance metadata</w:t>
      </w:r>
    </w:p>
    <w:p w14:paraId="4638BECD" w14:textId="77777777" w:rsidR="0082178E" w:rsidRDefault="00607121" w:rsidP="0082178E">
      <w:r>
        <w:rPr>
          <w:noProof/>
        </w:rPr>
        <w:pict w14:anchorId="759C9C42">
          <v:rect id="_x0000_i1030" alt="" style="width:1137.85pt;height:.05pt;mso-width-percent:0;mso-height-percent:0;mso-width-percent:0;mso-height-percent:0" o:hrpct="807" o:hralign="center" o:hrstd="t" o:hr="t"/>
        </w:pict>
      </w:r>
    </w:p>
    <w:p w14:paraId="09FC868F" w14:textId="77777777" w:rsidR="0082178E" w:rsidRDefault="0082178E" w:rsidP="0082178E">
      <w:pPr>
        <w:pStyle w:val="Heading3"/>
      </w:pPr>
      <w:bookmarkStart w:id="6" w:name="output-tokens"/>
      <w:bookmarkEnd w:id="5"/>
      <w:r>
        <w:t>Output Tokens</w:t>
      </w:r>
    </w:p>
    <w:p w14:paraId="37C2C563" w14:textId="77777777" w:rsidR="0082178E" w:rsidRDefault="0082178E" w:rsidP="0082178E">
      <w:pPr>
        <w:pStyle w:val="FirstParagraph"/>
      </w:pPr>
      <w:r>
        <w:t>Average Output Tokens per Request:</w:t>
      </w:r>
    </w:p>
    <w:p w14:paraId="461B2B99" w14:textId="77777777" w:rsidR="0082178E" w:rsidRDefault="0082178E" w:rsidP="0082178E">
      <w:pPr>
        <w:pStyle w:val="BodyText"/>
      </w:pPr>
      <w:r>
        <w:t>50,000</w:t>
      </w:r>
    </w:p>
    <w:p w14:paraId="1B64751C" w14:textId="77777777" w:rsidR="0082178E" w:rsidRDefault="0082178E" w:rsidP="0082178E">
      <w:pPr>
        <w:pStyle w:val="BodyText"/>
      </w:pPr>
      <w:r>
        <w:t>This represents detailed AI-generated outputs such as:</w:t>
      </w:r>
    </w:p>
    <w:p w14:paraId="77ED758E" w14:textId="77777777" w:rsidR="0082178E" w:rsidRDefault="0082178E" w:rsidP="0082178E">
      <w:pPr>
        <w:pStyle w:val="Compact"/>
        <w:numPr>
          <w:ilvl w:val="0"/>
          <w:numId w:val="2"/>
        </w:numPr>
      </w:pPr>
      <w:r>
        <w:t>Assessment Reports</w:t>
      </w:r>
    </w:p>
    <w:p w14:paraId="6BC3C63D" w14:textId="77777777" w:rsidR="0082178E" w:rsidRDefault="0082178E" w:rsidP="0082178E">
      <w:pPr>
        <w:pStyle w:val="Compact"/>
        <w:numPr>
          <w:ilvl w:val="0"/>
          <w:numId w:val="2"/>
        </w:numPr>
      </w:pPr>
      <w:r>
        <w:t>Observation Drafts</w:t>
      </w:r>
    </w:p>
    <w:p w14:paraId="50990387" w14:textId="77777777" w:rsidR="0082178E" w:rsidRDefault="0082178E" w:rsidP="0082178E">
      <w:pPr>
        <w:pStyle w:val="Compact"/>
        <w:numPr>
          <w:ilvl w:val="0"/>
          <w:numId w:val="2"/>
        </w:numPr>
      </w:pPr>
      <w:r>
        <w:t>Gap Analysis Reports</w:t>
      </w:r>
    </w:p>
    <w:p w14:paraId="19292524" w14:textId="77777777" w:rsidR="0082178E" w:rsidRDefault="0082178E" w:rsidP="0082178E">
      <w:pPr>
        <w:pStyle w:val="Compact"/>
        <w:numPr>
          <w:ilvl w:val="0"/>
          <w:numId w:val="2"/>
        </w:numPr>
      </w:pPr>
      <w:r>
        <w:t>Executive Summaries</w:t>
      </w:r>
    </w:p>
    <w:p w14:paraId="5A829A69" w14:textId="77777777" w:rsidR="0082178E" w:rsidRDefault="0082178E" w:rsidP="0082178E">
      <w:pPr>
        <w:pStyle w:val="Compact"/>
        <w:numPr>
          <w:ilvl w:val="0"/>
          <w:numId w:val="2"/>
        </w:numPr>
      </w:pPr>
      <w:r>
        <w:t>Remediation Recommendations</w:t>
      </w:r>
    </w:p>
    <w:p w14:paraId="5F6AA128" w14:textId="77777777" w:rsidR="0082178E" w:rsidRDefault="0082178E" w:rsidP="0082178E">
      <w:pPr>
        <w:pStyle w:val="Compact"/>
        <w:numPr>
          <w:ilvl w:val="0"/>
          <w:numId w:val="2"/>
        </w:numPr>
      </w:pPr>
      <w:r>
        <w:t>Compliance Findings</w:t>
      </w:r>
    </w:p>
    <w:p w14:paraId="18B574C5" w14:textId="77777777" w:rsidR="0082178E" w:rsidRDefault="00607121" w:rsidP="0082178E">
      <w:r>
        <w:rPr>
          <w:noProof/>
        </w:rPr>
        <w:pict w14:anchorId="314B3E76">
          <v:rect id="_x0000_i1029" alt="" style="width:1410pt;height:.05pt;mso-width-percent:0;mso-height-percent:0;mso-width-percent:0;mso-height-percent:0" o:hralign="center" o:hrstd="t" o:hr="t"/>
        </w:pict>
      </w:r>
    </w:p>
    <w:p w14:paraId="044D5900" w14:textId="77777777" w:rsidR="0082178E" w:rsidRDefault="0082178E" w:rsidP="0082178E">
      <w:pPr>
        <w:pStyle w:val="Heading2"/>
      </w:pPr>
      <w:bookmarkStart w:id="7" w:name="weighted-token-calculation"/>
      <w:bookmarkEnd w:id="4"/>
      <w:bookmarkEnd w:id="6"/>
      <w:r>
        <w:t>Weighted Token Calculation</w:t>
      </w:r>
    </w:p>
    <w:p w14:paraId="265C07A7" w14:textId="77777777" w:rsidR="0082178E" w:rsidRDefault="0082178E" w:rsidP="0082178E">
      <w:pPr>
        <w:pStyle w:val="FirstParagraph"/>
      </w:pPr>
      <w:r>
        <w:t>Using the Neve formula:</w:t>
      </w:r>
    </w:p>
    <w:p w14:paraId="339E636A" w14:textId="77777777" w:rsidR="0082178E" w:rsidRDefault="0082178E" w:rsidP="0082178E">
      <w:pPr>
        <w:pStyle w:val="BodyText"/>
      </w:pPr>
      <w:r>
        <w:t>Weighted Tokens per Request</w:t>
      </w:r>
    </w:p>
    <w:p w14:paraId="5E58B9DD" w14:textId="77777777" w:rsidR="0082178E" w:rsidRDefault="0082178E" w:rsidP="0082178E">
      <w:pPr>
        <w:pStyle w:val="BodyText"/>
      </w:pPr>
      <w:r>
        <w:t>= Input Tokens + (9 × Output Tokens)</w:t>
      </w:r>
    </w:p>
    <w:p w14:paraId="0CDF43C2" w14:textId="77777777" w:rsidR="0082178E" w:rsidRDefault="0082178E" w:rsidP="0082178E">
      <w:pPr>
        <w:pStyle w:val="BodyText"/>
      </w:pPr>
      <w:r>
        <w:t>= 125,000 + (9 × 50,000)</w:t>
      </w:r>
    </w:p>
    <w:p w14:paraId="6C370F3D" w14:textId="77777777" w:rsidR="0082178E" w:rsidRDefault="0082178E" w:rsidP="0082178E">
      <w:pPr>
        <w:pStyle w:val="BodyText"/>
      </w:pPr>
      <w:r>
        <w:t>= 125,000 + 450,000</w:t>
      </w:r>
    </w:p>
    <w:p w14:paraId="175085FB" w14:textId="77777777" w:rsidR="0082178E" w:rsidRDefault="0082178E" w:rsidP="0082178E">
      <w:pPr>
        <w:pStyle w:val="BodyText"/>
      </w:pPr>
      <w:r>
        <w:t>= 575,000 Tokens</w:t>
      </w:r>
    </w:p>
    <w:p w14:paraId="0730BA8A" w14:textId="77777777" w:rsidR="0082178E" w:rsidRDefault="0082178E" w:rsidP="0082178E">
      <w:pPr>
        <w:pStyle w:val="BodyText"/>
      </w:pPr>
      <w:r>
        <w:t>Therefore, each large enterprise AI request is considered equivalent to approximately:</w:t>
      </w:r>
    </w:p>
    <w:p w14:paraId="7370F721" w14:textId="77777777" w:rsidR="0082178E" w:rsidRDefault="0082178E" w:rsidP="0082178E">
      <w:pPr>
        <w:pStyle w:val="BodyText"/>
      </w:pPr>
      <w:r>
        <w:t>575,000 Tokens Per Minute (TPM)</w:t>
      </w:r>
    </w:p>
    <w:p w14:paraId="4FC59344" w14:textId="77777777" w:rsidR="0082178E" w:rsidRDefault="0082178E" w:rsidP="0082178E">
      <w:pPr>
        <w:pStyle w:val="BodyText"/>
      </w:pPr>
      <w:r>
        <w:t>for capacity planning purposes.</w:t>
      </w:r>
    </w:p>
    <w:p w14:paraId="69AF6F4B" w14:textId="77777777" w:rsidR="0082178E" w:rsidRDefault="00607121" w:rsidP="0082178E">
      <w:r>
        <w:rPr>
          <w:noProof/>
        </w:rPr>
        <w:pict w14:anchorId="7BD3DAC4">
          <v:rect id="_x0000_i1028" alt="" style="width:1410pt;height:.05pt;mso-width-percent:0;mso-height-percent:0;mso-width-percent:0;mso-height-percent:0" o:hralign="center" o:hrstd="t" o:hr="t"/>
        </w:pict>
      </w:r>
    </w:p>
    <w:p w14:paraId="0A4D770D" w14:textId="77777777" w:rsidR="0082178E" w:rsidRDefault="0082178E" w:rsidP="0082178E">
      <w:pPr>
        <w:pStyle w:val="Heading2"/>
      </w:pPr>
      <w:bookmarkStart w:id="8" w:name="peak-request-assumption"/>
      <w:bookmarkEnd w:id="7"/>
      <w:r>
        <w:t>Peak Request Assumption</w:t>
      </w:r>
    </w:p>
    <w:p w14:paraId="58DCE94A" w14:textId="77777777" w:rsidR="0082178E" w:rsidRDefault="0082178E" w:rsidP="0082178E">
      <w:pPr>
        <w:pStyle w:val="FirstParagraph"/>
      </w:pPr>
      <w:r>
        <w:t>The sizing model is based on peak enterprise demand rather than average demand.</w:t>
      </w:r>
    </w:p>
    <w:p w14:paraId="2DEEA53C" w14:textId="77777777" w:rsidR="0082178E" w:rsidRDefault="0082178E" w:rsidP="0082178E">
      <w:pPr>
        <w:pStyle w:val="BodyText"/>
      </w:pPr>
      <w:r>
        <w:t>Assumption:</w:t>
      </w:r>
    </w:p>
    <w:p w14:paraId="3745B11C" w14:textId="77777777" w:rsidR="0082178E" w:rsidRDefault="0082178E" w:rsidP="0082178E">
      <w:pPr>
        <w:pStyle w:val="BodyText"/>
      </w:pPr>
      <w:r>
        <w:t>Peak Requests Per Minute = 3</w:t>
      </w:r>
    </w:p>
    <w:p w14:paraId="07A84F80" w14:textId="77777777" w:rsidR="0082178E" w:rsidRDefault="0082178E" w:rsidP="0082178E">
      <w:pPr>
        <w:pStyle w:val="BodyText"/>
      </w:pPr>
      <w:r>
        <w:t>This assumes that at peak periods, ECS may need to process up to three concurrent large enterprise AI assessment requests within the same minute.</w:t>
      </w:r>
    </w:p>
    <w:p w14:paraId="5EFE8A2F" w14:textId="77777777" w:rsidR="0082178E" w:rsidRDefault="0082178E" w:rsidP="0082178E">
      <w:pPr>
        <w:pStyle w:val="BodyText"/>
      </w:pPr>
      <w:r>
        <w:t>Examples include:</w:t>
      </w:r>
    </w:p>
    <w:p w14:paraId="66081F1D" w14:textId="77777777" w:rsidR="0082178E" w:rsidRDefault="0082178E" w:rsidP="0082178E">
      <w:pPr>
        <w:pStyle w:val="Compact"/>
        <w:numPr>
          <w:ilvl w:val="0"/>
          <w:numId w:val="2"/>
        </w:numPr>
      </w:pPr>
      <w:r>
        <w:t>Multiple auditors performing readiness assessments</w:t>
      </w:r>
    </w:p>
    <w:p w14:paraId="609E86E8" w14:textId="77777777" w:rsidR="0082178E" w:rsidRDefault="0082178E" w:rsidP="0082178E">
      <w:pPr>
        <w:pStyle w:val="Compact"/>
        <w:numPr>
          <w:ilvl w:val="0"/>
          <w:numId w:val="2"/>
        </w:numPr>
      </w:pPr>
      <w:r>
        <w:t>Simultaneous executive reporting requests</w:t>
      </w:r>
    </w:p>
    <w:p w14:paraId="3CAA5749" w14:textId="77777777" w:rsidR="0082178E" w:rsidRDefault="0082178E" w:rsidP="0082178E">
      <w:pPr>
        <w:pStyle w:val="Compact"/>
        <w:numPr>
          <w:ilvl w:val="0"/>
          <w:numId w:val="2"/>
        </w:numPr>
      </w:pPr>
      <w:r>
        <w:t>Concurrent framework compliance evaluations</w:t>
      </w:r>
    </w:p>
    <w:p w14:paraId="6DE35FA9" w14:textId="77777777" w:rsidR="0082178E" w:rsidRDefault="0082178E" w:rsidP="0082178E">
      <w:pPr>
        <w:pStyle w:val="Compact"/>
        <w:numPr>
          <w:ilvl w:val="0"/>
          <w:numId w:val="2"/>
        </w:numPr>
      </w:pPr>
      <w:r>
        <w:t>Multiple governance reviews running in parallel</w:t>
      </w:r>
    </w:p>
    <w:p w14:paraId="46D9D5EC" w14:textId="77777777" w:rsidR="0082178E" w:rsidRDefault="00607121" w:rsidP="0082178E">
      <w:r>
        <w:rPr>
          <w:noProof/>
        </w:rPr>
        <w:pict w14:anchorId="08C98CA4">
          <v:rect id="_x0000_i1027" alt="" style="width:1137.85pt;height:.05pt;mso-width-percent:0;mso-height-percent:0;mso-width-percent:0;mso-height-percent:0" o:hrpct="807" o:hralign="center" o:hrstd="t" o:hr="t"/>
        </w:pict>
      </w:r>
    </w:p>
    <w:p w14:paraId="2DF09E92" w14:textId="77777777" w:rsidR="0082178E" w:rsidRDefault="0082178E" w:rsidP="0082178E">
      <w:pPr>
        <w:pStyle w:val="Heading2"/>
      </w:pPr>
      <w:bookmarkStart w:id="9" w:name="final-capacity-calculation"/>
      <w:bookmarkEnd w:id="8"/>
      <w:r>
        <w:t>Final Capacity Calculation</w:t>
      </w:r>
    </w:p>
    <w:p w14:paraId="030006BB" w14:textId="77777777" w:rsidR="0082178E" w:rsidRDefault="0082178E" w:rsidP="0082178E">
      <w:pPr>
        <w:pStyle w:val="FirstParagraph"/>
      </w:pPr>
      <w:r>
        <w:t>TPM</w:t>
      </w:r>
    </w:p>
    <w:p w14:paraId="330EF68C" w14:textId="77777777" w:rsidR="0082178E" w:rsidRDefault="0082178E" w:rsidP="0082178E">
      <w:pPr>
        <w:pStyle w:val="BodyText"/>
      </w:pPr>
      <w:r>
        <w:t>= 575,000 × 3</w:t>
      </w:r>
    </w:p>
    <w:p w14:paraId="60151EB1" w14:textId="77777777" w:rsidR="0082178E" w:rsidRDefault="0082178E" w:rsidP="0082178E">
      <w:pPr>
        <w:pStyle w:val="BodyText"/>
      </w:pPr>
      <w:r>
        <w:t>= 1,725,000 Tokens Per Minute</w:t>
      </w:r>
    </w:p>
    <w:p w14:paraId="2547683C" w14:textId="77777777" w:rsidR="0082178E" w:rsidRDefault="00607121" w:rsidP="0082178E">
      <w:r>
        <w:rPr>
          <w:noProof/>
        </w:rPr>
        <w:pict w14:anchorId="272EBCB7">
          <v:rect id="_x0000_i1026" alt="" style="width:1137.85pt;height:.05pt;mso-width-percent:0;mso-height-percent:0;mso-width-percent:0;mso-height-percent:0" o:hrpct="807" o:hralign="center" o:hrstd="t" o:hr="t"/>
        </w:pict>
      </w:r>
    </w:p>
    <w:p w14:paraId="3F7689E8" w14:textId="77777777" w:rsidR="0082178E" w:rsidRDefault="0082178E" w:rsidP="0082178E">
      <w:pPr>
        <w:pStyle w:val="Heading2"/>
      </w:pPr>
      <w:bookmarkStart w:id="10" w:name="final-capacity-planning-recommendation"/>
      <w:bookmarkEnd w:id="9"/>
      <w:r>
        <w:t>Final Capacity Planning Recommendation</w:t>
      </w:r>
    </w:p>
    <w:p w14:paraId="41956764" w14:textId="77777777" w:rsidR="0082178E" w:rsidRDefault="0082178E" w:rsidP="0082178E">
      <w:pPr>
        <w:pStyle w:val="FirstParagraph"/>
      </w:pPr>
      <w:r>
        <w:t>Reserved Peak Capacity Requirement:</w:t>
      </w:r>
    </w:p>
    <w:p w14:paraId="1BAC4691" w14:textId="77777777" w:rsidR="0082178E" w:rsidRDefault="0082178E" w:rsidP="0082178E">
      <w:pPr>
        <w:pStyle w:val="BodyText"/>
      </w:pPr>
      <w:r>
        <w:t>1.725 Million Tokens Per Minute (TPM)</w:t>
      </w:r>
    </w:p>
    <w:p w14:paraId="3B1BD6FB" w14:textId="77777777" w:rsidR="0082178E" w:rsidRDefault="0082178E" w:rsidP="0082178E">
      <w:pPr>
        <w:pStyle w:val="BodyText"/>
      </w:pPr>
      <w:r>
        <w:t>This represents a peak enterprise sizing scenario and should be treated as reserved capacity for future growth and enterprise-wide adoption.</w:t>
      </w:r>
    </w:p>
    <w:p w14:paraId="36133EC4" w14:textId="77777777" w:rsidR="0082178E" w:rsidRDefault="0082178E" w:rsidP="0082178E">
      <w:pPr>
        <w:pStyle w:val="BodyText"/>
      </w:pPr>
      <w:r>
        <w:t>It does not represent expected day-to-day utilization.</w:t>
      </w:r>
    </w:p>
    <w:p w14:paraId="1B5BA80B" w14:textId="77777777" w:rsidR="0082178E" w:rsidRDefault="0082178E" w:rsidP="0082178E">
      <w:pPr>
        <w:pStyle w:val="BodyText"/>
      </w:pPr>
      <w:r>
        <w:t>Expected utilization is anticipated to be significantly lower; however, sizing at this level ensures ECS can support:</w:t>
      </w:r>
    </w:p>
    <w:p w14:paraId="264A625F" w14:textId="77777777" w:rsidR="0082178E" w:rsidRDefault="0082178E" w:rsidP="0082178E">
      <w:pPr>
        <w:pStyle w:val="Compact"/>
        <w:numPr>
          <w:ilvl w:val="0"/>
          <w:numId w:val="2"/>
        </w:numPr>
      </w:pPr>
      <w:r>
        <w:t>Pan-India rollout</w:t>
      </w:r>
    </w:p>
    <w:p w14:paraId="0EACAF15" w14:textId="77777777" w:rsidR="0082178E" w:rsidRDefault="0082178E" w:rsidP="0082178E">
      <w:pPr>
        <w:pStyle w:val="Compact"/>
        <w:numPr>
          <w:ilvl w:val="0"/>
          <w:numId w:val="2"/>
        </w:numPr>
      </w:pPr>
      <w:r>
        <w:t>Enterprise-scale adoption</w:t>
      </w:r>
    </w:p>
    <w:p w14:paraId="11C56092" w14:textId="77777777" w:rsidR="0082178E" w:rsidRDefault="0082178E" w:rsidP="0082178E">
      <w:pPr>
        <w:pStyle w:val="Compact"/>
        <w:numPr>
          <w:ilvl w:val="0"/>
          <w:numId w:val="2"/>
        </w:numPr>
      </w:pPr>
      <w:r>
        <w:t>Growth in AI-enabled use cases</w:t>
      </w:r>
    </w:p>
    <w:p w14:paraId="5C166D65" w14:textId="77777777" w:rsidR="0082178E" w:rsidRDefault="0082178E" w:rsidP="0082178E">
      <w:pPr>
        <w:pStyle w:val="Compact"/>
        <w:numPr>
          <w:ilvl w:val="0"/>
          <w:numId w:val="2"/>
        </w:numPr>
      </w:pPr>
      <w:r>
        <w:t>Future framework expansion</w:t>
      </w:r>
    </w:p>
    <w:p w14:paraId="636FA9E9" w14:textId="77777777" w:rsidR="0082178E" w:rsidRDefault="0082178E" w:rsidP="0082178E">
      <w:pPr>
        <w:pStyle w:val="Compact"/>
        <w:numPr>
          <w:ilvl w:val="0"/>
          <w:numId w:val="2"/>
        </w:numPr>
      </w:pPr>
      <w:r>
        <w:t>Increased audit and compliance workloads</w:t>
      </w:r>
    </w:p>
    <w:p w14:paraId="4DD630E7" w14:textId="77777777" w:rsidR="0082178E" w:rsidRDefault="0082178E" w:rsidP="0082178E">
      <w:pPr>
        <w:pStyle w:val="FirstParagraph"/>
      </w:pPr>
      <w:r>
        <w:t>without requiring additional infrastructure redesign or capacity expansion.</w:t>
      </w:r>
    </w:p>
    <w:p w14:paraId="2D1EDEEB" w14:textId="77777777" w:rsidR="0082178E" w:rsidRDefault="00607121" w:rsidP="0082178E">
      <w:r>
        <w:rPr>
          <w:noProof/>
        </w:rPr>
        <w:pict w14:anchorId="7A7412C7">
          <v:rect id="_x0000_i1025" alt="" style="width:1137.85pt;height:.05pt;mso-width-percent:0;mso-height-percent:0;mso-width-percent:0;mso-height-percent:0" o:hrpct="807" o:hralign="center" o:hrstd="t" o:hr="t"/>
        </w:pict>
      </w:r>
    </w:p>
    <w:bookmarkEnd w:id="10"/>
    <w:p w14:paraId="145A9E69" w14:textId="77777777" w:rsidR="0082178E" w:rsidRDefault="0082178E" w:rsidP="0082178E">
      <w:pPr>
        <w:pStyle w:val="Heading2"/>
      </w:pPr>
      <w:r>
        <w:t>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9"/>
        <w:gridCol w:w="1688"/>
      </w:tblGrid>
      <w:tr w:rsidR="0082178E" w14:paraId="60EB4CB0" w14:textId="77777777" w:rsidTr="000C5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7BEF18" w14:textId="77777777" w:rsidR="0082178E" w:rsidRDefault="0082178E" w:rsidP="000C5E24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74905A76" w14:textId="77777777" w:rsidR="0082178E" w:rsidRDefault="0082178E" w:rsidP="000C5E24">
            <w:pPr>
              <w:pStyle w:val="Compact"/>
              <w:jc w:val="right"/>
            </w:pPr>
            <w:r>
              <w:t>Value</w:t>
            </w:r>
          </w:p>
        </w:tc>
      </w:tr>
      <w:tr w:rsidR="0082178E" w14:paraId="65A363B0" w14:textId="77777777" w:rsidTr="000C5E24">
        <w:tc>
          <w:tcPr>
            <w:tcW w:w="0" w:type="auto"/>
          </w:tcPr>
          <w:p w14:paraId="3DE9E477" w14:textId="77777777" w:rsidR="0082178E" w:rsidRDefault="0082178E" w:rsidP="000C5E24">
            <w:pPr>
              <w:pStyle w:val="Compact"/>
            </w:pPr>
            <w:r>
              <w:t>Input Tokens</w:t>
            </w:r>
          </w:p>
        </w:tc>
        <w:tc>
          <w:tcPr>
            <w:tcW w:w="0" w:type="auto"/>
          </w:tcPr>
          <w:p w14:paraId="50EE6B9E" w14:textId="77777777" w:rsidR="0082178E" w:rsidRDefault="0082178E" w:rsidP="000C5E24">
            <w:pPr>
              <w:pStyle w:val="Compact"/>
              <w:jc w:val="right"/>
            </w:pPr>
            <w:r>
              <w:t>125,000</w:t>
            </w:r>
          </w:p>
        </w:tc>
      </w:tr>
      <w:tr w:rsidR="0082178E" w14:paraId="2A623BE6" w14:textId="77777777" w:rsidTr="000C5E24">
        <w:tc>
          <w:tcPr>
            <w:tcW w:w="0" w:type="auto"/>
          </w:tcPr>
          <w:p w14:paraId="4834483B" w14:textId="77777777" w:rsidR="0082178E" w:rsidRDefault="0082178E" w:rsidP="000C5E24">
            <w:pPr>
              <w:pStyle w:val="Compact"/>
            </w:pPr>
            <w:r>
              <w:t>Output Tokens</w:t>
            </w:r>
          </w:p>
        </w:tc>
        <w:tc>
          <w:tcPr>
            <w:tcW w:w="0" w:type="auto"/>
          </w:tcPr>
          <w:p w14:paraId="18C3CB7D" w14:textId="77777777" w:rsidR="0082178E" w:rsidRDefault="0082178E" w:rsidP="000C5E24">
            <w:pPr>
              <w:pStyle w:val="Compact"/>
              <w:jc w:val="right"/>
            </w:pPr>
            <w:r>
              <w:t>50,000</w:t>
            </w:r>
          </w:p>
        </w:tc>
      </w:tr>
      <w:tr w:rsidR="0082178E" w14:paraId="3CC90EF4" w14:textId="77777777" w:rsidTr="000C5E24">
        <w:tc>
          <w:tcPr>
            <w:tcW w:w="0" w:type="auto"/>
          </w:tcPr>
          <w:p w14:paraId="15A0B6F5" w14:textId="77777777" w:rsidR="0082178E" w:rsidRDefault="0082178E" w:rsidP="000C5E24">
            <w:pPr>
              <w:pStyle w:val="Compact"/>
            </w:pPr>
            <w:r>
              <w:t>Output Weighting Factor</w:t>
            </w:r>
          </w:p>
        </w:tc>
        <w:tc>
          <w:tcPr>
            <w:tcW w:w="0" w:type="auto"/>
          </w:tcPr>
          <w:p w14:paraId="519784A8" w14:textId="77777777" w:rsidR="0082178E" w:rsidRDefault="0082178E" w:rsidP="000C5E24">
            <w:pPr>
              <w:pStyle w:val="Compact"/>
              <w:jc w:val="right"/>
            </w:pPr>
            <w:r>
              <w:t>9x</w:t>
            </w:r>
          </w:p>
        </w:tc>
      </w:tr>
      <w:tr w:rsidR="0082178E" w14:paraId="37C9504C" w14:textId="77777777" w:rsidTr="000C5E24">
        <w:tc>
          <w:tcPr>
            <w:tcW w:w="0" w:type="auto"/>
          </w:tcPr>
          <w:p w14:paraId="084F6C07" w14:textId="77777777" w:rsidR="0082178E" w:rsidRDefault="0082178E" w:rsidP="000C5E24">
            <w:pPr>
              <w:pStyle w:val="Compact"/>
            </w:pPr>
            <w:r>
              <w:t>Weighted Tokens per Request</w:t>
            </w:r>
          </w:p>
        </w:tc>
        <w:tc>
          <w:tcPr>
            <w:tcW w:w="0" w:type="auto"/>
          </w:tcPr>
          <w:p w14:paraId="69F003A9" w14:textId="77777777" w:rsidR="0082178E" w:rsidRDefault="0082178E" w:rsidP="000C5E24">
            <w:pPr>
              <w:pStyle w:val="Compact"/>
              <w:jc w:val="right"/>
            </w:pPr>
            <w:r>
              <w:t>575,000</w:t>
            </w:r>
          </w:p>
        </w:tc>
      </w:tr>
      <w:tr w:rsidR="0082178E" w14:paraId="4ADCE16B" w14:textId="77777777" w:rsidTr="000C5E24">
        <w:tc>
          <w:tcPr>
            <w:tcW w:w="0" w:type="auto"/>
          </w:tcPr>
          <w:p w14:paraId="411A4EA6" w14:textId="77777777" w:rsidR="0082178E" w:rsidRDefault="0082178E" w:rsidP="000C5E24">
            <w:pPr>
              <w:pStyle w:val="Compact"/>
            </w:pPr>
            <w:r>
              <w:t>Peak Requests per Minute</w:t>
            </w:r>
          </w:p>
        </w:tc>
        <w:tc>
          <w:tcPr>
            <w:tcW w:w="0" w:type="auto"/>
          </w:tcPr>
          <w:p w14:paraId="29480462" w14:textId="77777777" w:rsidR="0082178E" w:rsidRDefault="0082178E" w:rsidP="000C5E24">
            <w:pPr>
              <w:pStyle w:val="Compact"/>
              <w:jc w:val="right"/>
            </w:pPr>
            <w:r>
              <w:t>3</w:t>
            </w:r>
          </w:p>
        </w:tc>
      </w:tr>
      <w:tr w:rsidR="0082178E" w14:paraId="51244AF9" w14:textId="77777777" w:rsidTr="000C5E24">
        <w:tc>
          <w:tcPr>
            <w:tcW w:w="0" w:type="auto"/>
          </w:tcPr>
          <w:p w14:paraId="16C09A18" w14:textId="77777777" w:rsidR="0082178E" w:rsidRDefault="0082178E" w:rsidP="000C5E24">
            <w:pPr>
              <w:pStyle w:val="Compact"/>
            </w:pPr>
            <w:r>
              <w:t>Final Capacity Requirement</w:t>
            </w:r>
          </w:p>
        </w:tc>
        <w:tc>
          <w:tcPr>
            <w:tcW w:w="0" w:type="auto"/>
          </w:tcPr>
          <w:p w14:paraId="75E4447C" w14:textId="77777777" w:rsidR="0082178E" w:rsidRDefault="0082178E" w:rsidP="000C5E24">
            <w:pPr>
              <w:pStyle w:val="Compact"/>
              <w:jc w:val="right"/>
            </w:pPr>
            <w:r>
              <w:t>1,725,000 TPM</w:t>
            </w:r>
          </w:p>
        </w:tc>
      </w:tr>
    </w:tbl>
    <w:p w14:paraId="785D0B18" w14:textId="77777777" w:rsidR="0082178E" w:rsidRDefault="0082178E" w:rsidP="0082178E">
      <w:pPr>
        <w:pStyle w:val="BodyText"/>
      </w:pPr>
      <w:r>
        <w:t>This value should be used as the enterprise peak capacity planning estimate for ECS AI workload sizing.</w:t>
      </w:r>
    </w:p>
    <w:p w14:paraId="247F935A" w14:textId="77777777" w:rsidR="0082178E" w:rsidRDefault="0082178E" w:rsidP="0082178E">
      <w:r>
        <w:br w:type="page"/>
      </w:r>
    </w:p>
    <w:p w14:paraId="4D44B272" w14:textId="77777777" w:rsidR="0082178E" w:rsidRDefault="0082178E" w:rsidP="0082178E">
      <w:pPr>
        <w:pStyle w:val="Heading1"/>
      </w:pPr>
      <w:r>
        <w:t>Detailed ECS Framework-Based Token Justification</w:t>
      </w:r>
    </w:p>
    <w:p w14:paraId="5F7E9594" w14:textId="77777777" w:rsidR="0082178E" w:rsidRDefault="0082178E" w:rsidP="0082178E">
      <w:r>
        <w:rPr>
          <w:b/>
        </w:rPr>
        <w:t>Input Token Distribution (125,000 Tokens)</w:t>
      </w:r>
      <w:r>
        <w:rPr>
          <w:b/>
        </w:rPr>
        <w:br/>
      </w:r>
    </w:p>
    <w:p w14:paraId="163D4AA0" w14:textId="77777777" w:rsidR="0082178E" w:rsidRDefault="0082178E" w:rsidP="0082178E">
      <w:r>
        <w:t>For ECS, a large audit readiness assessment may analyze 10 major framework/control areas. Each area contributes approximately 12,500 tokens, resulting in 125,000 input tokens.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2178E" w14:paraId="0DB6C3C5" w14:textId="77777777" w:rsidTr="000C5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48649944" w14:textId="77777777" w:rsidR="0082178E" w:rsidRDefault="0082178E" w:rsidP="000C5E24">
            <w:r>
              <w:t>Area</w:t>
            </w:r>
          </w:p>
        </w:tc>
        <w:tc>
          <w:tcPr>
            <w:tcW w:w="3120" w:type="dxa"/>
          </w:tcPr>
          <w:p w14:paraId="5658A7EF" w14:textId="77777777" w:rsidR="0082178E" w:rsidRDefault="0082178E" w:rsidP="000C5E24">
            <w:r>
              <w:t>Tokens</w:t>
            </w:r>
          </w:p>
        </w:tc>
        <w:tc>
          <w:tcPr>
            <w:tcW w:w="3120" w:type="dxa"/>
          </w:tcPr>
          <w:p w14:paraId="222F5AB0" w14:textId="77777777" w:rsidR="0082178E" w:rsidRDefault="0082178E" w:rsidP="000C5E24">
            <w:r>
              <w:t>Justification</w:t>
            </w:r>
          </w:p>
        </w:tc>
      </w:tr>
      <w:tr w:rsidR="0082178E" w14:paraId="1C669E45" w14:textId="77777777" w:rsidTr="000C5E24">
        <w:tc>
          <w:tcPr>
            <w:tcW w:w="3120" w:type="dxa"/>
          </w:tcPr>
          <w:p w14:paraId="37810807" w14:textId="77777777" w:rsidR="0082178E" w:rsidRDefault="0082178E" w:rsidP="000C5E24">
            <w:r>
              <w:t>PCI DSS Controls &amp; Evidence</w:t>
            </w:r>
          </w:p>
        </w:tc>
        <w:tc>
          <w:tcPr>
            <w:tcW w:w="3120" w:type="dxa"/>
          </w:tcPr>
          <w:p w14:paraId="6C1DB581" w14:textId="77777777" w:rsidR="0082178E" w:rsidRDefault="0082178E" w:rsidP="000C5E24">
            <w:r>
              <w:t>12,500</w:t>
            </w:r>
          </w:p>
        </w:tc>
        <w:tc>
          <w:tcPr>
            <w:tcW w:w="3120" w:type="dxa"/>
          </w:tcPr>
          <w:p w14:paraId="4AC90236" w14:textId="77777777" w:rsidR="0082178E" w:rsidRDefault="0082178E" w:rsidP="000C5E24">
            <w:r>
              <w:t>Controls, evidence and mappings</w:t>
            </w:r>
          </w:p>
        </w:tc>
      </w:tr>
      <w:tr w:rsidR="0082178E" w14:paraId="31AE4B46" w14:textId="77777777" w:rsidTr="000C5E24">
        <w:tc>
          <w:tcPr>
            <w:tcW w:w="3120" w:type="dxa"/>
          </w:tcPr>
          <w:p w14:paraId="27D28FF0" w14:textId="77777777" w:rsidR="0082178E" w:rsidRDefault="0082178E" w:rsidP="000C5E24">
            <w:r>
              <w:t>DPSC Controls &amp; Evidence</w:t>
            </w:r>
          </w:p>
        </w:tc>
        <w:tc>
          <w:tcPr>
            <w:tcW w:w="3120" w:type="dxa"/>
          </w:tcPr>
          <w:p w14:paraId="53E8BFFB" w14:textId="77777777" w:rsidR="0082178E" w:rsidRDefault="0082178E" w:rsidP="000C5E24">
            <w:r>
              <w:t>12,500</w:t>
            </w:r>
          </w:p>
        </w:tc>
        <w:tc>
          <w:tcPr>
            <w:tcW w:w="3120" w:type="dxa"/>
          </w:tcPr>
          <w:p w14:paraId="2319D933" w14:textId="77777777" w:rsidR="0082178E" w:rsidRDefault="0082178E" w:rsidP="000C5E24">
            <w:r>
              <w:t>Controls and assessment data</w:t>
            </w:r>
          </w:p>
        </w:tc>
      </w:tr>
      <w:tr w:rsidR="0082178E" w14:paraId="72165496" w14:textId="77777777" w:rsidTr="000C5E24">
        <w:tc>
          <w:tcPr>
            <w:tcW w:w="3120" w:type="dxa"/>
          </w:tcPr>
          <w:p w14:paraId="068A9CCB" w14:textId="77777777" w:rsidR="0082178E" w:rsidRDefault="0082178E" w:rsidP="000C5E24">
            <w:r>
              <w:t>C-SITE Controls &amp; Evidence</w:t>
            </w:r>
          </w:p>
        </w:tc>
        <w:tc>
          <w:tcPr>
            <w:tcW w:w="3120" w:type="dxa"/>
          </w:tcPr>
          <w:p w14:paraId="0EADBB7D" w14:textId="77777777" w:rsidR="0082178E" w:rsidRDefault="0082178E" w:rsidP="000C5E24">
            <w:r>
              <w:t>12,500</w:t>
            </w:r>
          </w:p>
        </w:tc>
        <w:tc>
          <w:tcPr>
            <w:tcW w:w="3120" w:type="dxa"/>
          </w:tcPr>
          <w:p w14:paraId="39FE768A" w14:textId="77777777" w:rsidR="0082178E" w:rsidRDefault="0082178E" w:rsidP="000C5E24">
            <w:r>
              <w:t>Cybersecurity assessment data</w:t>
            </w:r>
          </w:p>
        </w:tc>
      </w:tr>
      <w:tr w:rsidR="0082178E" w14:paraId="360E644F" w14:textId="77777777" w:rsidTr="000C5E24">
        <w:tc>
          <w:tcPr>
            <w:tcW w:w="3120" w:type="dxa"/>
          </w:tcPr>
          <w:p w14:paraId="5DB7F122" w14:textId="77777777" w:rsidR="0082178E" w:rsidRDefault="0082178E" w:rsidP="000C5E24">
            <w:r>
              <w:t>ITPP Controls &amp; Evidence</w:t>
            </w:r>
          </w:p>
        </w:tc>
        <w:tc>
          <w:tcPr>
            <w:tcW w:w="3120" w:type="dxa"/>
          </w:tcPr>
          <w:p w14:paraId="74AA7BE4" w14:textId="77777777" w:rsidR="0082178E" w:rsidRDefault="0082178E" w:rsidP="000C5E24">
            <w:r>
              <w:t>12,500</w:t>
            </w:r>
          </w:p>
        </w:tc>
        <w:tc>
          <w:tcPr>
            <w:tcW w:w="3120" w:type="dxa"/>
          </w:tcPr>
          <w:p w14:paraId="4B5FD22A" w14:textId="77777777" w:rsidR="0082178E" w:rsidRDefault="0082178E" w:rsidP="000C5E24">
            <w:r>
              <w:t>Policy and compliance controls</w:t>
            </w:r>
          </w:p>
        </w:tc>
      </w:tr>
      <w:tr w:rsidR="0082178E" w14:paraId="1DF6EBFA" w14:textId="77777777" w:rsidTr="000C5E24">
        <w:tc>
          <w:tcPr>
            <w:tcW w:w="3120" w:type="dxa"/>
          </w:tcPr>
          <w:p w14:paraId="612AF660" w14:textId="77777777" w:rsidR="0082178E" w:rsidRDefault="0082178E" w:rsidP="000C5E24">
            <w:r>
              <w:t>ITDRM Controls &amp; Evidence</w:t>
            </w:r>
          </w:p>
        </w:tc>
        <w:tc>
          <w:tcPr>
            <w:tcW w:w="3120" w:type="dxa"/>
          </w:tcPr>
          <w:p w14:paraId="483AAC3F" w14:textId="77777777" w:rsidR="0082178E" w:rsidRDefault="0082178E" w:rsidP="000C5E24">
            <w:r>
              <w:t>12,500</w:t>
            </w:r>
          </w:p>
        </w:tc>
        <w:tc>
          <w:tcPr>
            <w:tcW w:w="3120" w:type="dxa"/>
          </w:tcPr>
          <w:p w14:paraId="0DEED1E5" w14:textId="77777777" w:rsidR="0082178E" w:rsidRDefault="0082178E" w:rsidP="000C5E24">
            <w:r>
              <w:t>DR and resilience controls</w:t>
            </w:r>
          </w:p>
        </w:tc>
      </w:tr>
      <w:tr w:rsidR="0082178E" w14:paraId="0D4B7843" w14:textId="77777777" w:rsidTr="000C5E24">
        <w:tc>
          <w:tcPr>
            <w:tcW w:w="3120" w:type="dxa"/>
          </w:tcPr>
          <w:p w14:paraId="24C788A0" w14:textId="77777777" w:rsidR="0082178E" w:rsidRDefault="0082178E" w:rsidP="000C5E24">
            <w:r>
              <w:t>VAPT Findings</w:t>
            </w:r>
          </w:p>
        </w:tc>
        <w:tc>
          <w:tcPr>
            <w:tcW w:w="3120" w:type="dxa"/>
          </w:tcPr>
          <w:p w14:paraId="15D11B73" w14:textId="77777777" w:rsidR="0082178E" w:rsidRDefault="0082178E" w:rsidP="000C5E24">
            <w:r>
              <w:t>12,500</w:t>
            </w:r>
          </w:p>
        </w:tc>
        <w:tc>
          <w:tcPr>
            <w:tcW w:w="3120" w:type="dxa"/>
          </w:tcPr>
          <w:p w14:paraId="1216BC88" w14:textId="77777777" w:rsidR="0082178E" w:rsidRDefault="0082178E" w:rsidP="000C5E24">
            <w:r>
              <w:t>Open vulnerabilities and closures</w:t>
            </w:r>
          </w:p>
        </w:tc>
      </w:tr>
      <w:tr w:rsidR="0082178E" w14:paraId="201FD056" w14:textId="77777777" w:rsidTr="000C5E24">
        <w:tc>
          <w:tcPr>
            <w:tcW w:w="3120" w:type="dxa"/>
          </w:tcPr>
          <w:p w14:paraId="2351676D" w14:textId="77777777" w:rsidR="0082178E" w:rsidRDefault="0082178E" w:rsidP="000C5E24">
            <w:r>
              <w:t>OS/DB/Middleware Baselining</w:t>
            </w:r>
          </w:p>
        </w:tc>
        <w:tc>
          <w:tcPr>
            <w:tcW w:w="3120" w:type="dxa"/>
          </w:tcPr>
          <w:p w14:paraId="04F98636" w14:textId="77777777" w:rsidR="0082178E" w:rsidRDefault="0082178E" w:rsidP="000C5E24">
            <w:r>
              <w:t>12,500</w:t>
            </w:r>
          </w:p>
        </w:tc>
        <w:tc>
          <w:tcPr>
            <w:tcW w:w="3120" w:type="dxa"/>
          </w:tcPr>
          <w:p w14:paraId="739E6F46" w14:textId="77777777" w:rsidR="0082178E" w:rsidRDefault="0082178E" w:rsidP="000C5E24">
            <w:r>
              <w:t>Baseline assessment results</w:t>
            </w:r>
          </w:p>
        </w:tc>
      </w:tr>
      <w:tr w:rsidR="0082178E" w14:paraId="254D836D" w14:textId="77777777" w:rsidTr="000C5E24">
        <w:tc>
          <w:tcPr>
            <w:tcW w:w="3120" w:type="dxa"/>
          </w:tcPr>
          <w:p w14:paraId="7F88291D" w14:textId="77777777" w:rsidR="0082178E" w:rsidRDefault="0082178E" w:rsidP="000C5E24">
            <w:r>
              <w:t>Audit Observations</w:t>
            </w:r>
          </w:p>
        </w:tc>
        <w:tc>
          <w:tcPr>
            <w:tcW w:w="3120" w:type="dxa"/>
          </w:tcPr>
          <w:p w14:paraId="259E2E61" w14:textId="77777777" w:rsidR="0082178E" w:rsidRDefault="0082178E" w:rsidP="000C5E24">
            <w:r>
              <w:t>12,500</w:t>
            </w:r>
          </w:p>
        </w:tc>
        <w:tc>
          <w:tcPr>
            <w:tcW w:w="3120" w:type="dxa"/>
          </w:tcPr>
          <w:p w14:paraId="406607FE" w14:textId="77777777" w:rsidR="0082178E" w:rsidRDefault="0082178E" w:rsidP="000C5E24">
            <w:r>
              <w:t>Historical observations</w:t>
            </w:r>
          </w:p>
        </w:tc>
      </w:tr>
      <w:tr w:rsidR="0082178E" w14:paraId="1AD045DB" w14:textId="77777777" w:rsidTr="000C5E24">
        <w:tc>
          <w:tcPr>
            <w:tcW w:w="3120" w:type="dxa"/>
          </w:tcPr>
          <w:p w14:paraId="29B7B282" w14:textId="77777777" w:rsidR="0082178E" w:rsidRDefault="0082178E" w:rsidP="000C5E24">
            <w:r>
              <w:t>RAF/Exceptions/Risk Records</w:t>
            </w:r>
          </w:p>
        </w:tc>
        <w:tc>
          <w:tcPr>
            <w:tcW w:w="3120" w:type="dxa"/>
          </w:tcPr>
          <w:p w14:paraId="0747EAC4" w14:textId="77777777" w:rsidR="0082178E" w:rsidRDefault="0082178E" w:rsidP="000C5E24">
            <w:r>
              <w:t>12,500</w:t>
            </w:r>
          </w:p>
        </w:tc>
        <w:tc>
          <w:tcPr>
            <w:tcW w:w="3120" w:type="dxa"/>
          </w:tcPr>
          <w:p w14:paraId="6D0603E4" w14:textId="77777777" w:rsidR="0082178E" w:rsidRDefault="0082178E" w:rsidP="000C5E24">
            <w:r>
              <w:t>Risk acceptance and exceptions</w:t>
            </w:r>
          </w:p>
        </w:tc>
      </w:tr>
      <w:tr w:rsidR="0082178E" w14:paraId="2C8EF774" w14:textId="77777777" w:rsidTr="000C5E24">
        <w:tc>
          <w:tcPr>
            <w:tcW w:w="3120" w:type="dxa"/>
          </w:tcPr>
          <w:p w14:paraId="43149822" w14:textId="77777777" w:rsidR="0082178E" w:rsidRDefault="0082178E" w:rsidP="000C5E24">
            <w:r>
              <w:t>ECS Metadata &amp; Prompt Context</w:t>
            </w:r>
          </w:p>
        </w:tc>
        <w:tc>
          <w:tcPr>
            <w:tcW w:w="3120" w:type="dxa"/>
          </w:tcPr>
          <w:p w14:paraId="081D2553" w14:textId="77777777" w:rsidR="0082178E" w:rsidRDefault="0082178E" w:rsidP="000C5E24">
            <w:r>
              <w:t>12,500</w:t>
            </w:r>
          </w:p>
        </w:tc>
        <w:tc>
          <w:tcPr>
            <w:tcW w:w="3120" w:type="dxa"/>
          </w:tcPr>
          <w:p w14:paraId="612D93E1" w14:textId="77777777" w:rsidR="0082178E" w:rsidRDefault="0082178E" w:rsidP="000C5E24">
            <w:r>
              <w:t>Application, RBAC and prompt context</w:t>
            </w:r>
          </w:p>
        </w:tc>
      </w:tr>
    </w:tbl>
    <w:p w14:paraId="03B7F962" w14:textId="77777777" w:rsidR="0082178E" w:rsidRDefault="0082178E" w:rsidP="0082178E">
      <w:r>
        <w:br/>
        <w:t>Output Token Distribution (50,000 Tokens)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2178E" w14:paraId="66DEDA6C" w14:textId="77777777" w:rsidTr="000C5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43E6C8B8" w14:textId="77777777" w:rsidR="0082178E" w:rsidRDefault="0082178E" w:rsidP="000C5E24">
            <w:r>
              <w:t>Output Section</w:t>
            </w:r>
          </w:p>
        </w:tc>
        <w:tc>
          <w:tcPr>
            <w:tcW w:w="3120" w:type="dxa"/>
          </w:tcPr>
          <w:p w14:paraId="07AF0374" w14:textId="77777777" w:rsidR="0082178E" w:rsidRDefault="0082178E" w:rsidP="000C5E24">
            <w:r>
              <w:t>Tokens</w:t>
            </w:r>
          </w:p>
        </w:tc>
        <w:tc>
          <w:tcPr>
            <w:tcW w:w="3120" w:type="dxa"/>
          </w:tcPr>
          <w:p w14:paraId="60242CFD" w14:textId="77777777" w:rsidR="0082178E" w:rsidRDefault="0082178E" w:rsidP="000C5E24">
            <w:r>
              <w:t>Justification</w:t>
            </w:r>
          </w:p>
        </w:tc>
      </w:tr>
      <w:tr w:rsidR="0082178E" w14:paraId="4B0099CF" w14:textId="77777777" w:rsidTr="000C5E24">
        <w:tc>
          <w:tcPr>
            <w:tcW w:w="3120" w:type="dxa"/>
          </w:tcPr>
          <w:p w14:paraId="0E6E4C63" w14:textId="77777777" w:rsidR="0082178E" w:rsidRDefault="0082178E" w:rsidP="000C5E24">
            <w:r>
              <w:t>Executive Summary</w:t>
            </w:r>
          </w:p>
        </w:tc>
        <w:tc>
          <w:tcPr>
            <w:tcW w:w="3120" w:type="dxa"/>
          </w:tcPr>
          <w:p w14:paraId="38751BB3" w14:textId="77777777" w:rsidR="0082178E" w:rsidRDefault="0082178E" w:rsidP="000C5E24">
            <w:r>
              <w:t>5,000</w:t>
            </w:r>
          </w:p>
        </w:tc>
        <w:tc>
          <w:tcPr>
            <w:tcW w:w="3120" w:type="dxa"/>
          </w:tcPr>
          <w:p w14:paraId="7FB48288" w14:textId="77777777" w:rsidR="0082178E" w:rsidRDefault="0082178E" w:rsidP="000C5E24">
            <w:r>
              <w:t>Management summary</w:t>
            </w:r>
          </w:p>
        </w:tc>
      </w:tr>
      <w:tr w:rsidR="0082178E" w14:paraId="602CFC38" w14:textId="77777777" w:rsidTr="000C5E24">
        <w:tc>
          <w:tcPr>
            <w:tcW w:w="3120" w:type="dxa"/>
          </w:tcPr>
          <w:p w14:paraId="71198485" w14:textId="77777777" w:rsidR="0082178E" w:rsidRDefault="0082178E" w:rsidP="000C5E24">
            <w:r>
              <w:t>PCI DSS Assessment</w:t>
            </w:r>
          </w:p>
        </w:tc>
        <w:tc>
          <w:tcPr>
            <w:tcW w:w="3120" w:type="dxa"/>
          </w:tcPr>
          <w:p w14:paraId="7AFDD8DA" w14:textId="77777777" w:rsidR="0082178E" w:rsidRDefault="0082178E" w:rsidP="000C5E24">
            <w:r>
              <w:t>5,000</w:t>
            </w:r>
          </w:p>
        </w:tc>
        <w:tc>
          <w:tcPr>
            <w:tcW w:w="3120" w:type="dxa"/>
          </w:tcPr>
          <w:p w14:paraId="77750AD1" w14:textId="77777777" w:rsidR="0082178E" w:rsidRDefault="0082178E" w:rsidP="000C5E24">
            <w:r>
              <w:t>Framework readiness</w:t>
            </w:r>
          </w:p>
        </w:tc>
      </w:tr>
      <w:tr w:rsidR="0082178E" w14:paraId="370810B2" w14:textId="77777777" w:rsidTr="000C5E24">
        <w:tc>
          <w:tcPr>
            <w:tcW w:w="3120" w:type="dxa"/>
          </w:tcPr>
          <w:p w14:paraId="38D4D9C5" w14:textId="77777777" w:rsidR="0082178E" w:rsidRDefault="0082178E" w:rsidP="000C5E24">
            <w:r>
              <w:t>DPSC Assessment</w:t>
            </w:r>
          </w:p>
        </w:tc>
        <w:tc>
          <w:tcPr>
            <w:tcW w:w="3120" w:type="dxa"/>
          </w:tcPr>
          <w:p w14:paraId="58B323D8" w14:textId="77777777" w:rsidR="0082178E" w:rsidRDefault="0082178E" w:rsidP="000C5E24">
            <w:r>
              <w:t>5,000</w:t>
            </w:r>
          </w:p>
        </w:tc>
        <w:tc>
          <w:tcPr>
            <w:tcW w:w="3120" w:type="dxa"/>
          </w:tcPr>
          <w:p w14:paraId="6B730808" w14:textId="77777777" w:rsidR="0082178E" w:rsidRDefault="0082178E" w:rsidP="000C5E24">
            <w:r>
              <w:t>Framework readiness</w:t>
            </w:r>
          </w:p>
        </w:tc>
      </w:tr>
      <w:tr w:rsidR="0082178E" w14:paraId="4905C457" w14:textId="77777777" w:rsidTr="000C5E24">
        <w:tc>
          <w:tcPr>
            <w:tcW w:w="3120" w:type="dxa"/>
          </w:tcPr>
          <w:p w14:paraId="4B7544D2" w14:textId="77777777" w:rsidR="0082178E" w:rsidRDefault="0082178E" w:rsidP="000C5E24">
            <w:r>
              <w:t>C-SITE Assessment</w:t>
            </w:r>
          </w:p>
        </w:tc>
        <w:tc>
          <w:tcPr>
            <w:tcW w:w="3120" w:type="dxa"/>
          </w:tcPr>
          <w:p w14:paraId="6CDE030E" w14:textId="77777777" w:rsidR="0082178E" w:rsidRDefault="0082178E" w:rsidP="000C5E24">
            <w:r>
              <w:t>5,000</w:t>
            </w:r>
          </w:p>
        </w:tc>
        <w:tc>
          <w:tcPr>
            <w:tcW w:w="3120" w:type="dxa"/>
          </w:tcPr>
          <w:p w14:paraId="1C2816F7" w14:textId="77777777" w:rsidR="0082178E" w:rsidRDefault="0082178E" w:rsidP="000C5E24">
            <w:r>
              <w:t>Framework readiness</w:t>
            </w:r>
          </w:p>
        </w:tc>
      </w:tr>
      <w:tr w:rsidR="0082178E" w14:paraId="7DF2625F" w14:textId="77777777" w:rsidTr="000C5E24">
        <w:tc>
          <w:tcPr>
            <w:tcW w:w="3120" w:type="dxa"/>
          </w:tcPr>
          <w:p w14:paraId="7D4A29CC" w14:textId="77777777" w:rsidR="0082178E" w:rsidRDefault="0082178E" w:rsidP="000C5E24">
            <w:r>
              <w:t>ITPP Assessment</w:t>
            </w:r>
          </w:p>
        </w:tc>
        <w:tc>
          <w:tcPr>
            <w:tcW w:w="3120" w:type="dxa"/>
          </w:tcPr>
          <w:p w14:paraId="21328267" w14:textId="77777777" w:rsidR="0082178E" w:rsidRDefault="0082178E" w:rsidP="000C5E24">
            <w:r>
              <w:t>5,000</w:t>
            </w:r>
          </w:p>
        </w:tc>
        <w:tc>
          <w:tcPr>
            <w:tcW w:w="3120" w:type="dxa"/>
          </w:tcPr>
          <w:p w14:paraId="29C176AC" w14:textId="77777777" w:rsidR="0082178E" w:rsidRDefault="0082178E" w:rsidP="000C5E24">
            <w:r>
              <w:t>Framework readiness</w:t>
            </w:r>
          </w:p>
        </w:tc>
      </w:tr>
      <w:tr w:rsidR="0082178E" w14:paraId="05ED72B8" w14:textId="77777777" w:rsidTr="000C5E24">
        <w:tc>
          <w:tcPr>
            <w:tcW w:w="3120" w:type="dxa"/>
          </w:tcPr>
          <w:p w14:paraId="56B4D810" w14:textId="77777777" w:rsidR="0082178E" w:rsidRDefault="0082178E" w:rsidP="000C5E24">
            <w:r>
              <w:t>ITDRM Assessment</w:t>
            </w:r>
          </w:p>
        </w:tc>
        <w:tc>
          <w:tcPr>
            <w:tcW w:w="3120" w:type="dxa"/>
          </w:tcPr>
          <w:p w14:paraId="72D1B9E6" w14:textId="77777777" w:rsidR="0082178E" w:rsidRDefault="0082178E" w:rsidP="000C5E24">
            <w:r>
              <w:t>5,000</w:t>
            </w:r>
          </w:p>
        </w:tc>
        <w:tc>
          <w:tcPr>
            <w:tcW w:w="3120" w:type="dxa"/>
          </w:tcPr>
          <w:p w14:paraId="72D58F75" w14:textId="77777777" w:rsidR="0082178E" w:rsidRDefault="0082178E" w:rsidP="000C5E24">
            <w:r>
              <w:t>Framework readiness</w:t>
            </w:r>
          </w:p>
        </w:tc>
      </w:tr>
      <w:tr w:rsidR="0082178E" w14:paraId="35038801" w14:textId="77777777" w:rsidTr="000C5E24">
        <w:tc>
          <w:tcPr>
            <w:tcW w:w="3120" w:type="dxa"/>
          </w:tcPr>
          <w:p w14:paraId="0156B006" w14:textId="77777777" w:rsidR="0082178E" w:rsidRDefault="0082178E" w:rsidP="000C5E24">
            <w:r>
              <w:t>Observation Drafts</w:t>
            </w:r>
          </w:p>
        </w:tc>
        <w:tc>
          <w:tcPr>
            <w:tcW w:w="3120" w:type="dxa"/>
          </w:tcPr>
          <w:p w14:paraId="75AB8BFA" w14:textId="77777777" w:rsidR="0082178E" w:rsidRDefault="0082178E" w:rsidP="000C5E24">
            <w:r>
              <w:t>5,000</w:t>
            </w:r>
          </w:p>
        </w:tc>
        <w:tc>
          <w:tcPr>
            <w:tcW w:w="3120" w:type="dxa"/>
          </w:tcPr>
          <w:p w14:paraId="5125DFB2" w14:textId="77777777" w:rsidR="0082178E" w:rsidRDefault="0082178E" w:rsidP="000C5E24">
            <w:r>
              <w:t>Generated observations</w:t>
            </w:r>
          </w:p>
        </w:tc>
      </w:tr>
      <w:tr w:rsidR="0082178E" w14:paraId="5899A4A2" w14:textId="77777777" w:rsidTr="000C5E24">
        <w:tc>
          <w:tcPr>
            <w:tcW w:w="3120" w:type="dxa"/>
          </w:tcPr>
          <w:p w14:paraId="63856E1F" w14:textId="77777777" w:rsidR="0082178E" w:rsidRDefault="0082178E" w:rsidP="000C5E24">
            <w:r>
              <w:t>Risk Assessment</w:t>
            </w:r>
          </w:p>
        </w:tc>
        <w:tc>
          <w:tcPr>
            <w:tcW w:w="3120" w:type="dxa"/>
          </w:tcPr>
          <w:p w14:paraId="10DE7A59" w14:textId="77777777" w:rsidR="0082178E" w:rsidRDefault="0082178E" w:rsidP="000C5E24">
            <w:r>
              <w:t>5,000</w:t>
            </w:r>
          </w:p>
        </w:tc>
        <w:tc>
          <w:tcPr>
            <w:tcW w:w="3120" w:type="dxa"/>
          </w:tcPr>
          <w:p w14:paraId="42086F11" w14:textId="77777777" w:rsidR="0082178E" w:rsidRDefault="0082178E" w:rsidP="000C5E24">
            <w:r>
              <w:t>Risk analysis</w:t>
            </w:r>
          </w:p>
        </w:tc>
      </w:tr>
      <w:tr w:rsidR="0082178E" w14:paraId="46E02299" w14:textId="77777777" w:rsidTr="000C5E24">
        <w:tc>
          <w:tcPr>
            <w:tcW w:w="3120" w:type="dxa"/>
          </w:tcPr>
          <w:p w14:paraId="194DC34E" w14:textId="77777777" w:rsidR="0082178E" w:rsidRDefault="0082178E" w:rsidP="000C5E24">
            <w:r>
              <w:t>Remediation Roadmap</w:t>
            </w:r>
          </w:p>
        </w:tc>
        <w:tc>
          <w:tcPr>
            <w:tcW w:w="3120" w:type="dxa"/>
          </w:tcPr>
          <w:p w14:paraId="574A42C1" w14:textId="77777777" w:rsidR="0082178E" w:rsidRDefault="0082178E" w:rsidP="000C5E24">
            <w:r>
              <w:t>5,000</w:t>
            </w:r>
          </w:p>
        </w:tc>
        <w:tc>
          <w:tcPr>
            <w:tcW w:w="3120" w:type="dxa"/>
          </w:tcPr>
          <w:p w14:paraId="56EFC186" w14:textId="77777777" w:rsidR="0082178E" w:rsidRDefault="0082178E" w:rsidP="000C5E24">
            <w:r>
              <w:t>Action plan</w:t>
            </w:r>
          </w:p>
        </w:tc>
      </w:tr>
      <w:tr w:rsidR="0082178E" w14:paraId="468356EE" w14:textId="77777777" w:rsidTr="000C5E24">
        <w:tc>
          <w:tcPr>
            <w:tcW w:w="3120" w:type="dxa"/>
          </w:tcPr>
          <w:p w14:paraId="1F9C1728" w14:textId="77777777" w:rsidR="0082178E" w:rsidRDefault="0082178E" w:rsidP="000C5E24">
            <w:r>
              <w:t>Evidence &amp; Control Reuse</w:t>
            </w:r>
          </w:p>
        </w:tc>
        <w:tc>
          <w:tcPr>
            <w:tcW w:w="3120" w:type="dxa"/>
          </w:tcPr>
          <w:p w14:paraId="42312FA0" w14:textId="77777777" w:rsidR="0082178E" w:rsidRDefault="0082178E" w:rsidP="000C5E24">
            <w:r>
              <w:t>5,000</w:t>
            </w:r>
          </w:p>
        </w:tc>
        <w:tc>
          <w:tcPr>
            <w:tcW w:w="3120" w:type="dxa"/>
          </w:tcPr>
          <w:p w14:paraId="73FCDBA6" w14:textId="77777777" w:rsidR="0082178E" w:rsidRDefault="0082178E" w:rsidP="000C5E24">
            <w:r>
              <w:t>Reuse recommendations</w:t>
            </w:r>
          </w:p>
        </w:tc>
      </w:tr>
    </w:tbl>
    <w:p w14:paraId="37AACA65" w14:textId="77777777" w:rsidR="0082178E" w:rsidRDefault="0082178E" w:rsidP="0082178E">
      <w:r>
        <w:br/>
        <w:t>Google/Neve applies a 9x weighting to output tokens because output generation requires significantly more GPU compute than reading input context. Therefore: 125,000 + (9 × 50,000) = 575,000 weighted tokens per request. At 3 peak requests per minute, capacity = 1,725,000 TPM.</w:t>
      </w:r>
    </w:p>
    <w:p w14:paraId="065A16D2" w14:textId="10ED4E8D" w:rsidR="002078C5" w:rsidRPr="0082178E" w:rsidRDefault="002078C5" w:rsidP="0082178E">
      <w:bookmarkStart w:id="11" w:name="_GoBack"/>
      <w:bookmarkEnd w:id="0"/>
      <w:bookmarkEnd w:id="1"/>
      <w:bookmarkEnd w:id="11"/>
    </w:p>
    <w:sectPr w:rsidR="002078C5" w:rsidRPr="0082178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21505E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96E9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8C5"/>
    <w:rsid w:val="002078C5"/>
    <w:rsid w:val="00607121"/>
    <w:rsid w:val="0082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1807"/>
  <w15:docId w15:val="{9655996B-A0BC-1B43-968E-F1BFFA21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2026-06-18T13:50:00Z</dcterms:created>
  <dcterms:modified xsi:type="dcterms:W3CDTF">2026-06-19T05:19:00Z</dcterms:modified>
</cp:coreProperties>
</file>