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ggplot2</w:t>
      </w:r>
      <w:r>
        <w:t xml:space="preserve"> </w:t>
      </w:r>
      <w:r>
        <w:t xml:space="preserve">缂佸啩绡&lt;84&gt;</w:t>
      </w:r>
    </w:p>
    <w:p>
      <w:pPr>
        <w:pStyle w:val="Date"/>
      </w:pPr>
      <w:r>
        <w:t xml:space="preserve">2019-06-27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"数据概要"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数据概要</w:t>
      </w:r>
    </w:p>
    <w:tbl>
      <w:tblPr>
        <w:tblStyle w:val="TableNormal"/>
        <w:tblW w:type="pct" w:w="0.0"/>
        <w:tblLook w:firstRow="1"/>
        <w:tblCaption w:val="数据概要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SI1</w:t>
            </w:r>
          </w:p>
        </w:tc>
        <w:tc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Very Good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VVS2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a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(carat),price))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a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a%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(carat),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(price)))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geom_bin2d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a%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(economics,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unemploy))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b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gplot2prac_files/figure-docx/b%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48c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ggplot2 缂佸啩绡&lt;84&gt;</dc:title>
  <dc:creator/>
  <dcterms:created xsi:type="dcterms:W3CDTF">2019-06-27T02:39:26Z</dcterms:created>
  <dcterms:modified xsi:type="dcterms:W3CDTF">2019-06-27T02:39:26Z</dcterms:modified>
</cp:coreProperties>
</file>