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C301A8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B304E4">
        <w:rPr>
          <w:lang w:val="es-419"/>
        </w:rPr>
        <w:t>1 Andrés Felipe Gómez García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B304E4">
        <w:rPr>
          <w:lang w:val="es-419"/>
        </w:rPr>
        <w:t>202021189</w:t>
      </w:r>
    </w:p>
    <w:p w14:paraId="673598DC" w14:textId="34D531B2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B304E4">
        <w:rPr>
          <w:lang w:val="es-419"/>
        </w:rPr>
        <w:t xml:space="preserve"> Tomás Bedoya Calixto</w:t>
      </w:r>
      <w:r w:rsidR="00A74C44">
        <w:rPr>
          <w:lang w:val="es-419"/>
        </w:rPr>
        <w:t xml:space="preserve"> Cod </w:t>
      </w:r>
      <w:r w:rsidR="00B304E4">
        <w:rPr>
          <w:lang w:val="es-419"/>
        </w:rPr>
        <w:t>202020689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1AB46DD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16E788A9" w14:textId="0B0D62EB" w:rsidR="00E31E84" w:rsidRDefault="00E31E84" w:rsidP="00E31E8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Separate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</w:p>
    <w:p w14:paraId="78E5C15C" w14:textId="0C4053A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1AD6B6C4" w14:textId="5039E99D" w:rsidR="0042074C" w:rsidRDefault="0042074C" w:rsidP="0042074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m:oMathPara>
        <m:oMath>
          <m:r>
            <w:rPr>
              <w:rFonts w:ascii="Cambria Math" w:hAnsi="Cambria Math"/>
              <w:lang w:val="es-419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>N</m:t>
              </m:r>
            </m:num>
            <m:den>
              <m:r>
                <w:rPr>
                  <w:rFonts w:ascii="Cambria Math" w:hAnsi="Cambria Math"/>
                  <w:lang w:val="es-419"/>
                </w:rPr>
                <m:t>M</m:t>
              </m:r>
            </m:den>
          </m:f>
          <m:r>
            <w:rPr>
              <w:rFonts w:ascii="Cambria Math" w:hAnsi="Cambria Math"/>
              <w:lang w:val="es-419"/>
            </w:rPr>
            <m:t>→</m:t>
          </m:r>
          <m:r>
            <w:rPr>
              <w:rFonts w:ascii="Cambria Math" w:hAnsi="Cambria Math"/>
              <w:lang w:val="es-419"/>
            </w:rPr>
            <m:t>α</m:t>
          </m:r>
          <m:r>
            <w:rPr>
              <w:rFonts w:ascii="Cambria Math" w:hAnsi="Cambria Math"/>
              <w:lang w:val="es-419"/>
            </w:rPr>
            <m:t>M=N→4.0*800=3200</m:t>
          </m:r>
        </m:oMath>
      </m:oMathPara>
    </w:p>
    <w:p w14:paraId="2137E564" w14:textId="42A79F2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42074C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7638B07B" w14:textId="4181951F" w:rsidR="0042074C" w:rsidRDefault="0042074C" w:rsidP="0042074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7867EC0A" w14:textId="3391BF5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79661F1B" w14:textId="3F8D9232" w:rsidR="0042074C" w:rsidRDefault="0042074C" w:rsidP="0042074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3200</w:t>
      </w:r>
    </w:p>
    <w:p w14:paraId="4F7571E8" w14:textId="0D524B7B" w:rsidR="0042074C" w:rsidRDefault="00A442AC" w:rsidP="0042074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29266D13" w14:textId="163773D2" w:rsidR="0042074C" w:rsidRPr="0042074C" w:rsidRDefault="0042074C" w:rsidP="0042074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Inserta en el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 del </w:t>
      </w:r>
      <w:proofErr w:type="spellStart"/>
      <w:r>
        <w:rPr>
          <w:rFonts w:ascii="Dax-Regular" w:hAnsi="Dax-Regular"/>
          <w:lang w:val="es-419"/>
        </w:rPr>
        <w:t>catalog</w:t>
      </w:r>
      <w:proofErr w:type="spellEnd"/>
      <w:r>
        <w:rPr>
          <w:rFonts w:ascii="Dax-Regular" w:hAnsi="Dax-Regular"/>
          <w:lang w:val="es-419"/>
        </w:rPr>
        <w:t>[“</w:t>
      </w:r>
      <w:proofErr w:type="spellStart"/>
      <w:r>
        <w:rPr>
          <w:rFonts w:ascii="Dax-Regular" w:hAnsi="Dax-Regular"/>
          <w:lang w:val="es-419"/>
        </w:rPr>
        <w:t>bookIds</w:t>
      </w:r>
      <w:proofErr w:type="spellEnd"/>
      <w:r>
        <w:rPr>
          <w:rFonts w:ascii="Dax-Regular" w:hAnsi="Dax-Regular"/>
          <w:lang w:val="es-419"/>
        </w:rPr>
        <w:t xml:space="preserve">”] el valor del libro, con todas sus componentes, bajo la llave del </w:t>
      </w:r>
      <w:proofErr w:type="spellStart"/>
      <w:r>
        <w:rPr>
          <w:rFonts w:ascii="Dax-Regular" w:hAnsi="Dax-Regular"/>
          <w:lang w:val="es-419"/>
        </w:rPr>
        <w:t>book</w:t>
      </w:r>
      <w:proofErr w:type="spellEnd"/>
      <w:r>
        <w:rPr>
          <w:rFonts w:ascii="Dax-Regular" w:hAnsi="Dax-Regular"/>
          <w:lang w:val="es-419"/>
        </w:rPr>
        <w:t>[</w:t>
      </w:r>
      <w:r w:rsidR="00270C70">
        <w:rPr>
          <w:rFonts w:ascii="Dax-Regular" w:hAnsi="Dax-Regular"/>
          <w:lang w:val="es-419"/>
        </w:rPr>
        <w:t>“</w:t>
      </w:r>
      <w:proofErr w:type="spellStart"/>
      <w:r w:rsidR="00270C70">
        <w:rPr>
          <w:rFonts w:ascii="Dax-Regular" w:hAnsi="Dax-Regular"/>
          <w:lang w:val="es-419"/>
        </w:rPr>
        <w:t>goodreads_book_id</w:t>
      </w:r>
      <w:proofErr w:type="spellEnd"/>
      <w:r w:rsidR="00270C70">
        <w:rPr>
          <w:rFonts w:ascii="Dax-Regular" w:hAnsi="Dax-Regular"/>
          <w:lang w:val="es-419"/>
        </w:rPr>
        <w:t>”</w:t>
      </w:r>
      <w:r>
        <w:rPr>
          <w:rFonts w:ascii="Dax-Regular" w:hAnsi="Dax-Regular"/>
          <w:lang w:val="es-419"/>
        </w:rPr>
        <w:t>]</w:t>
      </w:r>
      <w:r w:rsidR="00270C70">
        <w:rPr>
          <w:rFonts w:ascii="Dax-Regular" w:hAnsi="Dax-Regular"/>
          <w:lang w:val="es-419"/>
        </w:rPr>
        <w:t>.</w:t>
      </w:r>
    </w:p>
    <w:p w14:paraId="6D503037" w14:textId="68630EDC" w:rsidR="00A442AC" w:rsidRPr="00270C7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B3E0A61" w14:textId="7AE08EEB" w:rsidR="00270C70" w:rsidRPr="00A56AF3" w:rsidRDefault="00270C70" w:rsidP="00270C7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la llave correspondiente al libro que se guarda.</w:t>
      </w:r>
    </w:p>
    <w:p w14:paraId="38568E0A" w14:textId="13D7D9B7" w:rsidR="00A442AC" w:rsidRPr="00270C7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5AC7FD32" w14:textId="537E9D03" w:rsidR="00270C70" w:rsidRPr="00A56AF3" w:rsidRDefault="00270C70" w:rsidP="00270C7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la información que se guarda.</w:t>
      </w:r>
    </w:p>
    <w:p w14:paraId="6B93EA60" w14:textId="513FC33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1631248C" w14:textId="1A440B3B" w:rsidR="00B304E4" w:rsidRDefault="00B304E4" w:rsidP="00B304E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Dada una llave para buscar en el catálogo, el cual se pasa como parámetro, retorna la pareja llave – valor correspondiente. En caso de que no exista dicha pareja, retorna </w:t>
      </w:r>
      <w:proofErr w:type="spellStart"/>
      <w:r>
        <w:rPr>
          <w:rFonts w:ascii="Dax-Regular" w:hAnsi="Dax-Regular"/>
          <w:lang w:val="es-419"/>
        </w:rPr>
        <w:t>None</w:t>
      </w:r>
      <w:proofErr w:type="spellEnd"/>
      <w:r>
        <w:rPr>
          <w:rFonts w:ascii="Dax-Regular" w:hAnsi="Dax-Regular"/>
          <w:lang w:val="es-419"/>
        </w:rPr>
        <w:t>.</w:t>
      </w:r>
    </w:p>
    <w:p w14:paraId="24934F6D" w14:textId="3F6F8B1C" w:rsidR="00A442AC" w:rsidRPr="00B304E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35387F40" w14:textId="151BD16D" w:rsidR="00B304E4" w:rsidRPr="00A56AF3" w:rsidRDefault="00B304E4" w:rsidP="00B304E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ES"/>
        </w:rPr>
        <w:t>Year</w:t>
      </w:r>
      <w:proofErr w:type="spellEnd"/>
      <w:r>
        <w:rPr>
          <w:rFonts w:ascii="Dax-Regular" w:hAnsi="Dax-Regular"/>
          <w:lang w:val="es-ES"/>
        </w:rPr>
        <w:t xml:space="preserve"> almacena la pareja llave – valor.</w:t>
      </w:r>
    </w:p>
    <w:p w14:paraId="2D09031E" w14:textId="71D1B11E" w:rsidR="00BA3B38" w:rsidRPr="00B304E4" w:rsidRDefault="00A442AC" w:rsidP="00B304E4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1484B46D" w14:textId="67F3FBB7" w:rsidR="00B304E4" w:rsidRPr="00B304E4" w:rsidRDefault="00B304E4" w:rsidP="00B304E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Dada una pareja llave – valor, retorna el valor correspondiente.</w:t>
      </w:r>
    </w:p>
    <w:sectPr w:rsidR="00B304E4" w:rsidRPr="00B3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70C70"/>
    <w:rsid w:val="003B6C26"/>
    <w:rsid w:val="0042074C"/>
    <w:rsid w:val="00567F1D"/>
    <w:rsid w:val="00667C88"/>
    <w:rsid w:val="00A442AC"/>
    <w:rsid w:val="00A74C44"/>
    <w:rsid w:val="00B304E4"/>
    <w:rsid w:val="00BA3B38"/>
    <w:rsid w:val="00E31E84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20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Andrés Felipe Gómez García</cp:lastModifiedBy>
  <cp:revision>6</cp:revision>
  <dcterms:created xsi:type="dcterms:W3CDTF">2021-02-10T17:06:00Z</dcterms:created>
  <dcterms:modified xsi:type="dcterms:W3CDTF">2021-03-12T23:44:00Z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