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12DEC158" w14:textId="77777777" w:rsidR="007D7D08" w:rsidRDefault="007D7D08" w:rsidP="00667C88">
      <w:pPr>
        <w:spacing w:after="0"/>
        <w:jc w:val="right"/>
        <w:rPr>
          <w:lang w:val="es-MX"/>
        </w:rPr>
      </w:pPr>
      <w:r>
        <w:rPr>
          <w:lang w:val="es-MX"/>
        </w:rPr>
        <w:t xml:space="preserve">Felipe Rueda Rivera 202010903 </w:t>
      </w:r>
    </w:p>
    <w:p w14:paraId="3C82FEB6" w14:textId="5A339EB5" w:rsidR="007D7D08" w:rsidRDefault="007D7D08" w:rsidP="00667C88">
      <w:pPr>
        <w:spacing w:after="0"/>
        <w:jc w:val="right"/>
        <w:rPr>
          <w:noProof w:val="0"/>
          <w:lang w:val="es-CO"/>
        </w:rPr>
      </w:pPr>
      <w:r w:rsidRPr="004E2142">
        <w:rPr>
          <w:lang w:val="es-MX"/>
        </w:rPr>
        <w:t xml:space="preserve">Julian David </w:t>
      </w:r>
      <w:r>
        <w:rPr>
          <w:lang w:val="es-MX"/>
        </w:rPr>
        <w:t>P</w:t>
      </w:r>
      <w:r w:rsidRPr="004E2142">
        <w:rPr>
          <w:lang w:val="es-MX"/>
        </w:rPr>
        <w:t xml:space="preserve">arra </w:t>
      </w:r>
      <w:r>
        <w:rPr>
          <w:lang w:val="es-MX"/>
        </w:rPr>
        <w:t>F</w:t>
      </w:r>
      <w:r w:rsidRPr="004E2142">
        <w:rPr>
          <w:lang w:val="es-MX"/>
        </w:rPr>
        <w:t>orero</w:t>
      </w:r>
      <w:r>
        <w:rPr>
          <w:lang w:val="es-MX"/>
        </w:rPr>
        <w:t xml:space="preserve"> </w:t>
      </w:r>
      <w:r w:rsidRPr="004E2142">
        <w:rPr>
          <w:lang w:val="es-MX"/>
        </w:rPr>
        <w:t>202013033</w:t>
      </w:r>
    </w:p>
    <w:p w14:paraId="2462C059" w14:textId="77777777" w:rsidR="007D7D08" w:rsidRPr="00787C53" w:rsidRDefault="007D7D0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concuadrcula"/>
        <w:tblpPr w:leftFromText="141" w:rightFromText="141" w:vertAnchor="text" w:horzAnchor="margin" w:tblpXSpec="right" w:tblpY="74"/>
        <w:tblW w:w="0" w:type="auto"/>
        <w:tblLook w:val="04A0" w:firstRow="1" w:lastRow="0" w:firstColumn="1" w:lastColumn="0" w:noHBand="0" w:noVBand="1"/>
      </w:tblPr>
      <w:tblGrid>
        <w:gridCol w:w="2226"/>
        <w:gridCol w:w="1780"/>
        <w:gridCol w:w="1780"/>
        <w:gridCol w:w="1790"/>
        <w:gridCol w:w="1774"/>
      </w:tblGrid>
      <w:tr w:rsidR="007D7D08" w14:paraId="5CF50901" w14:textId="77777777" w:rsidTr="007D7D08">
        <w:tc>
          <w:tcPr>
            <w:tcW w:w="2226" w:type="dxa"/>
          </w:tcPr>
          <w:p w14:paraId="3AC5FBD8" w14:textId="77777777" w:rsidR="007D7D08" w:rsidRPr="00F57647" w:rsidRDefault="007D7D08" w:rsidP="007D7D08">
            <w:pPr>
              <w:jc w:val="center"/>
              <w:rPr>
                <w:rFonts w:ascii="Dax-Regular" w:hAnsi="Dax-Regular"/>
                <w:b/>
                <w:bCs/>
                <w:lang w:val="es-CO"/>
              </w:rPr>
            </w:pPr>
            <w:r w:rsidRPr="00F57647">
              <w:rPr>
                <w:rFonts w:ascii="Dax-Regular" w:hAnsi="Dax-Regular"/>
                <w:b/>
                <w:bCs/>
                <w:lang w:val="es-CO"/>
              </w:rPr>
              <w:t>Archivo</w:t>
            </w:r>
          </w:p>
        </w:tc>
        <w:tc>
          <w:tcPr>
            <w:tcW w:w="1780" w:type="dxa"/>
          </w:tcPr>
          <w:p w14:paraId="585B6522" w14:textId="77777777" w:rsidR="007D7D08" w:rsidRPr="00F57647" w:rsidRDefault="007D7D08" w:rsidP="007D7D08">
            <w:pPr>
              <w:jc w:val="center"/>
              <w:rPr>
                <w:rFonts w:ascii="Dax-Regular" w:hAnsi="Dax-Regular"/>
                <w:b/>
                <w:bCs/>
                <w:lang w:val="es-CO"/>
              </w:rPr>
            </w:pPr>
            <w:r w:rsidRPr="00F57647">
              <w:rPr>
                <w:rFonts w:ascii="Dax-Regular" w:hAnsi="Dax-Regular"/>
                <w:b/>
                <w:bCs/>
                <w:lang w:val="es-CO"/>
              </w:rPr>
              <w:t>Número vertices</w:t>
            </w:r>
          </w:p>
        </w:tc>
        <w:tc>
          <w:tcPr>
            <w:tcW w:w="1780" w:type="dxa"/>
          </w:tcPr>
          <w:p w14:paraId="4543B71F" w14:textId="77777777" w:rsidR="007D7D08" w:rsidRPr="00F57647" w:rsidRDefault="007D7D08" w:rsidP="007D7D08">
            <w:pPr>
              <w:jc w:val="center"/>
              <w:rPr>
                <w:rFonts w:ascii="Dax-Regular" w:hAnsi="Dax-Regular"/>
                <w:b/>
                <w:bCs/>
                <w:lang w:val="es-CO"/>
              </w:rPr>
            </w:pPr>
            <w:r w:rsidRPr="00F57647">
              <w:rPr>
                <w:rFonts w:ascii="Dax-Regular" w:hAnsi="Dax-Regular"/>
                <w:b/>
                <w:bCs/>
                <w:lang w:val="es-CO"/>
              </w:rPr>
              <w:t>Número arcos</w:t>
            </w:r>
          </w:p>
        </w:tc>
        <w:tc>
          <w:tcPr>
            <w:tcW w:w="1790" w:type="dxa"/>
          </w:tcPr>
          <w:p w14:paraId="51D4FE12" w14:textId="77777777" w:rsidR="007D7D08" w:rsidRPr="00F57647" w:rsidRDefault="007D7D08" w:rsidP="007D7D08">
            <w:pPr>
              <w:jc w:val="center"/>
              <w:rPr>
                <w:rFonts w:ascii="Dax-Regular" w:hAnsi="Dax-Regular"/>
                <w:b/>
                <w:bCs/>
                <w:lang w:val="es-CO"/>
              </w:rPr>
            </w:pPr>
            <w:r w:rsidRPr="00F57647">
              <w:rPr>
                <w:rFonts w:ascii="Dax-Regular" w:hAnsi="Dax-Regular"/>
                <w:b/>
                <w:bCs/>
                <w:lang w:val="es-CO"/>
              </w:rPr>
              <w:t>Limite recursión actual</w:t>
            </w:r>
          </w:p>
        </w:tc>
        <w:tc>
          <w:tcPr>
            <w:tcW w:w="1774" w:type="dxa"/>
          </w:tcPr>
          <w:p w14:paraId="7323E243" w14:textId="77777777" w:rsidR="007D7D08" w:rsidRDefault="007D7D08" w:rsidP="007D7D08">
            <w:pPr>
              <w:jc w:val="center"/>
              <w:rPr>
                <w:rFonts w:ascii="Dax-Regular" w:hAnsi="Dax-Regular"/>
                <w:b/>
                <w:bCs/>
                <w:lang w:val="es-CO"/>
              </w:rPr>
            </w:pPr>
            <w:r w:rsidRPr="00F57647">
              <w:rPr>
                <w:rFonts w:ascii="Dax-Regular" w:hAnsi="Dax-Regular"/>
                <w:b/>
                <w:bCs/>
                <w:lang w:val="es-CO"/>
              </w:rPr>
              <w:t>Tiempo opción 4</w:t>
            </w:r>
          </w:p>
          <w:p w14:paraId="42AC097E" w14:textId="77777777" w:rsidR="007D7D08" w:rsidRPr="00F57647" w:rsidRDefault="007D7D08" w:rsidP="007D7D08">
            <w:pPr>
              <w:jc w:val="center"/>
              <w:rPr>
                <w:rFonts w:ascii="Dax-Regular" w:hAnsi="Dax-Regular"/>
                <w:b/>
                <w:bCs/>
                <w:lang w:val="es-CO"/>
              </w:rPr>
            </w:pPr>
            <w:r>
              <w:rPr>
                <w:rFonts w:ascii="Dax-Regular" w:hAnsi="Dax-Regular"/>
                <w:b/>
                <w:bCs/>
                <w:lang w:val="es-CO"/>
              </w:rPr>
              <w:t>(</w:t>
            </w:r>
            <w:r w:rsidRPr="007D7D08">
              <w:rPr>
                <w:rFonts w:ascii="Dax-Regular" w:hAnsi="Dax-Regular"/>
                <w:b/>
                <w:bCs/>
                <w:lang w:val="es-CO"/>
              </w:rPr>
              <w:t>75009-10</w:t>
            </w:r>
            <w:r>
              <w:rPr>
                <w:rFonts w:ascii="Dax-Regular" w:hAnsi="Dax-Regular"/>
                <w:b/>
                <w:bCs/>
                <w:lang w:val="es-CO"/>
              </w:rPr>
              <w:t>)</w:t>
            </w:r>
          </w:p>
        </w:tc>
      </w:tr>
      <w:tr w:rsidR="007D7D08" w14:paraId="16E4B8E1" w14:textId="77777777" w:rsidTr="007D7D08">
        <w:tc>
          <w:tcPr>
            <w:tcW w:w="2226" w:type="dxa"/>
          </w:tcPr>
          <w:p w14:paraId="3F674A39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Bus_routes_50.csv</w:t>
            </w:r>
          </w:p>
        </w:tc>
        <w:tc>
          <w:tcPr>
            <w:tcW w:w="1780" w:type="dxa"/>
          </w:tcPr>
          <w:p w14:paraId="789744E5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74</w:t>
            </w:r>
          </w:p>
        </w:tc>
        <w:tc>
          <w:tcPr>
            <w:tcW w:w="1780" w:type="dxa"/>
          </w:tcPr>
          <w:p w14:paraId="5E3AFD60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73</w:t>
            </w:r>
          </w:p>
        </w:tc>
        <w:tc>
          <w:tcPr>
            <w:tcW w:w="1790" w:type="dxa"/>
          </w:tcPr>
          <w:p w14:paraId="18173334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1048576</w:t>
            </w:r>
          </w:p>
        </w:tc>
        <w:tc>
          <w:tcPr>
            <w:tcW w:w="1774" w:type="dxa"/>
          </w:tcPr>
          <w:p w14:paraId="4D1417E0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0.046</w:t>
            </w:r>
          </w:p>
        </w:tc>
      </w:tr>
      <w:tr w:rsidR="007D7D08" w14:paraId="5FE94BE7" w14:textId="77777777" w:rsidTr="007D7D08">
        <w:tc>
          <w:tcPr>
            <w:tcW w:w="2226" w:type="dxa"/>
          </w:tcPr>
          <w:p w14:paraId="5F9554AC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Bus_routes_150.csv</w:t>
            </w:r>
          </w:p>
        </w:tc>
        <w:tc>
          <w:tcPr>
            <w:tcW w:w="1780" w:type="dxa"/>
          </w:tcPr>
          <w:p w14:paraId="7EDE2884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146</w:t>
            </w:r>
          </w:p>
        </w:tc>
        <w:tc>
          <w:tcPr>
            <w:tcW w:w="1780" w:type="dxa"/>
          </w:tcPr>
          <w:p w14:paraId="2BC54E95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146</w:t>
            </w:r>
          </w:p>
        </w:tc>
        <w:tc>
          <w:tcPr>
            <w:tcW w:w="1790" w:type="dxa"/>
          </w:tcPr>
          <w:p w14:paraId="4B648312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1048576</w:t>
            </w:r>
          </w:p>
        </w:tc>
        <w:tc>
          <w:tcPr>
            <w:tcW w:w="1774" w:type="dxa"/>
          </w:tcPr>
          <w:p w14:paraId="6A051451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0.0625</w:t>
            </w:r>
          </w:p>
        </w:tc>
      </w:tr>
      <w:tr w:rsidR="007D7D08" w14:paraId="6C783DD1" w14:textId="77777777" w:rsidTr="007D7D08">
        <w:tc>
          <w:tcPr>
            <w:tcW w:w="2226" w:type="dxa"/>
          </w:tcPr>
          <w:p w14:paraId="1411CD04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Bus_routes_300.csv</w:t>
            </w:r>
          </w:p>
        </w:tc>
        <w:tc>
          <w:tcPr>
            <w:tcW w:w="1780" w:type="dxa"/>
          </w:tcPr>
          <w:p w14:paraId="09F2BBBE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295</w:t>
            </w:r>
          </w:p>
        </w:tc>
        <w:tc>
          <w:tcPr>
            <w:tcW w:w="1780" w:type="dxa"/>
          </w:tcPr>
          <w:p w14:paraId="40191EB9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382</w:t>
            </w:r>
          </w:p>
        </w:tc>
        <w:tc>
          <w:tcPr>
            <w:tcW w:w="1790" w:type="dxa"/>
          </w:tcPr>
          <w:p w14:paraId="1EBC699D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1048576</w:t>
            </w:r>
          </w:p>
        </w:tc>
        <w:tc>
          <w:tcPr>
            <w:tcW w:w="1774" w:type="dxa"/>
          </w:tcPr>
          <w:p w14:paraId="3D2C6DAC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0.078</w:t>
            </w:r>
          </w:p>
        </w:tc>
      </w:tr>
      <w:tr w:rsidR="007D7D08" w14:paraId="20EE9D24" w14:textId="77777777" w:rsidTr="007D7D08">
        <w:tc>
          <w:tcPr>
            <w:tcW w:w="2226" w:type="dxa"/>
          </w:tcPr>
          <w:p w14:paraId="5BE86F10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Bus_routes_1000.csv</w:t>
            </w:r>
          </w:p>
        </w:tc>
        <w:tc>
          <w:tcPr>
            <w:tcW w:w="1780" w:type="dxa"/>
          </w:tcPr>
          <w:p w14:paraId="7EF9A7A1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984</w:t>
            </w:r>
          </w:p>
        </w:tc>
        <w:tc>
          <w:tcPr>
            <w:tcW w:w="1780" w:type="dxa"/>
          </w:tcPr>
          <w:p w14:paraId="4AA0BE21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1633</w:t>
            </w:r>
          </w:p>
        </w:tc>
        <w:tc>
          <w:tcPr>
            <w:tcW w:w="1790" w:type="dxa"/>
          </w:tcPr>
          <w:p w14:paraId="13AACE89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1048576</w:t>
            </w:r>
          </w:p>
        </w:tc>
        <w:tc>
          <w:tcPr>
            <w:tcW w:w="1774" w:type="dxa"/>
          </w:tcPr>
          <w:p w14:paraId="1AC20961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0.281</w:t>
            </w:r>
          </w:p>
        </w:tc>
      </w:tr>
      <w:tr w:rsidR="007D7D08" w14:paraId="5F8C6BD9" w14:textId="77777777" w:rsidTr="007D7D08">
        <w:tc>
          <w:tcPr>
            <w:tcW w:w="2226" w:type="dxa"/>
          </w:tcPr>
          <w:p w14:paraId="7D0F2BD1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Bus_routes_2000.csv</w:t>
            </w:r>
          </w:p>
        </w:tc>
        <w:tc>
          <w:tcPr>
            <w:tcW w:w="1780" w:type="dxa"/>
          </w:tcPr>
          <w:p w14:paraId="4A10E48A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1954</w:t>
            </w:r>
          </w:p>
        </w:tc>
        <w:tc>
          <w:tcPr>
            <w:tcW w:w="1780" w:type="dxa"/>
          </w:tcPr>
          <w:p w14:paraId="051C6677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3560</w:t>
            </w:r>
          </w:p>
        </w:tc>
        <w:tc>
          <w:tcPr>
            <w:tcW w:w="1790" w:type="dxa"/>
          </w:tcPr>
          <w:p w14:paraId="2D939F06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1048576</w:t>
            </w:r>
          </w:p>
        </w:tc>
        <w:tc>
          <w:tcPr>
            <w:tcW w:w="1774" w:type="dxa"/>
          </w:tcPr>
          <w:p w14:paraId="13488113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1.125</w:t>
            </w:r>
          </w:p>
        </w:tc>
      </w:tr>
      <w:tr w:rsidR="007D7D08" w14:paraId="7F39E7E3" w14:textId="77777777" w:rsidTr="007D7D08">
        <w:tc>
          <w:tcPr>
            <w:tcW w:w="2226" w:type="dxa"/>
          </w:tcPr>
          <w:p w14:paraId="29125BA5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Bus_routes_3000.csv</w:t>
            </w:r>
          </w:p>
        </w:tc>
        <w:tc>
          <w:tcPr>
            <w:tcW w:w="1780" w:type="dxa"/>
          </w:tcPr>
          <w:p w14:paraId="40528D6D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2922</w:t>
            </w:r>
          </w:p>
        </w:tc>
        <w:tc>
          <w:tcPr>
            <w:tcW w:w="1780" w:type="dxa"/>
          </w:tcPr>
          <w:p w14:paraId="3A086930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5773</w:t>
            </w:r>
          </w:p>
        </w:tc>
        <w:tc>
          <w:tcPr>
            <w:tcW w:w="1790" w:type="dxa"/>
          </w:tcPr>
          <w:p w14:paraId="6FB82110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1048576</w:t>
            </w:r>
          </w:p>
        </w:tc>
        <w:tc>
          <w:tcPr>
            <w:tcW w:w="1774" w:type="dxa"/>
          </w:tcPr>
          <w:p w14:paraId="05D95FB9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1.81</w:t>
            </w:r>
          </w:p>
        </w:tc>
      </w:tr>
      <w:tr w:rsidR="007D7D08" w14:paraId="238DD8FA" w14:textId="77777777" w:rsidTr="007D7D08">
        <w:tc>
          <w:tcPr>
            <w:tcW w:w="2226" w:type="dxa"/>
          </w:tcPr>
          <w:p w14:paraId="6B81EBB2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Bus_routes_7000.csv</w:t>
            </w:r>
          </w:p>
        </w:tc>
        <w:tc>
          <w:tcPr>
            <w:tcW w:w="1780" w:type="dxa"/>
          </w:tcPr>
          <w:p w14:paraId="723BEBCB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6829</w:t>
            </w:r>
          </w:p>
        </w:tc>
        <w:tc>
          <w:tcPr>
            <w:tcW w:w="1780" w:type="dxa"/>
          </w:tcPr>
          <w:p w14:paraId="7FD1CCBE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15334</w:t>
            </w:r>
          </w:p>
        </w:tc>
        <w:tc>
          <w:tcPr>
            <w:tcW w:w="1790" w:type="dxa"/>
          </w:tcPr>
          <w:p w14:paraId="2EA89AEC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1048576</w:t>
            </w:r>
          </w:p>
        </w:tc>
        <w:tc>
          <w:tcPr>
            <w:tcW w:w="1774" w:type="dxa"/>
          </w:tcPr>
          <w:p w14:paraId="154C19FE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2.968</w:t>
            </w:r>
          </w:p>
        </w:tc>
      </w:tr>
      <w:tr w:rsidR="007D7D08" w14:paraId="71C77375" w14:textId="77777777" w:rsidTr="007D7D08">
        <w:tc>
          <w:tcPr>
            <w:tcW w:w="2226" w:type="dxa"/>
          </w:tcPr>
          <w:p w14:paraId="13C9AF09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Bus_routes_10000.csv</w:t>
            </w:r>
          </w:p>
        </w:tc>
        <w:tc>
          <w:tcPr>
            <w:tcW w:w="1780" w:type="dxa"/>
          </w:tcPr>
          <w:p w14:paraId="3B4CB94C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9767</w:t>
            </w:r>
          </w:p>
        </w:tc>
        <w:tc>
          <w:tcPr>
            <w:tcW w:w="1780" w:type="dxa"/>
          </w:tcPr>
          <w:p w14:paraId="096D67F6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22758</w:t>
            </w:r>
          </w:p>
        </w:tc>
        <w:tc>
          <w:tcPr>
            <w:tcW w:w="1790" w:type="dxa"/>
          </w:tcPr>
          <w:p w14:paraId="453A098E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1048576</w:t>
            </w:r>
          </w:p>
        </w:tc>
        <w:tc>
          <w:tcPr>
            <w:tcW w:w="1774" w:type="dxa"/>
          </w:tcPr>
          <w:p w14:paraId="5E8D6779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14.187</w:t>
            </w:r>
          </w:p>
        </w:tc>
      </w:tr>
      <w:tr w:rsidR="007D7D08" w14:paraId="0B2183A5" w14:textId="77777777" w:rsidTr="007D7D08">
        <w:tc>
          <w:tcPr>
            <w:tcW w:w="2226" w:type="dxa"/>
          </w:tcPr>
          <w:p w14:paraId="0BA53BEE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Bus_routes_14000.csv</w:t>
            </w:r>
          </w:p>
        </w:tc>
        <w:tc>
          <w:tcPr>
            <w:tcW w:w="1780" w:type="dxa"/>
          </w:tcPr>
          <w:p w14:paraId="5CF8C6A4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13535</w:t>
            </w:r>
          </w:p>
        </w:tc>
        <w:tc>
          <w:tcPr>
            <w:tcW w:w="1780" w:type="dxa"/>
          </w:tcPr>
          <w:p w14:paraId="4EE96FB9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32270</w:t>
            </w:r>
          </w:p>
        </w:tc>
        <w:tc>
          <w:tcPr>
            <w:tcW w:w="1790" w:type="dxa"/>
          </w:tcPr>
          <w:p w14:paraId="6C6FE67E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1048576</w:t>
            </w:r>
          </w:p>
        </w:tc>
        <w:tc>
          <w:tcPr>
            <w:tcW w:w="1774" w:type="dxa"/>
          </w:tcPr>
          <w:p w14:paraId="1BEA6B42" w14:textId="77777777" w:rsidR="007D7D08" w:rsidRDefault="007D7D08" w:rsidP="007D7D08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26.25</w:t>
            </w:r>
          </w:p>
        </w:tc>
      </w:tr>
    </w:tbl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0968EF00" w:rsidR="0042114A" w:rsidRDefault="007D7D08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l</w:t>
      </w:r>
      <w:r w:rsidR="000C2972">
        <w:rPr>
          <w:rFonts w:ascii="Dax-Regular" w:hAnsi="Dax-Regular"/>
          <w:lang w:val="es-419"/>
        </w:rPr>
        <w:t>a siguiente definición</w:t>
      </w:r>
      <w:r w:rsidR="00F97B9D">
        <w:rPr>
          <w:rFonts w:ascii="Dax-Regular" w:hAnsi="Dax-Regular"/>
          <w:lang w:val="es-419"/>
        </w:rPr>
        <w:t xml:space="preserve"> de </w:t>
      </w:r>
      <w:proofErr w:type="spellStart"/>
      <w:r w:rsidR="00F97B9D"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>:</w:t>
      </w:r>
    </w:p>
    <w:p w14:paraId="7F5DEA74" w14:textId="66451284" w:rsidR="000C2972" w:rsidRPr="0042114A" w:rsidRDefault="000C2972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2E4445F" wp14:editId="314A3B19">
            <wp:extent cx="2502219" cy="85587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179" cy="8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00039378" w:rsidR="0042114A" w:rsidRDefault="000C2972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Al ser 1000 el valor predeterminado que tiene </w:t>
      </w:r>
      <w:proofErr w:type="spellStart"/>
      <w:r>
        <w:rPr>
          <w:rFonts w:ascii="Dax-Regular" w:hAnsi="Dax-Regular"/>
          <w:lang w:val="es-419"/>
        </w:rPr>
        <w:t>Pyhton</w:t>
      </w:r>
      <w:proofErr w:type="spellEnd"/>
      <w:r>
        <w:rPr>
          <w:rFonts w:ascii="Dax-Regular" w:hAnsi="Dax-Regular"/>
          <w:lang w:val="es-419"/>
        </w:rPr>
        <w:t xml:space="preserve"> como número máximo de iteraciones, este se queda un poco corto al momento de analizar los grafos, </w:t>
      </w:r>
      <w:r w:rsidR="007D7D08">
        <w:rPr>
          <w:rFonts w:ascii="Dax-Regular" w:hAnsi="Dax-Regular"/>
          <w:lang w:val="es-419"/>
        </w:rPr>
        <w:t xml:space="preserve">ya que tienen muchas iteraciones recursivas, </w:t>
      </w:r>
      <w:r>
        <w:rPr>
          <w:rFonts w:ascii="Dax-Regular" w:hAnsi="Dax-Regular"/>
          <w:lang w:val="es-419"/>
        </w:rPr>
        <w:t xml:space="preserve">en </w:t>
      </w:r>
      <w:r w:rsidR="007D7D08">
        <w:rPr>
          <w:rFonts w:ascii="Dax-Regular" w:hAnsi="Dax-Regular"/>
          <w:lang w:val="es-419"/>
        </w:rPr>
        <w:t>consecuencia,</w:t>
      </w:r>
      <w:r>
        <w:rPr>
          <w:rFonts w:ascii="Dax-Regular" w:hAnsi="Dax-Regular"/>
          <w:lang w:val="es-419"/>
        </w:rPr>
        <w:t xml:space="preserve"> se </w:t>
      </w:r>
      <w:r w:rsidR="00502476">
        <w:rPr>
          <w:rFonts w:ascii="Dax-Regular" w:hAnsi="Dax-Regular"/>
          <w:lang w:val="es-419"/>
        </w:rPr>
        <w:t>aumenta</w:t>
      </w:r>
      <w:r>
        <w:rPr>
          <w:rFonts w:ascii="Dax-Regular" w:hAnsi="Dax-Regular"/>
          <w:lang w:val="es-419"/>
        </w:rPr>
        <w:t xml:space="preserve"> esa cifra a 2**20 para que no se congelen las definiciones</w:t>
      </w:r>
      <w:r w:rsidR="00502476">
        <w:rPr>
          <w:rFonts w:ascii="Dax-Regular" w:hAnsi="Dax-Regular"/>
          <w:lang w:val="es-419"/>
        </w:rPr>
        <w:t>.</w:t>
      </w:r>
    </w:p>
    <w:p w14:paraId="2ACEABC5" w14:textId="77777777" w:rsidR="000C2972" w:rsidRPr="0042114A" w:rsidRDefault="000C2972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235018DF" w14:textId="68468B85" w:rsidR="007F758F" w:rsidRPr="007D7D08" w:rsidRDefault="004B661B" w:rsidP="0042114A">
      <w:pPr>
        <w:pStyle w:val="Prrafodelista"/>
        <w:spacing w:after="0"/>
        <w:jc w:val="both"/>
        <w:rPr>
          <w:rFonts w:ascii="Dax-Regular" w:hAnsi="Dax-Regular" w:cs="Arial"/>
          <w:color w:val="000000"/>
          <w:shd w:val="clear" w:color="auto" w:fill="FFFFFF"/>
          <w:lang w:val="es-CO"/>
        </w:rPr>
      </w:pPr>
      <w:r w:rsidRPr="007D7D08">
        <w:rPr>
          <w:rFonts w:ascii="Dax-Regular" w:hAnsi="Dax-Regular" w:cs="Arial"/>
          <w:color w:val="000000"/>
          <w:shd w:val="clear" w:color="auto" w:fill="FFFFFF"/>
          <w:lang w:val="es-CO"/>
        </w:rPr>
        <w:t>En </w:t>
      </w:r>
      <w:r w:rsidR="007D7D08" w:rsidRPr="007D7D08">
        <w:rPr>
          <w:rStyle w:val="Textoennegrita"/>
          <w:rFonts w:ascii="Dax-Regular" w:hAnsi="Dax-Regular" w:cs="Arial"/>
          <w:color w:val="000000"/>
          <w:shd w:val="clear" w:color="auto" w:fill="FFFFFF"/>
          <w:lang w:val="es-CO"/>
        </w:rPr>
        <w:t>Python</w:t>
      </w:r>
      <w:r w:rsidRPr="007D7D08">
        <w:rPr>
          <w:rFonts w:ascii="Dax-Regular" w:hAnsi="Dax-Regular" w:cs="Arial"/>
          <w:color w:val="000000"/>
          <w:shd w:val="clear" w:color="auto" w:fill="FFFFFF"/>
          <w:lang w:val="es-CO"/>
        </w:rPr>
        <w:t>, hay un límite a la cantidad de veces que una función recursiva puede llamarse a sí misma (en general está fijado en 1000 llamadas recursivas).</w:t>
      </w:r>
    </w:p>
    <w:p w14:paraId="5B8E82F8" w14:textId="77777777" w:rsidR="004B661B" w:rsidRPr="004B661B" w:rsidRDefault="004B661B" w:rsidP="0042114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55FFD0E" w14:textId="48AC29C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0FCBC223" w14:textId="00447ABC" w:rsidR="009D116A" w:rsidRDefault="00B232C8" w:rsidP="009D116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la operación 4 se usa un algoritmo llamado Dijkstra, eso significa que entre más arcos y vértices haya, más toma tiempo.</w:t>
      </w:r>
    </w:p>
    <w:p w14:paraId="5E25409B" w14:textId="685550DF" w:rsidR="00B232C8" w:rsidRDefault="00B232C8" w:rsidP="009D116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tiempo proporcional es:</w:t>
      </w:r>
    </w:p>
    <w:p w14:paraId="2C0C7C7D" w14:textId="5BC87B90" w:rsidR="00B232C8" w:rsidRDefault="00B232C8" w:rsidP="00B232C8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B232C8">
        <w:rPr>
          <w:rFonts w:ascii="Dax-Regular" w:hAnsi="Dax-Regular"/>
          <w:lang w:val="es-419"/>
        </w:rPr>
        <w:t xml:space="preserve">Arcos </w:t>
      </w:r>
      <w:r w:rsidRPr="00B232C8">
        <w:rPr>
          <w:rFonts w:ascii="Dax-Regular" w:hAnsi="Dax-Regular"/>
          <w:b/>
          <w:bCs/>
          <w:lang w:val="es-419"/>
        </w:rPr>
        <w:t xml:space="preserve">Log </w:t>
      </w:r>
      <w:r w:rsidRPr="00B232C8">
        <w:rPr>
          <w:rFonts w:ascii="Dax-Regular" w:hAnsi="Dax-Regular"/>
          <w:lang w:val="es-419"/>
        </w:rPr>
        <w:t>vértices</w:t>
      </w:r>
    </w:p>
    <w:p w14:paraId="35391775" w14:textId="77777777" w:rsidR="00B232C8" w:rsidRPr="00B232C8" w:rsidRDefault="00B232C8" w:rsidP="00B232C8">
      <w:pPr>
        <w:pStyle w:val="Prrafodelista"/>
        <w:spacing w:after="0"/>
        <w:jc w:val="center"/>
        <w:rPr>
          <w:rFonts w:ascii="Dax-Regular" w:hAnsi="Dax-Regular"/>
          <w:lang w:val="es-419"/>
        </w:rPr>
      </w:pPr>
    </w:p>
    <w:p w14:paraId="6177676A" w14:textId="77777777" w:rsidR="001969AE" w:rsidRDefault="001969AE" w:rsidP="001969A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2ACBF7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lastRenderedPageBreak/>
        <w:t>¿Qué características tiene el grafo definido?</w:t>
      </w:r>
    </w:p>
    <w:p w14:paraId="2F2DD9A0" w14:textId="48F2AA10" w:rsidR="0042114A" w:rsidRDefault="00E441F6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grafo definido o también llamado grafo dirigido tiene como característica principal que l</w:t>
      </w:r>
      <w:r w:rsidR="00333FED">
        <w:rPr>
          <w:rFonts w:ascii="Dax-Regular" w:hAnsi="Dax-Regular"/>
          <w:lang w:val="es-419"/>
        </w:rPr>
        <w:t>os arcos entre vértices solo pueden dirigirse en direcciones ya preestablecidas.</w:t>
      </w:r>
    </w:p>
    <w:p w14:paraId="6AE75D49" w14:textId="77777777" w:rsidR="00333FED" w:rsidRPr="0042114A" w:rsidRDefault="00333FED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75BDA0A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06C9599A" w14:textId="455A760E" w:rsidR="009D116A" w:rsidRDefault="008D774E" w:rsidP="009D116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 que determina el tamaño es su </w:t>
      </w:r>
      <w:r w:rsidR="009D116A">
        <w:rPr>
          <w:rFonts w:ascii="Dax-Regular" w:hAnsi="Dax-Regular"/>
          <w:lang w:val="es-419"/>
        </w:rPr>
        <w:t>cantidad de arcos</w:t>
      </w:r>
      <w:r>
        <w:rPr>
          <w:rFonts w:ascii="Dax-Regular" w:hAnsi="Dax-Regular"/>
          <w:lang w:val="es-419"/>
        </w:rPr>
        <w:t xml:space="preserve">, en la carpeta de visual </w:t>
      </w:r>
      <w:proofErr w:type="spellStart"/>
      <w:r>
        <w:rPr>
          <w:rFonts w:ascii="Dax-Regular" w:hAnsi="Dax-Regular"/>
          <w:lang w:val="es-419"/>
        </w:rPr>
        <w:t>studio</w:t>
      </w:r>
      <w:proofErr w:type="spellEnd"/>
      <w:r>
        <w:rPr>
          <w:rFonts w:ascii="Dax-Regular" w:hAnsi="Dax-Regular"/>
          <w:lang w:val="es-419"/>
        </w:rPr>
        <w:t xml:space="preserve"> es </w:t>
      </w:r>
      <w:r>
        <w:rPr>
          <w:rFonts w:ascii="Dax-Regular" w:hAnsi="Dax-Regular"/>
          <w:lang w:val="es-CO"/>
        </w:rPr>
        <w:t>32270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3A6FD1D3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ED16437" w14:textId="7CBDD04C" w:rsidR="008D774E" w:rsidRDefault="008D774E" w:rsidP="008D774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Una lista de adyacencia y una tabla de hash, lo podemos identificar en la siguiente definición dentro de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>:</w:t>
      </w:r>
    </w:p>
    <w:p w14:paraId="5DC8D332" w14:textId="280A8A26" w:rsidR="008D774E" w:rsidRDefault="008D774E" w:rsidP="008D774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376299CA" wp14:editId="2062B5A0">
            <wp:extent cx="2989690" cy="2252489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088" cy="226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4B04" w14:textId="77777777" w:rsidR="009D116A" w:rsidRDefault="009D116A" w:rsidP="00B232C8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69BCC526" w:rsidR="0063268C" w:rsidRDefault="00333FED" w:rsidP="0063268C">
      <w:pPr>
        <w:pStyle w:val="Prrafodelista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44FBAF8" wp14:editId="570A1497">
            <wp:extent cx="1543507" cy="95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329" cy="9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33BA" w14:textId="1E388AC8" w:rsidR="00333FED" w:rsidRDefault="00333FED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está dentro de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 xml:space="preserve"> y se usa en la función de carga de datos “</w:t>
      </w:r>
      <w:proofErr w:type="spellStart"/>
      <w:r>
        <w:rPr>
          <w:rFonts w:ascii="Dax-Regular" w:hAnsi="Dax-Regular"/>
          <w:lang w:val="es-419"/>
        </w:rPr>
        <w:t>newAnalizer</w:t>
      </w:r>
      <w:proofErr w:type="spellEnd"/>
      <w:r>
        <w:rPr>
          <w:rFonts w:ascii="Dax-Regular" w:hAnsi="Dax-Regular"/>
          <w:lang w:val="es-419"/>
        </w:rPr>
        <w:t>”.</w:t>
      </w:r>
    </w:p>
    <w:p w14:paraId="7A30D279" w14:textId="518F5E16" w:rsidR="00333FED" w:rsidRDefault="00333FED" w:rsidP="0063268C">
      <w:pPr>
        <w:pStyle w:val="Prrafodelista"/>
        <w:rPr>
          <w:rFonts w:ascii="Dax-Regular" w:hAnsi="Dax-Regular"/>
          <w:lang w:val="es-CO"/>
        </w:rPr>
      </w:pPr>
      <w:r>
        <w:rPr>
          <w:noProof/>
        </w:rPr>
        <w:drawing>
          <wp:inline distT="0" distB="0" distL="0" distR="0" wp14:anchorId="675FE8E4" wp14:editId="5BF8B6D9">
            <wp:extent cx="2421331" cy="140856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871" cy="14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5F9E" w14:textId="5C75D9E8" w:rsidR="007D7D08" w:rsidRDefault="007D7D08" w:rsidP="0063268C">
      <w:pPr>
        <w:pStyle w:val="Prrafodelista"/>
        <w:rPr>
          <w:rFonts w:ascii="Dax-Regular" w:hAnsi="Dax-Regular"/>
          <w:lang w:val="es-CO"/>
        </w:rPr>
      </w:pPr>
    </w:p>
    <w:p w14:paraId="30358B40" w14:textId="77777777" w:rsidR="007D7D08" w:rsidRDefault="007D7D08" w:rsidP="0063268C">
      <w:pPr>
        <w:pStyle w:val="Prrafodelista"/>
        <w:rPr>
          <w:rFonts w:ascii="Dax-Regular" w:hAnsi="Dax-Regular"/>
          <w:lang w:val="es-CO"/>
        </w:rPr>
      </w:pPr>
    </w:p>
    <w:p w14:paraId="55694346" w14:textId="77777777" w:rsidR="008D774E" w:rsidRPr="00333FED" w:rsidRDefault="008D774E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F57647" w:rsidRDefault="0063268C" w:rsidP="00F57647">
      <w:pPr>
        <w:spacing w:after="0"/>
        <w:jc w:val="center"/>
        <w:rPr>
          <w:rFonts w:ascii="Dax-Regular" w:hAnsi="Dax-Regular"/>
          <w:lang w:val="es-CO"/>
        </w:rPr>
      </w:pPr>
    </w:p>
    <w:sectPr w:rsidR="0063268C" w:rsidRPr="00F5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B5A"/>
    <w:rsid w:val="00076EA8"/>
    <w:rsid w:val="00091AF9"/>
    <w:rsid w:val="000B34DE"/>
    <w:rsid w:val="000C2972"/>
    <w:rsid w:val="0013546A"/>
    <w:rsid w:val="00195AD3"/>
    <w:rsid w:val="001969AE"/>
    <w:rsid w:val="00236F3A"/>
    <w:rsid w:val="0031411C"/>
    <w:rsid w:val="003244F8"/>
    <w:rsid w:val="00333FED"/>
    <w:rsid w:val="003469C3"/>
    <w:rsid w:val="003B5453"/>
    <w:rsid w:val="003B6C26"/>
    <w:rsid w:val="003C0715"/>
    <w:rsid w:val="0042114A"/>
    <w:rsid w:val="0043769A"/>
    <w:rsid w:val="004B661B"/>
    <w:rsid w:val="004F2388"/>
    <w:rsid w:val="00502476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7D7D08"/>
    <w:rsid w:val="007F758F"/>
    <w:rsid w:val="00806FA9"/>
    <w:rsid w:val="008516F2"/>
    <w:rsid w:val="008B7948"/>
    <w:rsid w:val="008D774E"/>
    <w:rsid w:val="009D116A"/>
    <w:rsid w:val="009F4247"/>
    <w:rsid w:val="00A341C3"/>
    <w:rsid w:val="00A442AC"/>
    <w:rsid w:val="00A74C44"/>
    <w:rsid w:val="00AA39E8"/>
    <w:rsid w:val="00B232C8"/>
    <w:rsid w:val="00B72D08"/>
    <w:rsid w:val="00BA3B38"/>
    <w:rsid w:val="00BE5A08"/>
    <w:rsid w:val="00CB6E41"/>
    <w:rsid w:val="00D36265"/>
    <w:rsid w:val="00D85575"/>
    <w:rsid w:val="00E37A60"/>
    <w:rsid w:val="00E441F6"/>
    <w:rsid w:val="00E50E9B"/>
    <w:rsid w:val="00EE4322"/>
    <w:rsid w:val="00F57647"/>
    <w:rsid w:val="00F9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4B661B"/>
    <w:rPr>
      <w:b/>
      <w:bCs/>
    </w:rPr>
  </w:style>
  <w:style w:type="table" w:styleId="Tablaconcuadrcula">
    <w:name w:val="Table Grid"/>
    <w:basedOn w:val="Tablanormal"/>
    <w:uiPriority w:val="39"/>
    <w:rsid w:val="00F5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Rueda</cp:lastModifiedBy>
  <cp:revision>41</cp:revision>
  <dcterms:created xsi:type="dcterms:W3CDTF">2021-02-10T17:06:00Z</dcterms:created>
  <dcterms:modified xsi:type="dcterms:W3CDTF">2021-05-18T14:14:00Z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