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90B0C54" w14:textId="010C6230" w:rsidR="00E979F7" w:rsidRDefault="00BA3B38" w:rsidP="00BA3B38">
      <w:pPr>
        <w:pStyle w:val="Puesto"/>
        <w:jc w:val="center"/>
        <w:rPr>
          <w:lang w:val="es-419"/>
        </w:rPr>
      </w:pPr>
      <w:r w:rsidRPr="00A442AC">
        <w:rPr>
          <w:lang w:val="es-419"/>
        </w:rPr>
        <w:t>OBSERVACIONES DEL LA PRACTICA</w:t>
      </w:r>
    </w:p>
    <w:p w14:paraId="531F8090" w14:textId="77777777" w:rsidR="00E2120F" w:rsidRPr="00E2120F" w:rsidRDefault="00E2120F" w:rsidP="00E2120F">
      <w:pPr>
        <w:rPr>
          <w:lang w:val="es-419"/>
        </w:rPr>
      </w:pPr>
    </w:p>
    <w:p w14:paraId="39326AE5" w14:textId="77777777" w:rsidR="005B4A0D" w:rsidRPr="00E36356" w:rsidRDefault="005B4A0D" w:rsidP="005B4A0D">
      <w:pPr>
        <w:spacing w:after="0"/>
        <w:jc w:val="right"/>
        <w:rPr>
          <w:noProof w:val="0"/>
          <w:lang w:val="es-419"/>
        </w:rPr>
      </w:pPr>
      <w:r w:rsidRPr="00E36356">
        <w:rPr>
          <w:noProof w:val="0"/>
          <w:lang w:val="es-419"/>
        </w:rPr>
        <w:t>Estudiante 1</w:t>
      </w:r>
      <w:r>
        <w:rPr>
          <w:noProof w:val="0"/>
          <w:lang w:val="es-419"/>
        </w:rPr>
        <w:t>: Nicole Murillo Fonseca 202025521</w:t>
      </w:r>
    </w:p>
    <w:p w14:paraId="5E3BB605" w14:textId="77777777" w:rsidR="005B4A0D" w:rsidRPr="00FB4B5A" w:rsidRDefault="005B4A0D" w:rsidP="005B4A0D">
      <w:pPr>
        <w:spacing w:after="0"/>
        <w:jc w:val="right"/>
        <w:rPr>
          <w:noProof w:val="0"/>
        </w:rPr>
      </w:pPr>
      <w:r w:rsidRPr="00E36356">
        <w:rPr>
          <w:noProof w:val="0"/>
          <w:lang w:val="es-419"/>
        </w:rPr>
        <w:t>Estudiante 2</w:t>
      </w:r>
      <w:r>
        <w:rPr>
          <w:noProof w:val="0"/>
          <w:lang w:val="es-419"/>
        </w:rPr>
        <w:t>: Mariana Diaz Arenas 202020993</w:t>
      </w:r>
    </w:p>
    <w:p w14:paraId="2C680F50" w14:textId="77777777" w:rsidR="00667C88" w:rsidRPr="00A74C44" w:rsidRDefault="00667C88" w:rsidP="00667C88">
      <w:pPr>
        <w:spacing w:after="0"/>
        <w:jc w:val="right"/>
        <w:rPr>
          <w:lang w:val="es-419"/>
        </w:rPr>
      </w:pPr>
    </w:p>
    <w:p w14:paraId="1E3BD84D" w14:textId="77777777" w:rsidR="00A442AC" w:rsidRDefault="00A442AC" w:rsidP="00EC4664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¿Qué estructura de datos se usa para este índice?</w:t>
      </w:r>
    </w:p>
    <w:p w14:paraId="78E5C15C" w14:textId="77777777" w:rsidR="00A442AC" w:rsidRDefault="00A442AC" w:rsidP="00EC4664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¿Cuántos elementos se espera almacenar inicialmente?</w:t>
      </w:r>
    </w:p>
    <w:p w14:paraId="2137E564" w14:textId="77777777" w:rsidR="00A442AC" w:rsidRDefault="00A442AC" w:rsidP="00EC4664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¿Cuál es el factor de carga?</w:t>
      </w:r>
    </w:p>
    <w:p w14:paraId="7867EC0A" w14:textId="77777777" w:rsidR="00A442AC" w:rsidRDefault="00A442AC" w:rsidP="00EC4664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¿Con cuántos elementos serán necesarios agregar para hacer re-hash de la tabla?</w:t>
      </w:r>
    </w:p>
    <w:p w14:paraId="45D73D1C" w14:textId="77777777" w:rsidR="00A442AC" w:rsidRDefault="00A442AC" w:rsidP="00EC4664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¿Qué hace la instrucción “</w:t>
      </w:r>
      <w:r w:rsidRPr="00A56AF3">
        <w:rPr>
          <w:rFonts w:ascii="Dax-Regular" w:hAnsi="Dax-Regular"/>
          <w:b/>
          <w:bCs/>
          <w:lang w:val="es-419"/>
        </w:rPr>
        <w:t>mp.put(...)”</w:t>
      </w:r>
      <w:r w:rsidRPr="00A56AF3">
        <w:rPr>
          <w:rFonts w:ascii="Dax-Regular" w:hAnsi="Dax-Regular"/>
          <w:lang w:val="es-419"/>
        </w:rPr>
        <w:t>?</w:t>
      </w:r>
    </w:p>
    <w:p w14:paraId="10E7CC3F" w14:textId="77777777" w:rsidR="00EC4664" w:rsidRPr="00EC4664" w:rsidRDefault="00EC4664" w:rsidP="00EC4664">
      <w:pPr>
        <w:spacing w:after="0"/>
        <w:jc w:val="both"/>
        <w:rPr>
          <w:rFonts w:ascii="Dax-Regular" w:hAnsi="Dax-Regular"/>
          <w:lang w:val="es-419"/>
        </w:rPr>
      </w:pPr>
      <w:bookmarkStart w:id="0" w:name="_GoBack"/>
      <w:bookmarkEnd w:id="0"/>
    </w:p>
    <w:p w14:paraId="6D503037" w14:textId="77777777" w:rsidR="00A442AC" w:rsidRPr="00EC4664" w:rsidRDefault="00A442AC" w:rsidP="00EC4664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b/>
          <w:lang w:val="es-419"/>
        </w:rPr>
      </w:pPr>
      <w:r w:rsidRPr="00EC4664">
        <w:rPr>
          <w:rFonts w:ascii="Dax-Regular" w:hAnsi="Dax-Regular"/>
          <w:b/>
          <w:lang w:val="es-419"/>
        </w:rPr>
        <w:t>¿</w:t>
      </w:r>
      <w:r w:rsidRPr="00EC4664">
        <w:rPr>
          <w:rFonts w:ascii="Dax-Regular" w:hAnsi="Dax-Regular"/>
          <w:b/>
          <w:lang w:val="es-ES"/>
        </w:rPr>
        <w:t xml:space="preserve">Qué papel cumple </w:t>
      </w:r>
      <w:r w:rsidRPr="00EC4664">
        <w:rPr>
          <w:rFonts w:ascii="Dax-Regular" w:hAnsi="Dax-Regular"/>
          <w:b/>
          <w:bCs/>
          <w:lang w:val="es-ES"/>
        </w:rPr>
        <w:t>“</w:t>
      </w:r>
      <w:proofErr w:type="spellStart"/>
      <w:r w:rsidRPr="00EC4664">
        <w:rPr>
          <w:rFonts w:ascii="Dax-Regular" w:hAnsi="Dax-Regular"/>
          <w:b/>
          <w:bCs/>
          <w:lang w:val="es-ES"/>
        </w:rPr>
        <w:t>book</w:t>
      </w:r>
      <w:proofErr w:type="spellEnd"/>
      <w:r w:rsidRPr="00EC4664">
        <w:rPr>
          <w:rFonts w:ascii="Dax-Regular" w:hAnsi="Dax-Regular"/>
          <w:b/>
          <w:bCs/>
          <w:lang w:val="es-ES"/>
        </w:rPr>
        <w:t>[‘</w:t>
      </w:r>
      <w:proofErr w:type="spellStart"/>
      <w:r w:rsidRPr="00EC4664">
        <w:rPr>
          <w:rFonts w:ascii="Dax-Regular" w:hAnsi="Dax-Regular"/>
          <w:b/>
          <w:bCs/>
          <w:lang w:val="es-ES"/>
        </w:rPr>
        <w:t>goodreads_book_id</w:t>
      </w:r>
      <w:proofErr w:type="spellEnd"/>
      <w:r w:rsidRPr="00EC4664">
        <w:rPr>
          <w:rFonts w:ascii="Dax-Regular" w:hAnsi="Dax-Regular"/>
          <w:b/>
          <w:bCs/>
          <w:lang w:val="es-ES"/>
        </w:rPr>
        <w:t>’]”</w:t>
      </w:r>
      <w:r w:rsidRPr="00EC4664">
        <w:rPr>
          <w:rFonts w:ascii="Dax-Regular" w:hAnsi="Dax-Regular"/>
          <w:b/>
          <w:lang w:val="es-ES"/>
        </w:rPr>
        <w:t xml:space="preserve"> en esa instrucción?</w:t>
      </w:r>
    </w:p>
    <w:p w14:paraId="5F16565B" w14:textId="77777777" w:rsidR="00EC4664" w:rsidRPr="00EC4664" w:rsidRDefault="00EC4664" w:rsidP="00EC4664">
      <w:pPr>
        <w:spacing w:after="0"/>
        <w:jc w:val="both"/>
        <w:rPr>
          <w:rFonts w:ascii="Dax-Regular" w:hAnsi="Dax-Regular"/>
          <w:b/>
          <w:lang w:val="es-419"/>
        </w:rPr>
      </w:pPr>
    </w:p>
    <w:p w14:paraId="254AC6E3" w14:textId="77777777" w:rsidR="00EC4664" w:rsidRPr="00EC4664" w:rsidRDefault="00EC4664" w:rsidP="00EC4664">
      <w:pPr>
        <w:jc w:val="both"/>
        <w:rPr>
          <w:rFonts w:ascii="Times New Roman" w:eastAsia="Times New Roman" w:hAnsi="Times New Roman" w:cs="Times New Roman"/>
          <w:lang w:val="es-ES_tradnl" w:eastAsia="es-ES_tradnl"/>
        </w:rPr>
      </w:pPr>
      <w:r w:rsidRPr="00EC4664">
        <w:rPr>
          <w:rFonts w:ascii="Times New Roman" w:eastAsia="Times New Roman" w:hAnsi="Times New Roman" w:cs="Times New Roman"/>
          <w:lang w:val="es-ES_tradnl" w:eastAsia="es-ES_tradnl"/>
        </w:rPr>
        <w:t xml:space="preserve">Debido a que </w:t>
      </w:r>
      <w:r w:rsidRPr="00EC4664">
        <w:rPr>
          <w:rFonts w:ascii="Times New Roman" w:eastAsia="Times New Roman" w:hAnsi="Times New Roman" w:cs="Times New Roman"/>
          <w:b/>
          <w:lang w:val="es-ES_tradnl" w:eastAsia="es-ES_tradnl"/>
        </w:rPr>
        <w:t>“book[“goodreads_book_id]”</w:t>
      </w:r>
      <w:r w:rsidRPr="00EC4664">
        <w:rPr>
          <w:rFonts w:ascii="Times New Roman" w:eastAsia="Times New Roman" w:hAnsi="Times New Roman" w:cs="Times New Roman"/>
          <w:lang w:val="es-ES_tradnl" w:eastAsia="es-ES_tradnl"/>
        </w:rPr>
        <w:t xml:space="preserve"> corresponde al segundo parámetro de la función </w:t>
      </w:r>
      <w:r w:rsidRPr="00EC4664">
        <w:rPr>
          <w:rFonts w:ascii="Times New Roman" w:eastAsia="Times New Roman" w:hAnsi="Times New Roman" w:cs="Times New Roman"/>
          <w:b/>
          <w:lang w:val="es-ES_tradnl" w:eastAsia="es-ES_tradnl"/>
        </w:rPr>
        <w:t>mp.put(),</w:t>
      </w:r>
      <w:r w:rsidRPr="00EC4664">
        <w:rPr>
          <w:rFonts w:ascii="Times New Roman" w:eastAsia="Times New Roman" w:hAnsi="Times New Roman" w:cs="Times New Roman"/>
          <w:lang w:val="es-ES_tradnl" w:eastAsia="es-ES_tradnl"/>
        </w:rPr>
        <w:t xml:space="preserve"> esto indica que será el nombre que recibirá la llave de la pareja llave, valor que ingresará a la tabla de hash, en este caso, se puede evidenciar que será el id del libro que se desea ingresar, el cual, está guardado en el archivo de goodreads y por eso existe una referencia a él, en esta línea de código.</w:t>
      </w:r>
    </w:p>
    <w:p w14:paraId="03969936" w14:textId="77777777" w:rsidR="00EC4664" w:rsidRPr="00EC4664" w:rsidRDefault="00EC4664" w:rsidP="00EC4664">
      <w:pPr>
        <w:spacing w:after="0"/>
        <w:jc w:val="both"/>
        <w:rPr>
          <w:rFonts w:ascii="Dax-Regular" w:hAnsi="Dax-Regular"/>
          <w:lang w:val="es-419"/>
        </w:rPr>
      </w:pPr>
    </w:p>
    <w:p w14:paraId="38568E0A" w14:textId="77777777" w:rsidR="00A442AC" w:rsidRPr="00EC4664" w:rsidRDefault="00A442AC" w:rsidP="00EC4664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b/>
          <w:lang w:val="es-419"/>
        </w:rPr>
      </w:pPr>
      <w:r w:rsidRPr="00EC4664">
        <w:rPr>
          <w:rFonts w:ascii="Dax-Regular" w:hAnsi="Dax-Regular"/>
          <w:b/>
          <w:lang w:val="es-ES"/>
        </w:rPr>
        <w:t xml:space="preserve">¿Qué papel cumple </w:t>
      </w:r>
      <w:r w:rsidRPr="00EC4664">
        <w:rPr>
          <w:rFonts w:ascii="Dax-Regular" w:hAnsi="Dax-Regular"/>
          <w:b/>
          <w:bCs/>
          <w:lang w:val="es-ES"/>
        </w:rPr>
        <w:t>“</w:t>
      </w:r>
      <w:proofErr w:type="spellStart"/>
      <w:r w:rsidRPr="00EC4664">
        <w:rPr>
          <w:rFonts w:ascii="Dax-Regular" w:hAnsi="Dax-Regular"/>
          <w:b/>
          <w:bCs/>
          <w:i/>
          <w:iCs/>
          <w:lang w:val="es-ES"/>
        </w:rPr>
        <w:t>book</w:t>
      </w:r>
      <w:proofErr w:type="spellEnd"/>
      <w:r w:rsidRPr="00EC4664">
        <w:rPr>
          <w:rFonts w:ascii="Dax-Regular" w:hAnsi="Dax-Regular"/>
          <w:b/>
          <w:bCs/>
          <w:i/>
          <w:iCs/>
          <w:lang w:val="es-ES"/>
        </w:rPr>
        <w:t>”</w:t>
      </w:r>
      <w:r w:rsidRPr="00EC4664">
        <w:rPr>
          <w:rFonts w:ascii="Dax-Regular" w:hAnsi="Dax-Regular"/>
          <w:b/>
          <w:lang w:val="es-ES"/>
        </w:rPr>
        <w:t xml:space="preserve"> en esa instrucción?</w:t>
      </w:r>
    </w:p>
    <w:p w14:paraId="40BCAC3C" w14:textId="77777777" w:rsidR="00EC4664" w:rsidRDefault="00EC4664" w:rsidP="00EC4664">
      <w:pPr>
        <w:spacing w:after="0"/>
        <w:jc w:val="both"/>
        <w:rPr>
          <w:rFonts w:ascii="Dax-Regular" w:hAnsi="Dax-Regular"/>
          <w:lang w:val="es-419"/>
        </w:rPr>
      </w:pPr>
    </w:p>
    <w:p w14:paraId="1343E6B8" w14:textId="3487E135" w:rsidR="00EC4664" w:rsidRPr="00EC4664" w:rsidRDefault="00EC4664" w:rsidP="00EC4664">
      <w:pPr>
        <w:jc w:val="both"/>
        <w:rPr>
          <w:rFonts w:ascii="Times New Roman" w:eastAsia="Times New Roman" w:hAnsi="Times New Roman" w:cs="Times New Roman"/>
          <w:lang w:val="es-ES_tradnl" w:eastAsia="es-ES_tradnl"/>
        </w:rPr>
      </w:pPr>
      <w:r w:rsidRPr="00EC4664">
        <w:rPr>
          <w:rFonts w:ascii="Times New Roman" w:eastAsia="Times New Roman" w:hAnsi="Times New Roman" w:cs="Times New Roman"/>
          <w:lang w:val="es-ES_tradnl" w:eastAsia="es-ES_tradnl"/>
        </w:rPr>
        <w:t xml:space="preserve">Ahora bien, debido a que el segundo parámetro de la función </w:t>
      </w:r>
      <w:r w:rsidRPr="00EC4664">
        <w:rPr>
          <w:rFonts w:ascii="Times New Roman" w:eastAsia="Times New Roman" w:hAnsi="Times New Roman" w:cs="Times New Roman"/>
          <w:b/>
          <w:lang w:val="es-ES_tradnl" w:eastAsia="es-ES_tradnl"/>
        </w:rPr>
        <w:t xml:space="preserve">mp.put(), </w:t>
      </w:r>
      <w:r w:rsidRPr="00EC4664">
        <w:rPr>
          <w:rFonts w:ascii="Times New Roman" w:eastAsia="Times New Roman" w:hAnsi="Times New Roman" w:cs="Times New Roman"/>
          <w:lang w:val="es-ES_tradnl" w:eastAsia="es-ES_tradnl"/>
        </w:rPr>
        <w:t>correspondía a la llave, implica que el tercer parámetro de la instrucción será el valor que se desea guardar en la llave correspondiente, que en este caso, va a concernir toda la información que tenga el archivo csv sobre el libro que se dese agregar a la tabla de hash.</w:t>
      </w:r>
    </w:p>
    <w:p w14:paraId="6A1719C1" w14:textId="77777777" w:rsidR="00EC4664" w:rsidRPr="00EC4664" w:rsidRDefault="00EC4664" w:rsidP="00EC4664">
      <w:pPr>
        <w:spacing w:after="0"/>
        <w:jc w:val="both"/>
        <w:rPr>
          <w:rFonts w:ascii="Dax-Regular" w:hAnsi="Dax-Regular"/>
          <w:lang w:val="es-419"/>
        </w:rPr>
      </w:pPr>
    </w:p>
    <w:p w14:paraId="6B93EA60" w14:textId="77777777" w:rsidR="00A442AC" w:rsidRPr="00EC4664" w:rsidRDefault="00A442AC" w:rsidP="00EC4664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b/>
          <w:lang w:val="es-419"/>
        </w:rPr>
      </w:pPr>
      <w:r w:rsidRPr="00EC4664">
        <w:rPr>
          <w:rFonts w:ascii="Dax-Regular" w:hAnsi="Dax-Regular"/>
          <w:b/>
          <w:lang w:val="es-419"/>
        </w:rPr>
        <w:t xml:space="preserve">¿Qué hace la instrucción </w:t>
      </w:r>
      <w:r w:rsidRPr="00EC4664">
        <w:rPr>
          <w:rFonts w:ascii="Dax-Regular" w:hAnsi="Dax-Regular"/>
          <w:b/>
          <w:bCs/>
          <w:lang w:val="es-419"/>
        </w:rPr>
        <w:t>“mp.get(…)”</w:t>
      </w:r>
      <w:r w:rsidRPr="00EC4664">
        <w:rPr>
          <w:rFonts w:ascii="Dax-Regular" w:hAnsi="Dax-Regular"/>
          <w:b/>
          <w:lang w:val="es-419"/>
        </w:rPr>
        <w:t>?</w:t>
      </w:r>
    </w:p>
    <w:p w14:paraId="5BD78266" w14:textId="77777777" w:rsidR="00EC4664" w:rsidRDefault="00EC4664" w:rsidP="00EC4664">
      <w:pPr>
        <w:spacing w:after="0"/>
        <w:jc w:val="both"/>
        <w:rPr>
          <w:rFonts w:ascii="Dax-Regular" w:hAnsi="Dax-Regular"/>
          <w:lang w:val="es-419"/>
        </w:rPr>
      </w:pPr>
    </w:p>
    <w:p w14:paraId="07974097" w14:textId="037F8882" w:rsidR="00EC4664" w:rsidRPr="00EC4664" w:rsidRDefault="00EC4664" w:rsidP="00EC4664">
      <w:pPr>
        <w:jc w:val="both"/>
        <w:rPr>
          <w:rFonts w:eastAsia="Times New Roman"/>
          <w:lang w:val="es-ES_tradnl"/>
        </w:rPr>
      </w:pPr>
      <w:r w:rsidRPr="00EC4664">
        <w:rPr>
          <w:rFonts w:eastAsia="Times New Roman"/>
          <w:lang w:val="es-ES_tradnl"/>
        </w:rPr>
        <w:t xml:space="preserve">La función </w:t>
      </w:r>
      <w:r w:rsidRPr="00EC4664">
        <w:rPr>
          <w:rFonts w:eastAsia="Times New Roman"/>
          <w:b/>
          <w:lang w:val="es-ES_tradnl"/>
        </w:rPr>
        <w:t>mp.get(),</w:t>
      </w:r>
      <w:r w:rsidRPr="00EC4664">
        <w:rPr>
          <w:rFonts w:eastAsia="Times New Roman"/>
          <w:lang w:val="es-ES_tradnl"/>
        </w:rPr>
        <w:t xml:space="preserve"> recibe dos parámetros, uno siendo el </w:t>
      </w:r>
      <w:r w:rsidRPr="00EC4664">
        <w:rPr>
          <w:rFonts w:eastAsia="Times New Roman"/>
          <w:b/>
          <w:lang w:val="es-ES_tradnl"/>
        </w:rPr>
        <w:t>“map”</w:t>
      </w:r>
      <w:r w:rsidRPr="00EC4664">
        <w:rPr>
          <w:rFonts w:eastAsia="Times New Roman"/>
          <w:lang w:val="es-ES_tradnl"/>
        </w:rPr>
        <w:t xml:space="preserve"> donde está almacenada toda la información del programa y un </w:t>
      </w:r>
      <w:r w:rsidRPr="00EC4664">
        <w:rPr>
          <w:rFonts w:eastAsia="Times New Roman"/>
          <w:b/>
          <w:lang w:val="es-ES_tradnl"/>
        </w:rPr>
        <w:t>“key”</w:t>
      </w:r>
      <w:r w:rsidRPr="00EC4664">
        <w:rPr>
          <w:rFonts w:eastAsia="Times New Roman"/>
          <w:lang w:val="es-ES_tradnl"/>
        </w:rPr>
        <w:t xml:space="preserve"> que se refiere a la llave de la pareja que se desea buscar en el map. Con esta información, recorre el map y busca una pareja llave, valor, cuya llave corresponda al valor ingresado como </w:t>
      </w:r>
      <w:r w:rsidRPr="00EC4664">
        <w:rPr>
          <w:rFonts w:eastAsia="Times New Roman"/>
          <w:b/>
          <w:lang w:val="es-ES_tradnl"/>
        </w:rPr>
        <w:t>“key”</w:t>
      </w:r>
      <w:r w:rsidRPr="00EC4664">
        <w:rPr>
          <w:rFonts w:eastAsia="Times New Roman"/>
          <w:lang w:val="es-ES_tradnl"/>
        </w:rPr>
        <w:t xml:space="preserve"> y retorna la pareja correspondiente que contenga el map</w:t>
      </w:r>
      <w:r>
        <w:rPr>
          <w:rFonts w:eastAsia="Times New Roman"/>
          <w:lang w:val="es-ES_tradnl"/>
        </w:rPr>
        <w:t>.</w:t>
      </w:r>
    </w:p>
    <w:p w14:paraId="100E170E" w14:textId="77777777" w:rsidR="00EC4664" w:rsidRPr="00EC4664" w:rsidRDefault="00EC4664" w:rsidP="00EC4664">
      <w:pPr>
        <w:spacing w:after="0"/>
        <w:jc w:val="both"/>
        <w:rPr>
          <w:rFonts w:ascii="Dax-Regular" w:hAnsi="Dax-Regular"/>
          <w:lang w:val="es-419"/>
        </w:rPr>
      </w:pPr>
    </w:p>
    <w:p w14:paraId="24934F6D" w14:textId="77777777" w:rsidR="00A442AC" w:rsidRPr="00EC4664" w:rsidRDefault="00A442AC" w:rsidP="00EC4664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A56AF3">
        <w:rPr>
          <w:rFonts w:ascii="Dax-Regular" w:hAnsi="Dax-Regular"/>
          <w:lang w:val="es-419"/>
        </w:rPr>
        <w:t>¿</w:t>
      </w:r>
      <w:r w:rsidRPr="00EC4664">
        <w:rPr>
          <w:rFonts w:ascii="Dax-Regular" w:hAnsi="Dax-Regular"/>
          <w:b/>
          <w:lang w:val="es-ES"/>
        </w:rPr>
        <w:t xml:space="preserve">Qué papel cumple </w:t>
      </w:r>
      <w:r w:rsidRPr="00EC4664">
        <w:rPr>
          <w:rFonts w:ascii="Dax-Regular" w:hAnsi="Dax-Regular"/>
          <w:b/>
          <w:bCs/>
          <w:lang w:val="es-ES"/>
        </w:rPr>
        <w:t>“</w:t>
      </w:r>
      <w:proofErr w:type="spellStart"/>
      <w:r w:rsidRPr="00EC4664">
        <w:rPr>
          <w:rFonts w:ascii="Dax-Regular" w:hAnsi="Dax-Regular"/>
          <w:b/>
          <w:bCs/>
          <w:i/>
          <w:iCs/>
          <w:lang w:val="es-ES"/>
        </w:rPr>
        <w:t>year</w:t>
      </w:r>
      <w:proofErr w:type="spellEnd"/>
      <w:r w:rsidRPr="00EC4664">
        <w:rPr>
          <w:rFonts w:ascii="Dax-Regular" w:hAnsi="Dax-Regular"/>
          <w:b/>
          <w:bCs/>
          <w:i/>
          <w:iCs/>
          <w:lang w:val="es-ES"/>
        </w:rPr>
        <w:t>”</w:t>
      </w:r>
      <w:r w:rsidRPr="00EC4664">
        <w:rPr>
          <w:rFonts w:ascii="Dax-Regular" w:hAnsi="Dax-Regular"/>
          <w:b/>
          <w:bCs/>
          <w:lang w:val="es-ES"/>
        </w:rPr>
        <w:t xml:space="preserve"> </w:t>
      </w:r>
      <w:r w:rsidRPr="00EC4664">
        <w:rPr>
          <w:rFonts w:ascii="Dax-Regular" w:hAnsi="Dax-Regular"/>
          <w:b/>
          <w:lang w:val="es-ES"/>
        </w:rPr>
        <w:t>en esa instrucción?</w:t>
      </w:r>
    </w:p>
    <w:p w14:paraId="68FDD321" w14:textId="77777777" w:rsidR="00EC4664" w:rsidRDefault="00EC4664" w:rsidP="00EC4664">
      <w:pPr>
        <w:spacing w:after="0"/>
        <w:jc w:val="both"/>
        <w:rPr>
          <w:rFonts w:ascii="Dax-Regular" w:hAnsi="Dax-Regular"/>
          <w:lang w:val="es-419"/>
        </w:rPr>
      </w:pPr>
    </w:p>
    <w:p w14:paraId="6C99858F" w14:textId="2460AC07" w:rsidR="00EC4664" w:rsidRDefault="00EC4664" w:rsidP="00EC4664">
      <w:pPr>
        <w:jc w:val="both"/>
        <w:rPr>
          <w:rFonts w:eastAsia="Times New Roman"/>
          <w:lang w:val="es-ES_tradnl"/>
        </w:rPr>
      </w:pPr>
      <w:r w:rsidRPr="00EC4664">
        <w:rPr>
          <w:rFonts w:eastAsia="Times New Roman"/>
          <w:lang w:val="es-ES_tradnl"/>
        </w:rPr>
        <w:t xml:space="preserve">En este caso, </w:t>
      </w:r>
      <w:r w:rsidRPr="00EC4664">
        <w:rPr>
          <w:rFonts w:eastAsia="Times New Roman"/>
          <w:b/>
          <w:lang w:val="es-ES_tradnl"/>
        </w:rPr>
        <w:t>“year”</w:t>
      </w:r>
      <w:r w:rsidRPr="00EC4664">
        <w:rPr>
          <w:rFonts w:eastAsia="Times New Roman"/>
          <w:lang w:val="es-ES_tradnl"/>
        </w:rPr>
        <w:t xml:space="preserve"> hace referencia a la llave de la pareja que se quiere buscar en el map, como se evidencia en las líneas de código, esta se define dentro de la misma función llamando al catálogo y a los valores de año para poder asignar un valor a este parámetro y obtener la pareja llave, valor.</w:t>
      </w:r>
    </w:p>
    <w:p w14:paraId="11978B54" w14:textId="77777777" w:rsidR="00EC4664" w:rsidRDefault="00EC4664" w:rsidP="00EC4664">
      <w:pPr>
        <w:jc w:val="both"/>
        <w:rPr>
          <w:rFonts w:eastAsia="Times New Roman"/>
          <w:lang w:val="es-ES_tradnl"/>
        </w:rPr>
      </w:pPr>
    </w:p>
    <w:p w14:paraId="7DC8D14E" w14:textId="77777777" w:rsidR="00EC4664" w:rsidRDefault="00EC4664" w:rsidP="00EC4664">
      <w:pPr>
        <w:jc w:val="both"/>
        <w:rPr>
          <w:rFonts w:eastAsia="Times New Roman"/>
          <w:lang w:val="es-ES_tradnl"/>
        </w:rPr>
      </w:pPr>
    </w:p>
    <w:p w14:paraId="1C129B98" w14:textId="77777777" w:rsidR="00EC4664" w:rsidRPr="00EC4664" w:rsidRDefault="00EC4664" w:rsidP="00EC4664">
      <w:pPr>
        <w:jc w:val="both"/>
        <w:rPr>
          <w:rFonts w:eastAsia="Times New Roman"/>
          <w:lang w:val="es-ES_tradnl"/>
        </w:rPr>
      </w:pPr>
    </w:p>
    <w:p w14:paraId="58A5A05B" w14:textId="77777777" w:rsidR="00EC4664" w:rsidRPr="00EC4664" w:rsidRDefault="00EC4664" w:rsidP="00EC4664">
      <w:pPr>
        <w:spacing w:after="0"/>
        <w:jc w:val="both"/>
        <w:rPr>
          <w:rFonts w:ascii="Dax-Regular" w:hAnsi="Dax-Regular"/>
          <w:b/>
          <w:lang w:val="es-419"/>
        </w:rPr>
      </w:pPr>
    </w:p>
    <w:p w14:paraId="425AC776" w14:textId="77777777" w:rsidR="00A442AC" w:rsidRPr="00A56AF3" w:rsidRDefault="00A442AC" w:rsidP="00EC4664">
      <w:pPr>
        <w:pStyle w:val="Prrafodelista"/>
        <w:numPr>
          <w:ilvl w:val="0"/>
          <w:numId w:val="1"/>
        </w:numPr>
        <w:spacing w:after="0"/>
        <w:jc w:val="both"/>
        <w:rPr>
          <w:rFonts w:ascii="Dax-Regular" w:hAnsi="Dax-Regular"/>
          <w:lang w:val="es-419"/>
        </w:rPr>
      </w:pPr>
      <w:r w:rsidRPr="00EC4664">
        <w:rPr>
          <w:rFonts w:ascii="Dax-Regular" w:hAnsi="Dax-Regular"/>
          <w:b/>
          <w:lang w:val="es-ES"/>
        </w:rPr>
        <w:t xml:space="preserve">¿Qué hace la instrucción </w:t>
      </w:r>
      <w:r w:rsidRPr="00EC4664">
        <w:rPr>
          <w:rFonts w:ascii="Dax-Regular" w:hAnsi="Dax-Regular"/>
          <w:b/>
          <w:bCs/>
          <w:lang w:val="es-ES"/>
        </w:rPr>
        <w:t>“</w:t>
      </w:r>
      <w:proofErr w:type="spellStart"/>
      <w:proofErr w:type="gramStart"/>
      <w:r w:rsidRPr="00EC4664">
        <w:rPr>
          <w:rFonts w:ascii="Dax-Regular" w:hAnsi="Dax-Regular"/>
          <w:b/>
          <w:bCs/>
          <w:lang w:val="es-ES"/>
        </w:rPr>
        <w:t>me.getValue</w:t>
      </w:r>
      <w:proofErr w:type="spellEnd"/>
      <w:proofErr w:type="gramEnd"/>
      <w:r w:rsidRPr="00EC4664">
        <w:rPr>
          <w:rFonts w:ascii="Dax-Regular" w:hAnsi="Dax-Regular"/>
          <w:b/>
          <w:bCs/>
          <w:lang w:val="es-ES"/>
        </w:rPr>
        <w:t>(…)”</w:t>
      </w:r>
      <w:r w:rsidRPr="00EC4664">
        <w:rPr>
          <w:rFonts w:ascii="Dax-Regular" w:hAnsi="Dax-Regular"/>
          <w:b/>
          <w:lang w:val="es-ES"/>
        </w:rPr>
        <w:t>?</w:t>
      </w:r>
    </w:p>
    <w:p w14:paraId="2D09031E" w14:textId="77777777" w:rsidR="00BA3B38" w:rsidRDefault="00BA3B38" w:rsidP="00EC4664">
      <w:pPr>
        <w:jc w:val="both"/>
        <w:rPr>
          <w:lang w:val="es-419"/>
        </w:rPr>
      </w:pPr>
    </w:p>
    <w:p w14:paraId="4844E392" w14:textId="77777777" w:rsidR="00EC4664" w:rsidRPr="00EC4664" w:rsidRDefault="00EC4664" w:rsidP="00EC4664">
      <w:pPr>
        <w:jc w:val="both"/>
        <w:rPr>
          <w:lang w:val="es-ES_tradnl"/>
        </w:rPr>
      </w:pPr>
      <w:r w:rsidRPr="00EC4664">
        <w:rPr>
          <w:lang w:val="es-ES_tradnl"/>
        </w:rPr>
        <w:t xml:space="preserve">Esta función, lo que hace es recibir un único parámetro conocido como </w:t>
      </w:r>
      <w:r w:rsidRPr="00EC4664">
        <w:rPr>
          <w:b/>
          <w:lang w:val="es-ES_tradnl"/>
        </w:rPr>
        <w:t xml:space="preserve">“entry”, </w:t>
      </w:r>
      <w:r w:rsidRPr="00EC4664">
        <w:rPr>
          <w:lang w:val="es-ES_tradnl"/>
        </w:rPr>
        <w:t>el cual es una pareja llave, valor determinada y devuelve únicamente la llave de la pareja. En este caso, las líneas de código demuestran que sirve para asignar valores correctamente y que la función se desarrolle bien.</w:t>
      </w:r>
    </w:p>
    <w:p w14:paraId="2BB449E2" w14:textId="77777777" w:rsidR="00EC4664" w:rsidRPr="00EC4664" w:rsidRDefault="00EC4664">
      <w:pPr>
        <w:rPr>
          <w:lang w:val="es-ES_tradnl"/>
        </w:rPr>
      </w:pPr>
    </w:p>
    <w:sectPr w:rsidR="00EC4664" w:rsidRPr="00EC46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游明朝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游ゴシック Light">
    <w:charset w:val="80"/>
    <w:family w:val="auto"/>
    <w:pitch w:val="variable"/>
    <w:sig w:usb0="E00002FF" w:usb1="2AC7FDFF" w:usb2="00000016" w:usb3="00000000" w:csb0="0002009F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46D4DDB"/>
    <w:multiLevelType w:val="multilevel"/>
    <w:tmpl w:val="2BB62FF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A60"/>
    <w:rsid w:val="00091AF9"/>
    <w:rsid w:val="0013546A"/>
    <w:rsid w:val="00156542"/>
    <w:rsid w:val="003B6C26"/>
    <w:rsid w:val="00567F1D"/>
    <w:rsid w:val="005B4A0D"/>
    <w:rsid w:val="00667C88"/>
    <w:rsid w:val="00A442AC"/>
    <w:rsid w:val="00A74C44"/>
    <w:rsid w:val="00BA3B38"/>
    <w:rsid w:val="00E2120F"/>
    <w:rsid w:val="00E37A60"/>
    <w:rsid w:val="00EC4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Pr>
      <w:noProof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uesto">
    <w:name w:val="Title"/>
    <w:basedOn w:val="Normal"/>
    <w:next w:val="Normal"/>
    <w:link w:val="Puest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  <w:rPr>
      <w:noProof w:val="0"/>
    </w:rPr>
  </w:style>
  <w:style w:type="character" w:styleId="Refdecomentario">
    <w:name w:val="annotation reference"/>
    <w:basedOn w:val="Fuentedeprrafopredeter"/>
    <w:uiPriority w:val="99"/>
    <w:semiHidden/>
    <w:unhideWhenUsed/>
    <w:rsid w:val="00A44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442AC"/>
    <w:pPr>
      <w:spacing w:line="240" w:lineRule="auto"/>
    </w:pPr>
    <w:rPr>
      <w:noProof w:val="0"/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442A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customXml" Target="../customXml/item3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1" ma:contentTypeDescription="Crear nuevo documento." ma:contentTypeScope="" ma:versionID="04b510ef1bc187d79b842c792d256c41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9049981c3eb1ee76226ec9e2f8ecd7b4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0CE0DC1-42B7-46C6-90BB-2912C538F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59EA8B-1FA8-40D2-A8B0-61B9CE1E457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42EACB-7939-45C8-99C3-B6897CA7A7E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362</Words>
  <Characters>1991</Characters>
  <Application>Microsoft Macintosh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Liliana Arenas</cp:lastModifiedBy>
  <cp:revision>10</cp:revision>
  <dcterms:created xsi:type="dcterms:W3CDTF">2021-02-10T17:06:00Z</dcterms:created>
  <dcterms:modified xsi:type="dcterms:W3CDTF">2021-03-16T03:21:00Z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</Properties>
</file>