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0B707F7A" w:rsidR="00667C88" w:rsidRPr="00787C53" w:rsidRDefault="00CB7053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Sergio Avendaño 201923730</w:t>
      </w:r>
    </w:p>
    <w:p w14:paraId="673598DC" w14:textId="3A012E95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CB70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301D687D" w:rsidR="00076EA8" w:rsidRPr="00787C53" w:rsidRDefault="00CB7053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MX"/>
              </w:rPr>
              <w:t>1.8 GHz Intel Core i5 de dos núcleos</w:t>
            </w:r>
          </w:p>
        </w:tc>
        <w:tc>
          <w:tcPr>
            <w:tcW w:w="1681" w:type="pct"/>
          </w:tcPr>
          <w:p w14:paraId="6569E4DE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16281874" w:rsidR="00076EA8" w:rsidRPr="00787C53" w:rsidRDefault="00CB7053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MX"/>
              </w:rPr>
              <w:t>8 GB</w:t>
            </w:r>
          </w:p>
        </w:tc>
        <w:tc>
          <w:tcPr>
            <w:tcW w:w="1681" w:type="pct"/>
          </w:tcPr>
          <w:p w14:paraId="54410077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5B20CCF" w:rsidR="00076EA8" w:rsidRPr="00787C53" w:rsidRDefault="00CB7053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proofErr w:type="spellStart"/>
            <w:r>
              <w:rPr>
                <w:rFonts w:ascii="Dax-Regular" w:hAnsi="Dax-Regular"/>
                <w:noProof w:val="0"/>
                <w:lang w:val="es-CO"/>
              </w:rPr>
              <w:t>MacOS</w:t>
            </w:r>
            <w:proofErr w:type="spellEnd"/>
            <w:r>
              <w:rPr>
                <w:rFonts w:ascii="Dax-Regular" w:hAnsi="Dax-Regular"/>
                <w:noProof w:val="0"/>
                <w:lang w:val="es-CO"/>
              </w:rPr>
              <w:t xml:space="preserve"> </w:t>
            </w:r>
            <w:proofErr w:type="spellStart"/>
            <w:r>
              <w:rPr>
                <w:rFonts w:ascii="Dax-Regular" w:hAnsi="Dax-Regular"/>
                <w:noProof w:val="0"/>
                <w:lang w:val="es-CO"/>
              </w:rPr>
              <w:t>Bigsur</w:t>
            </w:r>
            <w:proofErr w:type="spellEnd"/>
            <w:r>
              <w:rPr>
                <w:rFonts w:ascii="Dax-Regular" w:hAnsi="Dax-Regular"/>
                <w:noProof w:val="0"/>
                <w:lang w:val="es-CO"/>
              </w:rPr>
              <w:t xml:space="preserve"> </w:t>
            </w:r>
          </w:p>
        </w:tc>
        <w:tc>
          <w:tcPr>
            <w:tcW w:w="1681" w:type="pct"/>
          </w:tcPr>
          <w:p w14:paraId="3ADBABA2" w14:textId="77777777" w:rsidR="00076EA8" w:rsidRPr="00787C53" w:rsidRDefault="00076EA8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bookmarkStart w:id="2" w:name="OLE_LINK1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1B871849" w:rsidR="0043769A" w:rsidRPr="0043769A" w:rsidRDefault="006E329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6E3295">
              <w:rPr>
                <w:rFonts w:ascii="Calibri" w:eastAsia="Times New Roman" w:hAnsi="Calibri" w:cs="Calibri"/>
                <w:noProof w:val="0"/>
                <w:color w:val="000000"/>
              </w:rPr>
              <w:t>293061.090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0645C796" w:rsidR="0043769A" w:rsidRPr="0043769A" w:rsidRDefault="006E329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6E3295">
              <w:rPr>
                <w:rFonts w:ascii="Calibri" w:eastAsia="Times New Roman" w:hAnsi="Calibri" w:cs="Calibri"/>
                <w:noProof w:val="0"/>
                <w:color w:val="000000"/>
              </w:rPr>
              <w:t>73003.465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5F8DB325" w:rsidR="0043769A" w:rsidRPr="0043769A" w:rsidRDefault="006E329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6E3295">
              <w:rPr>
                <w:rFonts w:ascii="Calibri" w:eastAsia="Times New Roman" w:hAnsi="Calibri" w:cs="Calibri"/>
                <w:noProof w:val="0"/>
                <w:color w:val="000000"/>
              </w:rPr>
              <w:t>290939.930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23DCBDF1" w:rsidR="0043769A" w:rsidRPr="0043769A" w:rsidRDefault="006E329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6E3295">
              <w:rPr>
                <w:rFonts w:ascii="Calibri" w:eastAsia="Times New Roman" w:hAnsi="Calibri" w:cs="Calibri"/>
                <w:noProof w:val="0"/>
                <w:color w:val="000000"/>
              </w:rPr>
              <w:t>95474.769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A2BB811" w:rsidR="0043769A" w:rsidRPr="0043769A" w:rsidRDefault="00341E3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41E37">
              <w:rPr>
                <w:rFonts w:ascii="Calibri" w:eastAsia="Times New Roman" w:hAnsi="Calibri" w:cs="Calibri"/>
                <w:noProof w:val="0"/>
                <w:color w:val="000000"/>
              </w:rPr>
              <w:t>289633.184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3B304C05" w:rsidR="0043769A" w:rsidRPr="0043769A" w:rsidRDefault="00341E3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41E37">
              <w:rPr>
                <w:rFonts w:ascii="Calibri" w:eastAsia="Times New Roman" w:hAnsi="Calibri" w:cs="Calibri"/>
                <w:noProof w:val="0"/>
                <w:color w:val="000000"/>
              </w:rPr>
              <w:t>120386.028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3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45FE9415" w:rsidR="0043769A" w:rsidRPr="0043769A" w:rsidRDefault="007D727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7D727F">
              <w:rPr>
                <w:rFonts w:ascii="Calibri" w:eastAsia="Times New Roman" w:hAnsi="Calibri" w:cs="Calibri"/>
                <w:noProof w:val="0"/>
                <w:color w:val="000000"/>
              </w:rPr>
              <w:t>327242.990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4F095B2" w:rsidR="0043769A" w:rsidRPr="0043769A" w:rsidRDefault="007D727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7D727F">
              <w:rPr>
                <w:rFonts w:ascii="Calibri" w:eastAsia="Times New Roman" w:hAnsi="Calibri" w:cs="Calibri"/>
                <w:noProof w:val="0"/>
                <w:color w:val="000000"/>
              </w:rPr>
              <w:t>80118.804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24CE1CE7" w:rsidR="0043769A" w:rsidRPr="0043769A" w:rsidRDefault="003074A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074A8">
              <w:rPr>
                <w:rFonts w:ascii="Calibri" w:eastAsia="Times New Roman" w:hAnsi="Calibri" w:cs="Calibri"/>
                <w:noProof w:val="0"/>
                <w:color w:val="000000"/>
              </w:rPr>
              <w:t>326668.463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2FD86694" w:rsidR="0043769A" w:rsidRPr="0043769A" w:rsidRDefault="003074A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074A8">
              <w:rPr>
                <w:rFonts w:ascii="Calibri" w:eastAsia="Times New Roman" w:hAnsi="Calibri" w:cs="Calibri"/>
                <w:noProof w:val="0"/>
                <w:color w:val="000000"/>
              </w:rPr>
              <w:t>90428.956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12872387" w:rsidR="0043769A" w:rsidRPr="0043769A" w:rsidRDefault="006E329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6E3295">
              <w:rPr>
                <w:rFonts w:ascii="Calibri" w:eastAsia="Times New Roman" w:hAnsi="Calibri" w:cs="Calibri"/>
                <w:noProof w:val="0"/>
                <w:color w:val="000000"/>
              </w:rPr>
              <w:t>326434.674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57977C78" w:rsidR="0043769A" w:rsidRPr="0043769A" w:rsidRDefault="006E329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6E3295">
              <w:rPr>
                <w:rFonts w:ascii="Calibri" w:eastAsia="Times New Roman" w:hAnsi="Calibri" w:cs="Calibri"/>
                <w:noProof w:val="0"/>
                <w:color w:val="000000"/>
              </w:rPr>
              <w:t>104217.703</w:t>
            </w:r>
          </w:p>
        </w:tc>
      </w:tr>
    </w:tbl>
    <w:bookmarkEnd w:id="2"/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3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1B76B357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33CAD59E" w14:textId="4F3D3E27" w:rsidR="005A38E0" w:rsidRPr="005A38E0" w:rsidRDefault="005A38E0" w:rsidP="005A38E0">
      <w:pPr>
        <w:spacing w:after="0"/>
        <w:jc w:val="both"/>
        <w:rPr>
          <w:rFonts w:ascii="Dax-Regular" w:hAnsi="Dax-Regular"/>
          <w:b/>
          <w:bCs/>
          <w:sz w:val="28"/>
          <w:szCs w:val="28"/>
          <w:lang w:val="es-CO"/>
        </w:rPr>
      </w:pPr>
      <w:r w:rsidRPr="005A38E0">
        <w:rPr>
          <w:rFonts w:ascii="Dax-Regular" w:hAnsi="Dax-Regular"/>
          <w:b/>
          <w:bCs/>
          <w:sz w:val="28"/>
          <w:szCs w:val="28"/>
          <w:lang w:val="es-CO"/>
        </w:rPr>
        <w:t>Probing:</w:t>
      </w:r>
    </w:p>
    <w:p w14:paraId="7B862B57" w14:textId="10747776" w:rsidR="005A38E0" w:rsidRDefault="005A38E0" w:rsidP="005A38E0">
      <w:pPr>
        <w:spacing w:after="0"/>
        <w:jc w:val="both"/>
        <w:rPr>
          <w:rFonts w:ascii="Dax-Regular" w:hAnsi="Dax-Regular"/>
          <w:b/>
          <w:bCs/>
          <w:lang w:val="es-CO"/>
        </w:rPr>
      </w:pPr>
      <w:r>
        <w:lastRenderedPageBreak/>
        <w:drawing>
          <wp:inline distT="0" distB="0" distL="0" distR="0" wp14:anchorId="2A475C1D" wp14:editId="086B1E42">
            <wp:extent cx="3338623" cy="2445488"/>
            <wp:effectExtent l="0" t="0" r="14605" b="1841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B35E4F8-4048-C743-9EFF-30B30EC128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F17A728" w14:textId="3E3860F5" w:rsidR="005A38E0" w:rsidRDefault="005A38E0" w:rsidP="005A38E0">
      <w:pPr>
        <w:spacing w:after="0"/>
        <w:jc w:val="both"/>
        <w:rPr>
          <w:rFonts w:ascii="Dax-Regular" w:hAnsi="Dax-Regular"/>
          <w:b/>
          <w:bCs/>
          <w:lang w:val="es-CO"/>
        </w:rPr>
      </w:pPr>
    </w:p>
    <w:p w14:paraId="13EC5C17" w14:textId="1C4A2821" w:rsidR="005A38E0" w:rsidRPr="005A38E0" w:rsidRDefault="008A1C48" w:rsidP="005A38E0">
      <w:pPr>
        <w:spacing w:after="0"/>
        <w:jc w:val="both"/>
        <w:rPr>
          <w:rFonts w:ascii="Dax-Regular" w:hAnsi="Dax-Regular"/>
          <w:b/>
          <w:bCs/>
          <w:lang w:val="es-CO"/>
        </w:rPr>
      </w:pPr>
      <w:r>
        <w:drawing>
          <wp:inline distT="0" distB="0" distL="0" distR="0" wp14:anchorId="63F23195" wp14:editId="55D61C8A">
            <wp:extent cx="3625702" cy="2466753"/>
            <wp:effectExtent l="0" t="0" r="6985" b="1016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494A8E57-DA18-764B-8EB5-DBE499EF0B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C9F6437" w14:textId="4DC172E9" w:rsidR="008A1C48" w:rsidRDefault="008A1C48" w:rsidP="008A1C48">
      <w:pPr>
        <w:spacing w:after="0"/>
        <w:jc w:val="both"/>
        <w:rPr>
          <w:rFonts w:ascii="Dax-Regular" w:hAnsi="Dax-Regular"/>
          <w:lang w:val="es-CO"/>
        </w:rPr>
      </w:pPr>
    </w:p>
    <w:p w14:paraId="11622858" w14:textId="7DB27E53" w:rsidR="008A1C48" w:rsidRDefault="008A1C48" w:rsidP="008A1C48">
      <w:pPr>
        <w:spacing w:after="0"/>
        <w:jc w:val="both"/>
        <w:rPr>
          <w:rFonts w:ascii="Dax-Regular" w:hAnsi="Dax-Regular"/>
          <w:lang w:val="es-CO"/>
        </w:rPr>
      </w:pPr>
    </w:p>
    <w:p w14:paraId="43A5257F" w14:textId="149D55CF" w:rsidR="008A1C48" w:rsidRDefault="008A1C48" w:rsidP="008A1C48">
      <w:pPr>
        <w:spacing w:after="0"/>
        <w:jc w:val="both"/>
        <w:rPr>
          <w:rFonts w:ascii="Dax-Regular" w:hAnsi="Dax-Regular"/>
          <w:b/>
          <w:bCs/>
          <w:sz w:val="28"/>
          <w:szCs w:val="28"/>
          <w:lang w:val="es-CO"/>
        </w:rPr>
      </w:pPr>
      <w:r w:rsidRPr="008A1C48">
        <w:rPr>
          <w:rFonts w:ascii="Dax-Regular" w:hAnsi="Dax-Regular"/>
          <w:b/>
          <w:bCs/>
          <w:sz w:val="28"/>
          <w:szCs w:val="28"/>
          <w:lang w:val="es-CO"/>
        </w:rPr>
        <w:t>Chaining:</w:t>
      </w:r>
    </w:p>
    <w:p w14:paraId="72F198FF" w14:textId="60B2D885" w:rsidR="008A1C48" w:rsidRDefault="008A1C48" w:rsidP="008A1C48">
      <w:pPr>
        <w:spacing w:after="0"/>
        <w:jc w:val="both"/>
        <w:rPr>
          <w:rFonts w:ascii="Dax-Regular" w:hAnsi="Dax-Regular"/>
          <w:b/>
          <w:bCs/>
          <w:sz w:val="28"/>
          <w:szCs w:val="28"/>
          <w:lang w:val="es-CO"/>
        </w:rPr>
      </w:pPr>
      <w:r>
        <w:drawing>
          <wp:inline distT="0" distB="0" distL="0" distR="0" wp14:anchorId="2EF47B30" wp14:editId="04342D19">
            <wp:extent cx="3466214" cy="2392326"/>
            <wp:effectExtent l="0" t="0" r="13970" b="825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32003CE-7DDC-2242-85A6-E20CBE7CCE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829483F" w14:textId="50643345" w:rsidR="008A1C48" w:rsidRPr="008A1C48" w:rsidRDefault="008A1C48" w:rsidP="008A1C48">
      <w:pPr>
        <w:spacing w:after="0"/>
        <w:jc w:val="both"/>
        <w:rPr>
          <w:rFonts w:ascii="Dax-Regular" w:hAnsi="Dax-Regular"/>
          <w:b/>
          <w:bCs/>
          <w:sz w:val="28"/>
          <w:szCs w:val="28"/>
          <w:lang w:val="es-CO"/>
        </w:rPr>
      </w:pPr>
      <w:r>
        <w:lastRenderedPageBreak/>
        <w:drawing>
          <wp:inline distT="0" distB="0" distL="0" distR="0" wp14:anchorId="2F0FCC36" wp14:editId="0C1A0DE9">
            <wp:extent cx="4572000" cy="2743200"/>
            <wp:effectExtent l="0" t="0" r="12700" b="1270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80B6A4AB-8D3C-6146-B7CD-F85E0C3607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2531EF3" w14:textId="77777777" w:rsidR="00D353D2" w:rsidRPr="00787C53" w:rsidRDefault="00D353D2" w:rsidP="00D353D2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4BAA5679" w:rsidR="008B7948" w:rsidRPr="00870F8C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60C438F9" w14:textId="1E4DE016" w:rsidR="00870F8C" w:rsidRPr="00870F8C" w:rsidRDefault="00870F8C" w:rsidP="00870F8C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Para saber el tiempo exacto que dura la acción y no el tiempo en que el computador y el sistema lo hacen.</w:t>
      </w:r>
    </w:p>
    <w:p w14:paraId="1E46E347" w14:textId="77777777" w:rsidR="008B7948" w:rsidRPr="00870F8C" w:rsidRDefault="008B7948" w:rsidP="00870F8C">
      <w:pPr>
        <w:spacing w:after="0"/>
        <w:jc w:val="both"/>
        <w:rPr>
          <w:lang w:val="es-419"/>
        </w:rPr>
      </w:pPr>
    </w:p>
    <w:p w14:paraId="1E31E3DC" w14:textId="2AE27823" w:rsidR="008B7948" w:rsidRPr="00870F8C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lastRenderedPageBreak/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4D27B3B3" w14:textId="01C05C87" w:rsidR="00870F8C" w:rsidRPr="00870F8C" w:rsidRDefault="00870F8C" w:rsidP="00870F8C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Porque gracias a estas funciones es que </w:t>
      </w:r>
      <w:r w:rsidRPr="008B7948">
        <w:rPr>
          <w:b/>
          <w:bCs/>
          <w:lang w:val="es-419"/>
        </w:rPr>
        <w:t>time.perf_counter()</w:t>
      </w:r>
      <w:r>
        <w:rPr>
          <w:b/>
          <w:bCs/>
          <w:lang w:val="es-419"/>
        </w:rPr>
        <w:t xml:space="preserve"> </w:t>
      </w:r>
      <w:r>
        <w:rPr>
          <w:lang w:val="es-419"/>
        </w:rPr>
        <w:t>sabe cuando empezar a contar y cuando parar. Son como indicadores en los cuales se indica cuando empezar a tomar el tiempo y cuando parar.</w:t>
      </w:r>
    </w:p>
    <w:p w14:paraId="5FA37E51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30592AB6" w14:textId="5A4148BA" w:rsidR="008B7948" w:rsidRPr="00341E37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158FFEA2" w14:textId="586A66DB" w:rsidR="00341E37" w:rsidRPr="008B7948" w:rsidRDefault="00341E37" w:rsidP="00341E37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En ambos casos al incrementar el factor de carga, el tiempo de ejecución va empeorando, es decir, aumenta el tiempo, por lo que los datos se cargan mas lento a medida que aumenta el factor de carga.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04F8B368" w:rsidR="008B7948" w:rsidRPr="00341E37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54075A12" w14:textId="4F5C116E" w:rsidR="00341E37" w:rsidRPr="008B7948" w:rsidRDefault="00341E37" w:rsidP="00341E37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Con el consumo de memoria sucede lo contrario, a medida que el factor de carga aumenta, el consumo de memoria es menor. Una relacion inversa entre consumo de memoria y </w:t>
      </w:r>
      <w:r w:rsidR="00D353D2">
        <w:rPr>
          <w:rFonts w:ascii="Dax-Regular" w:hAnsi="Dax-Regular"/>
          <w:lang w:val="es-419"/>
        </w:rPr>
        <w:t>factor de carga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279B3C22" w:rsidR="008B7948" w:rsidRPr="00341E37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095EA52B" w14:textId="06C20738" w:rsidR="00341E37" w:rsidRPr="00341E37" w:rsidRDefault="00341E37" w:rsidP="00341E37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>El cambio entre chaining y probing no es significativo probablemente se debe a que el numero de elemntos para la tabla inicial entre probing y chaining no cambia. En ambos casos al ser mas grande se consumo mas memoria pero la velocidad es relativamente buena.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074A8"/>
    <w:rsid w:val="00341E37"/>
    <w:rsid w:val="003469C3"/>
    <w:rsid w:val="003B5453"/>
    <w:rsid w:val="003B6C26"/>
    <w:rsid w:val="003C0715"/>
    <w:rsid w:val="0043769A"/>
    <w:rsid w:val="004F2388"/>
    <w:rsid w:val="00567F1D"/>
    <w:rsid w:val="005A38E0"/>
    <w:rsid w:val="00631E66"/>
    <w:rsid w:val="00642A5E"/>
    <w:rsid w:val="00667C88"/>
    <w:rsid w:val="006B4BA3"/>
    <w:rsid w:val="006E3295"/>
    <w:rsid w:val="006F2592"/>
    <w:rsid w:val="00783B87"/>
    <w:rsid w:val="00787C53"/>
    <w:rsid w:val="007D727F"/>
    <w:rsid w:val="00806FA9"/>
    <w:rsid w:val="008516F2"/>
    <w:rsid w:val="00870F8C"/>
    <w:rsid w:val="008A1C48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B7053"/>
    <w:rsid w:val="00D353D2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ergioavendano/Desktop/Universidad/Estructuras/-LabCollision-S07-G08/Docs/ISIS1225%20-%20Tablas%20de%20Datos%20Lab%2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ergioavendano/Desktop/Universidad/Estructuras/-LabCollision-S07-G08/Docs/ISIS1225%20-%20Tablas%20de%20Datos%20Lab%20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ergioavendano/Desktop/Universidad/Estructuras/-LabCollision-S07-G08/Docs/ISIS1225%20-%20Tablas%20de%20Datos%20Lab%20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ergioavendano/Desktop/Universidad/Estructuras/-LabCollision-S07-G08/Docs/ISIS1225%20-%20Tablas%20de%20Datos%20Lab%207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rgbClr val="FF0000"/>
                </a:solidFill>
                <a:latin typeface="+mn-lt"/>
                <a:ea typeface="+mn-ea"/>
                <a:cs typeface="+mn-cs"/>
              </a:defRPr>
            </a:pPr>
            <a:r>
              <a:rPr lang="es-MX" b="1">
                <a:solidFill>
                  <a:srgbClr val="FF0000"/>
                </a:solidFill>
              </a:rPr>
              <a:t>Probing</a:t>
            </a:r>
            <a:r>
              <a:rPr lang="es-MX" b="1" baseline="0">
                <a:solidFill>
                  <a:srgbClr val="FF0000"/>
                </a:solidFill>
              </a:rPr>
              <a:t> (factor de carga vs. Consumo de datos)</a:t>
            </a:r>
            <a:endParaRPr lang="es-MX" b="1">
              <a:solidFill>
                <a:srgbClr val="FF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rgbClr val="FF0000"/>
              </a:solidFill>
              <a:latin typeface="+mn-lt"/>
              <a:ea typeface="+mn-ea"/>
              <a:cs typeface="+mn-cs"/>
            </a:defRPr>
          </a:pPr>
          <a:endParaRPr lang="es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2306-FF42-B400-D87DE750E591}"/>
              </c:ext>
            </c:extLst>
          </c:dPt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'Datos Lab7'!$F$4:$F$6</c:f>
              <c:numCache>
                <c:formatCode>General</c:formatCode>
                <c:ptCount val="3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</c:numCache>
            </c:numRef>
          </c:xVal>
          <c:yVal>
            <c:numRef>
              <c:f>'Datos Lab7'!$G$4:$G$6</c:f>
              <c:numCache>
                <c:formatCode>General</c:formatCode>
                <c:ptCount val="3"/>
                <c:pt idx="0">
                  <c:v>293061.09000000003</c:v>
                </c:pt>
                <c:pt idx="1">
                  <c:v>290939.93</c:v>
                </c:pt>
                <c:pt idx="2">
                  <c:v>289633.18400000001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306-FF42-B400-D87DE750E5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699216"/>
        <c:axId val="142642832"/>
      </c:scatterChart>
      <c:valAx>
        <c:axId val="142699216"/>
        <c:scaling>
          <c:orientation val="minMax"/>
          <c:min val="0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 b="1">
                    <a:solidFill>
                      <a:schemeClr val="tx1"/>
                    </a:solidFill>
                  </a:rPr>
                  <a:t>Factor</a:t>
                </a:r>
                <a:r>
                  <a:rPr lang="es-MX" b="1" baseline="0">
                    <a:solidFill>
                      <a:schemeClr val="tx1"/>
                    </a:solidFill>
                  </a:rPr>
                  <a:t> de carga</a:t>
                </a:r>
                <a:endParaRPr lang="es-MX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42642832"/>
        <c:crosses val="autoZero"/>
        <c:crossBetween val="midCat"/>
      </c:valAx>
      <c:valAx>
        <c:axId val="14264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 sz="1000" b="1" i="0" u="none" strike="noStrike" baseline="0">
                    <a:solidFill>
                      <a:schemeClr val="tx1"/>
                    </a:solidFill>
                    <a:effectLst/>
                  </a:rPr>
                  <a:t>Consumo de datos</a:t>
                </a:r>
                <a:r>
                  <a:rPr lang="es-MX" sz="1000" b="1" i="0" u="none" strike="noStrike" baseline="0">
                    <a:solidFill>
                      <a:schemeClr val="tx1"/>
                    </a:solidFill>
                  </a:rPr>
                  <a:t> (KB)</a:t>
                </a:r>
                <a:endParaRPr lang="es-MX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42699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rgbClr val="FF0000"/>
                </a:solidFill>
                <a:latin typeface="+mn-lt"/>
                <a:ea typeface="+mn-ea"/>
                <a:cs typeface="+mn-cs"/>
              </a:defRPr>
            </a:pPr>
            <a:r>
              <a:rPr lang="es-MX" b="1">
                <a:solidFill>
                  <a:srgbClr val="FF0000"/>
                </a:solidFill>
              </a:rPr>
              <a:t>Probing (factor</a:t>
            </a:r>
            <a:r>
              <a:rPr lang="es-MX" b="1" baseline="0">
                <a:solidFill>
                  <a:srgbClr val="FF0000"/>
                </a:solidFill>
              </a:rPr>
              <a:t> de carga vs. tiempo )</a:t>
            </a:r>
            <a:endParaRPr lang="es-MX" b="1">
              <a:solidFill>
                <a:srgbClr val="FF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rgbClr val="FF0000"/>
              </a:solidFill>
              <a:latin typeface="+mn-lt"/>
              <a:ea typeface="+mn-ea"/>
              <a:cs typeface="+mn-cs"/>
            </a:defRPr>
          </a:pPr>
          <a:endParaRPr lang="es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'Datos Lab7'!$F$4:$F$6</c:f>
              <c:numCache>
                <c:formatCode>General</c:formatCode>
                <c:ptCount val="3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</c:numCache>
            </c:numRef>
          </c:xVal>
          <c:yVal>
            <c:numRef>
              <c:f>'Datos Lab7'!$H$4:$H$6</c:f>
              <c:numCache>
                <c:formatCode>General</c:formatCode>
                <c:ptCount val="3"/>
                <c:pt idx="0">
                  <c:v>73003.464999999997</c:v>
                </c:pt>
                <c:pt idx="1">
                  <c:v>95474.769</c:v>
                </c:pt>
                <c:pt idx="2">
                  <c:v>120386.02800000001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C88-1143-9C4C-49C9D6E326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362288"/>
        <c:axId val="150520848"/>
      </c:scatterChart>
      <c:valAx>
        <c:axId val="150362288"/>
        <c:scaling>
          <c:orientation val="minMax"/>
          <c:min val="0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 b="1">
                    <a:solidFill>
                      <a:schemeClr val="tx1"/>
                    </a:solidFill>
                  </a:rPr>
                  <a:t>Factor</a:t>
                </a:r>
                <a:r>
                  <a:rPr lang="es-MX" b="1" baseline="0">
                    <a:solidFill>
                      <a:schemeClr val="tx1"/>
                    </a:solidFill>
                  </a:rPr>
                  <a:t> de carga</a:t>
                </a:r>
                <a:endParaRPr lang="es-MX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50520848"/>
        <c:crosses val="autoZero"/>
        <c:crossBetween val="midCat"/>
      </c:valAx>
      <c:valAx>
        <c:axId val="150520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US" sz="1200" b="1">
                    <a:solidFill>
                      <a:schemeClr val="tx1"/>
                    </a:solidFill>
                    <a:effectLst/>
                  </a:rPr>
                  <a:t>Tiempo</a:t>
                </a:r>
                <a:r>
                  <a:rPr lang="es-US" sz="1200" b="1" baseline="0">
                    <a:solidFill>
                      <a:schemeClr val="tx1"/>
                    </a:solidFill>
                    <a:effectLst/>
                  </a:rPr>
                  <a:t> (ms)</a:t>
                </a:r>
                <a:endParaRPr lang="es-US" sz="1200" b="1">
                  <a:solidFill>
                    <a:schemeClr val="tx1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50362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rgbClr val="FF0000"/>
                </a:solidFill>
                <a:latin typeface="+mn-lt"/>
                <a:ea typeface="+mn-ea"/>
                <a:cs typeface="+mn-cs"/>
              </a:defRPr>
            </a:pPr>
            <a:r>
              <a:rPr lang="es-MX" sz="1400" b="1" i="0" u="none" strike="noStrike" baseline="0">
                <a:solidFill>
                  <a:srgbClr val="FF0000"/>
                </a:solidFill>
                <a:effectLst/>
              </a:rPr>
              <a:t>Chaining (factor de carga vs. Consumo de datos)</a:t>
            </a:r>
            <a:r>
              <a:rPr lang="es-MX" sz="1400" b="1" i="0" u="none" strike="noStrike" baseline="0">
                <a:solidFill>
                  <a:srgbClr val="FF0000"/>
                </a:solidFill>
              </a:rPr>
              <a:t> </a:t>
            </a:r>
            <a:endParaRPr lang="es-MX" b="1">
              <a:solidFill>
                <a:srgbClr val="FF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rgbClr val="FF0000"/>
              </a:solidFill>
              <a:latin typeface="+mn-lt"/>
              <a:ea typeface="+mn-ea"/>
              <a:cs typeface="+mn-cs"/>
            </a:defRPr>
          </a:pPr>
          <a:endParaRPr lang="es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'Datos Lab7'!$F$10:$F$12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6</c:v>
                </c:pt>
              </c:numCache>
            </c:numRef>
          </c:xVal>
          <c:yVal>
            <c:numRef>
              <c:f>'Datos Lab7'!$G$10:$G$12</c:f>
              <c:numCache>
                <c:formatCode>General</c:formatCode>
                <c:ptCount val="3"/>
                <c:pt idx="0">
                  <c:v>327242.99</c:v>
                </c:pt>
                <c:pt idx="1">
                  <c:v>326668.46299999999</c:v>
                </c:pt>
                <c:pt idx="2">
                  <c:v>326434.674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4D-E24B-B72E-C81018F37F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645136"/>
        <c:axId val="121099024"/>
      </c:scatterChart>
      <c:valAx>
        <c:axId val="144645136"/>
        <c:scaling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 b="1">
                    <a:solidFill>
                      <a:schemeClr val="tx1"/>
                    </a:solidFill>
                  </a:rPr>
                  <a:t>Factor</a:t>
                </a:r>
                <a:r>
                  <a:rPr lang="es-MX" b="1" baseline="0">
                    <a:solidFill>
                      <a:schemeClr val="tx1"/>
                    </a:solidFill>
                  </a:rPr>
                  <a:t> de carga</a:t>
                </a:r>
                <a:endParaRPr lang="es-MX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21099024"/>
        <c:crosses val="autoZero"/>
        <c:crossBetween val="midCat"/>
      </c:valAx>
      <c:valAx>
        <c:axId val="12109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 sz="1200" b="1" i="0" baseline="0">
                    <a:solidFill>
                      <a:schemeClr val="tx1"/>
                    </a:solidFill>
                    <a:effectLst/>
                  </a:rPr>
                  <a:t>Consumo de datos (KB)</a:t>
                </a:r>
                <a:endParaRPr lang="es-US" sz="1200" b="1">
                  <a:solidFill>
                    <a:schemeClr val="tx1"/>
                  </a:solidFill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b="1">
                    <a:solidFill>
                      <a:schemeClr val="tx1"/>
                    </a:solidFill>
                  </a:defRPr>
                </a:pPr>
                <a:endParaRPr lang="es-MX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44645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rgbClr val="FF0000"/>
                </a:solidFill>
                <a:latin typeface="+mn-lt"/>
                <a:ea typeface="+mn-ea"/>
                <a:cs typeface="+mn-cs"/>
              </a:defRPr>
            </a:pPr>
            <a:r>
              <a:rPr lang="es-MX" sz="1400" b="1" i="0" u="none" strike="noStrike" baseline="0">
                <a:solidFill>
                  <a:srgbClr val="FF0000"/>
                </a:solidFill>
                <a:effectLst/>
              </a:rPr>
              <a:t>Chainig (factor de carga vs. tiempo )</a:t>
            </a:r>
            <a:r>
              <a:rPr lang="es-MX" sz="1400" b="1" i="0" u="none" strike="noStrike" baseline="0">
                <a:solidFill>
                  <a:srgbClr val="FF0000"/>
                </a:solidFill>
              </a:rPr>
              <a:t> </a:t>
            </a:r>
            <a:endParaRPr lang="es-MX" b="1">
              <a:solidFill>
                <a:srgbClr val="FF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rgbClr val="FF0000"/>
              </a:solidFill>
              <a:latin typeface="+mn-lt"/>
              <a:ea typeface="+mn-ea"/>
              <a:cs typeface="+mn-cs"/>
            </a:defRPr>
          </a:pPr>
          <a:endParaRPr lang="es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'Datos Lab7'!$F$10:$F$12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6</c:v>
                </c:pt>
              </c:numCache>
            </c:numRef>
          </c:xVal>
          <c:yVal>
            <c:numRef>
              <c:f>'Datos Lab7'!$H$10:$H$12</c:f>
              <c:numCache>
                <c:formatCode>General</c:formatCode>
                <c:ptCount val="3"/>
                <c:pt idx="0">
                  <c:v>80118.804000000004</c:v>
                </c:pt>
                <c:pt idx="1">
                  <c:v>90428.956000000006</c:v>
                </c:pt>
                <c:pt idx="2">
                  <c:v>104217.70299999999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19F-0F4E-97B9-FE434DF58E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679616"/>
        <c:axId val="176342784"/>
      </c:scatterChart>
      <c:valAx>
        <c:axId val="177679616"/>
        <c:scaling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 b="1">
                    <a:solidFill>
                      <a:schemeClr val="tx1"/>
                    </a:solidFill>
                  </a:rPr>
                  <a:t>Factor</a:t>
                </a:r>
                <a:r>
                  <a:rPr lang="es-MX" b="1" baseline="0">
                    <a:solidFill>
                      <a:schemeClr val="tx1"/>
                    </a:solidFill>
                  </a:rPr>
                  <a:t> de carga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76342784"/>
        <c:crosses val="autoZero"/>
        <c:crossBetween val="midCat"/>
      </c:valAx>
      <c:valAx>
        <c:axId val="17634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US" sz="1200" b="1" i="0" baseline="0">
                    <a:solidFill>
                      <a:schemeClr val="tx1"/>
                    </a:solidFill>
                    <a:effectLst/>
                  </a:rPr>
                  <a:t>Tiempo (ms)</a:t>
                </a:r>
                <a:endParaRPr lang="es-US" sz="1200" b="1">
                  <a:solidFill>
                    <a:schemeClr val="tx1"/>
                  </a:solidFill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b="1">
                    <a:solidFill>
                      <a:schemeClr val="tx1"/>
                    </a:solidFill>
                  </a:defRPr>
                </a:pPr>
                <a:endParaRPr lang="es-MX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77679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577</Words>
  <Characters>3174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Sergio Andres Avendaño Serrano</cp:lastModifiedBy>
  <cp:revision>35</cp:revision>
  <dcterms:created xsi:type="dcterms:W3CDTF">2021-02-10T17:06:00Z</dcterms:created>
  <dcterms:modified xsi:type="dcterms:W3CDTF">2021-04-08T05:25:00Z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