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085F9A2" w:rsidR="00667C88" w:rsidRPr="00787C53" w:rsidRDefault="000E3B8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Valentina Uribe </w:t>
      </w:r>
      <w:r w:rsidR="001636AE">
        <w:rPr>
          <w:noProof w:val="0"/>
          <w:lang w:val="es-CO"/>
        </w:rPr>
        <w:t>201817485</w:t>
      </w:r>
    </w:p>
    <w:p w14:paraId="673598DC" w14:textId="10DD5415" w:rsidR="00667C88" w:rsidRPr="00787C53" w:rsidRDefault="001636AE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Gregorio Salazar 202022085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5683443" w14:textId="77777777" w:rsidR="00804169" w:rsidRPr="00751570" w:rsidRDefault="00804169" w:rsidP="00751570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751570">
        <w:rPr>
          <w:rFonts w:ascii="Consolas" w:eastAsia="Times New Roman" w:hAnsi="Consolas" w:cs="Times New Roman"/>
          <w:color w:val="4EC9B0"/>
          <w:sz w:val="21"/>
          <w:szCs w:val="21"/>
          <w:lang w:val="es-CO" w:eastAsia="en-US"/>
        </w:rPr>
        <w:t>sys</w:t>
      </w:r>
      <w:r w:rsidRPr="0075157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.</w:t>
      </w:r>
      <w:r w:rsidRPr="00751570">
        <w:rPr>
          <w:rFonts w:ascii="Consolas" w:eastAsia="Times New Roman" w:hAnsi="Consolas" w:cs="Times New Roman"/>
          <w:color w:val="DCDCAA"/>
          <w:sz w:val="21"/>
          <w:szCs w:val="21"/>
          <w:lang w:val="es-CO" w:eastAsia="en-US"/>
        </w:rPr>
        <w:t>setrecursionlimit</w:t>
      </w:r>
      <w:r w:rsidRPr="0075157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(</w:t>
      </w:r>
      <w:r w:rsidRPr="00751570">
        <w:rPr>
          <w:rFonts w:ascii="Consolas" w:eastAsia="Times New Roman" w:hAnsi="Consolas" w:cs="Times New Roman"/>
          <w:color w:val="B5CEA8"/>
          <w:sz w:val="21"/>
          <w:szCs w:val="21"/>
          <w:lang w:val="es-CO" w:eastAsia="en-US"/>
        </w:rPr>
        <w:t>2</w:t>
      </w:r>
      <w:r w:rsidRPr="0075157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** </w:t>
      </w:r>
      <w:r w:rsidRPr="00751570">
        <w:rPr>
          <w:rFonts w:ascii="Consolas" w:eastAsia="Times New Roman" w:hAnsi="Consolas" w:cs="Times New Roman"/>
          <w:color w:val="B5CEA8"/>
          <w:sz w:val="21"/>
          <w:szCs w:val="21"/>
          <w:lang w:val="es-CO" w:eastAsia="en-US"/>
        </w:rPr>
        <w:t>20</w:t>
      </w:r>
      <w:r w:rsidRPr="0075157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)</w:t>
      </w:r>
    </w:p>
    <w:p w14:paraId="007210E4" w14:textId="15EF5A2F" w:rsidR="0042114A" w:rsidRPr="00751570" w:rsidRDefault="00804169" w:rsidP="0042114A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en</w:t>
      </w:r>
      <w:r w:rsidR="00751570">
        <w:rPr>
          <w:rFonts w:ascii="Dax-Regular" w:hAnsi="Dax-Regular"/>
          <w:lang w:val="es-419"/>
        </w:rPr>
        <w:t xml:space="preserve"> la vista del laboratorio </w:t>
      </w:r>
      <w:proofErr w:type="spellStart"/>
      <w:r w:rsidR="00751570">
        <w:rPr>
          <w:rFonts w:ascii="Dax-Regular" w:hAnsi="Dax-Regular"/>
          <w:lang w:val="es-419"/>
        </w:rPr>
        <w:t>est</w:t>
      </w:r>
      <w:proofErr w:type="spellEnd"/>
      <w:r w:rsidR="00751570" w:rsidRPr="00751570">
        <w:rPr>
          <w:rFonts w:ascii="Dax-Regular" w:hAnsi="Dax-Regular"/>
          <w:lang w:val="es-CO"/>
        </w:rPr>
        <w:t>á</w:t>
      </w:r>
      <w:r w:rsidR="00751570">
        <w:rPr>
          <w:rFonts w:ascii="Dax-Regular" w:hAnsi="Dax-Regular"/>
          <w:lang w:val="es-CO"/>
        </w:rPr>
        <w:t xml:space="preserve"> esta línea de código. Esto le da la instrucción a Python de </w:t>
      </w:r>
      <w:r w:rsidR="009E083E">
        <w:rPr>
          <w:rFonts w:ascii="Dax-Regular" w:hAnsi="Dax-Regular"/>
          <w:lang w:val="es-CO"/>
        </w:rPr>
        <w:t>poner el límite de recursión a 2^20=10485</w:t>
      </w:r>
      <w:r w:rsidR="00CF4D80">
        <w:rPr>
          <w:rFonts w:ascii="Dax-Regular" w:hAnsi="Dax-Regular"/>
          <w:lang w:val="es-CO"/>
        </w:rPr>
        <w:t>76</w:t>
      </w:r>
      <w:r w:rsidR="001636AE">
        <w:rPr>
          <w:rFonts w:ascii="Dax-Regular" w:hAnsi="Dax-Regular"/>
          <w:lang w:val="es-CO"/>
        </w:rPr>
        <w:t>.</w:t>
      </w:r>
    </w:p>
    <w:p w14:paraId="58530C96" w14:textId="32FEA2D7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1AD23269" w:rsidR="0042114A" w:rsidRPr="0042114A" w:rsidRDefault="00CF4D80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algoritmos utilizados como </w:t>
      </w:r>
      <w:proofErr w:type="spellStart"/>
      <w:r>
        <w:rPr>
          <w:rFonts w:ascii="Dax-Regular" w:hAnsi="Dax-Regular"/>
          <w:lang w:val="es-419"/>
        </w:rPr>
        <w:t>dijk</w:t>
      </w:r>
      <w:r w:rsidR="006C4730">
        <w:rPr>
          <w:rFonts w:ascii="Dax-Regular" w:hAnsi="Dax-Regular"/>
          <w:lang w:val="es-419"/>
        </w:rPr>
        <w:t>s</w:t>
      </w:r>
      <w:r>
        <w:rPr>
          <w:rFonts w:ascii="Dax-Regular" w:hAnsi="Dax-Regular"/>
          <w:lang w:val="es-419"/>
        </w:rPr>
        <w:t>tra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kosaraju</w:t>
      </w:r>
      <w:proofErr w:type="spellEnd"/>
      <w:r w:rsidR="0068005B">
        <w:rPr>
          <w:rFonts w:ascii="Dax-Regular" w:hAnsi="Dax-Regular"/>
          <w:lang w:val="es-419"/>
        </w:rPr>
        <w:t xml:space="preserve"> utilizan</w:t>
      </w:r>
      <w:r w:rsidR="000447EC">
        <w:rPr>
          <w:rFonts w:ascii="Dax-Regular" w:hAnsi="Dax-Regular"/>
          <w:lang w:val="es-419"/>
        </w:rPr>
        <w:t xml:space="preserve"> como base algoritmos recursivos</w:t>
      </w:r>
      <w:r w:rsidR="00D24CFC">
        <w:rPr>
          <w:rFonts w:ascii="Dax-Regular" w:hAnsi="Dax-Regular"/>
          <w:lang w:val="es-419"/>
        </w:rPr>
        <w:t xml:space="preserve"> como el DFS</w:t>
      </w:r>
      <w:r w:rsidR="00CA6961">
        <w:rPr>
          <w:rFonts w:ascii="Dax-Regular" w:hAnsi="Dax-Regular"/>
          <w:lang w:val="es-419"/>
        </w:rPr>
        <w:t>.</w:t>
      </w:r>
      <w:r w:rsidR="00370D94">
        <w:rPr>
          <w:rFonts w:ascii="Dax-Regular" w:hAnsi="Dax-Regular"/>
          <w:lang w:val="es-419"/>
        </w:rPr>
        <w:t xml:space="preserve"> Entonces </w:t>
      </w:r>
      <w:r w:rsidR="00F04902">
        <w:rPr>
          <w:rFonts w:ascii="Dax-Regular" w:hAnsi="Dax-Regular"/>
          <w:lang w:val="es-419"/>
        </w:rPr>
        <w:t>se harán muchos llamados</w:t>
      </w:r>
      <w:r w:rsidR="006C3A88">
        <w:rPr>
          <w:rFonts w:ascii="Dax-Regular" w:hAnsi="Dax-Regular"/>
          <w:lang w:val="es-419"/>
        </w:rPr>
        <w:t xml:space="preserve"> recursivos y si el límite es muy bajo marcará err</w:t>
      </w:r>
      <w:r w:rsidR="00E15CA2">
        <w:rPr>
          <w:rFonts w:ascii="Dax-Regular" w:hAnsi="Dax-Regular"/>
          <w:lang w:val="es-419"/>
        </w:rPr>
        <w:t>or. (</w:t>
      </w:r>
      <w:proofErr w:type="spellStart"/>
      <w:r w:rsidR="00E15CA2">
        <w:rPr>
          <w:rFonts w:ascii="Dax-Regular" w:hAnsi="Dax-Regular"/>
          <w:lang w:val="es-419"/>
        </w:rPr>
        <w:t>recursion</w:t>
      </w:r>
      <w:proofErr w:type="spellEnd"/>
      <w:r w:rsidR="00E15CA2">
        <w:rPr>
          <w:rFonts w:ascii="Dax-Regular" w:hAnsi="Dax-Regular"/>
          <w:lang w:val="es-419"/>
        </w:rPr>
        <w:t xml:space="preserve"> Depth exceded)</w:t>
      </w:r>
    </w:p>
    <w:p w14:paraId="0516C3BE" w14:textId="500535A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78FFDE65" w:rsidR="0042114A" w:rsidRPr="0042114A" w:rsidRDefault="00E15CA2" w:rsidP="0042114A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1000.</w:t>
      </w:r>
    </w:p>
    <w:p w14:paraId="555FFD0E" w14:textId="0108F4B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  <w:r w:rsidR="006C5BD0">
        <w:rPr>
          <w:rFonts w:ascii="Dax-Regular" w:hAnsi="Dax-Regular"/>
          <w:lang w:val="es-419"/>
        </w:rPr>
        <w:t xml:space="preserve"> </w:t>
      </w:r>
    </w:p>
    <w:p w14:paraId="357FC555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C5BD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C5BD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minimumCostPaths</w:t>
      </w:r>
      <w:proofErr w:type="spellEnd"/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C5BD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C5BD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initialStation</w:t>
      </w:r>
      <w:proofErr w:type="spellEnd"/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01C21045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0CF6D7FF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    Calcula los caminos de costo mínimo desde la estacion initialStation</w:t>
      </w:r>
    </w:p>
    <w:p w14:paraId="74C91C91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    a todos los demas vertices del grafo</w:t>
      </w:r>
    </w:p>
    <w:p w14:paraId="6259C9B8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    </w:t>
      </w: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299C8DDC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C5BD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'paths'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C5BD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djk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C5BD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Dijkstra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C5BD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C5BD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'connections'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 </w:t>
      </w:r>
      <w:r w:rsidRPr="006C5BD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initialStation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5FAE79E" w14:textId="77777777" w:rsidR="006C5BD0" w:rsidRPr="006C5BD0" w:rsidRDefault="006C5BD0" w:rsidP="006C5B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C5BD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C5BD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C5BD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</w:p>
    <w:p w14:paraId="06E5123C" w14:textId="77777777" w:rsidR="006C5BD0" w:rsidRPr="006C5BD0" w:rsidRDefault="006C5BD0" w:rsidP="006C5BD0">
      <w:pPr>
        <w:spacing w:after="0"/>
        <w:jc w:val="both"/>
        <w:rPr>
          <w:rFonts w:ascii="Dax-Regular" w:hAnsi="Dax-Regular"/>
          <w:lang w:val="es-419"/>
        </w:rPr>
      </w:pPr>
    </w:p>
    <w:p w14:paraId="32CC2FCF" w14:textId="0C902777" w:rsidR="0042114A" w:rsidRDefault="00281C27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operación 4 usa solamente el algoritmo de Dijk</w:t>
      </w:r>
      <w:r w:rsidR="006C4730">
        <w:rPr>
          <w:rFonts w:ascii="Dax-Regular" w:hAnsi="Dax-Regular"/>
          <w:lang w:val="es-419"/>
        </w:rPr>
        <w:t>s</w:t>
      </w:r>
      <w:r>
        <w:rPr>
          <w:rFonts w:ascii="Dax-Regular" w:hAnsi="Dax-Regular"/>
          <w:lang w:val="es-419"/>
        </w:rPr>
        <w:t>tra</w:t>
      </w:r>
      <w:r w:rsidR="006C4730">
        <w:rPr>
          <w:rFonts w:ascii="Dax-Regular" w:hAnsi="Dax-Regular"/>
          <w:lang w:val="es-419"/>
        </w:rPr>
        <w:t>.</w:t>
      </w:r>
      <w:r w:rsidR="008F4D47">
        <w:rPr>
          <w:rFonts w:ascii="Dax-Regular" w:hAnsi="Dax-Regular"/>
          <w:lang w:val="es-419"/>
        </w:rPr>
        <w:t xml:space="preserve"> Por lo visto en clase, su complejidad temporal es </w:t>
      </w:r>
      <w:proofErr w:type="gramStart"/>
      <w:r w:rsidR="008F4D47">
        <w:rPr>
          <w:rFonts w:ascii="Dax-Regular" w:hAnsi="Dax-Regular"/>
          <w:lang w:val="es-419"/>
        </w:rPr>
        <w:t>O( E</w:t>
      </w:r>
      <w:proofErr w:type="gramEnd"/>
      <w:r w:rsidR="008F4D47">
        <w:rPr>
          <w:rFonts w:ascii="Dax-Regular" w:hAnsi="Dax-Regular"/>
          <w:lang w:val="es-419"/>
        </w:rPr>
        <w:t xml:space="preserve"> </w:t>
      </w:r>
      <w:proofErr w:type="spellStart"/>
      <w:r w:rsidR="008F4D47">
        <w:rPr>
          <w:rFonts w:ascii="Dax-Regular" w:hAnsi="Dax-Regular"/>
          <w:lang w:val="es-419"/>
        </w:rPr>
        <w:t>logV</w:t>
      </w:r>
      <w:proofErr w:type="spellEnd"/>
      <w:r w:rsidR="008F4D47">
        <w:rPr>
          <w:rFonts w:ascii="Dax-Regular" w:hAnsi="Dax-Regular"/>
          <w:lang w:val="es-419"/>
        </w:rPr>
        <w:t>)</w:t>
      </w:r>
      <w:r w:rsidR="00275618">
        <w:rPr>
          <w:rFonts w:ascii="Dax-Regular" w:hAnsi="Dax-Regular"/>
          <w:lang w:val="es-419"/>
        </w:rPr>
        <w:t>, donde E es el número de arcos y V el número de vértices.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80"/>
        <w:gridCol w:w="1725"/>
        <w:gridCol w:w="1812"/>
        <w:gridCol w:w="1552"/>
      </w:tblGrid>
      <w:tr w:rsidR="004752A3" w14:paraId="37AE74C7" w14:textId="0B418DA2" w:rsidTr="007A4287">
        <w:tc>
          <w:tcPr>
            <w:tcW w:w="1761" w:type="dxa"/>
            <w:vAlign w:val="bottom"/>
          </w:tcPr>
          <w:p w14:paraId="440ADA6C" w14:textId="7786D276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Archivo</w:t>
            </w:r>
            <w:proofErr w:type="spellEnd"/>
          </w:p>
        </w:tc>
        <w:tc>
          <w:tcPr>
            <w:tcW w:w="1780" w:type="dxa"/>
            <w:vAlign w:val="bottom"/>
          </w:tcPr>
          <w:p w14:paraId="6F6A3EBE" w14:textId="0F59A43A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vertices </w:t>
            </w:r>
          </w:p>
        </w:tc>
        <w:tc>
          <w:tcPr>
            <w:tcW w:w="1725" w:type="dxa"/>
            <w:vAlign w:val="bottom"/>
          </w:tcPr>
          <w:p w14:paraId="59F5F33C" w14:textId="35408F86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spellStart"/>
            <w:r>
              <w:rPr>
                <w:rFonts w:ascii="Calibri" w:hAnsi="Calibri" w:cs="Calibri"/>
                <w:color w:val="000000"/>
              </w:rPr>
              <w:t>arcos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812" w:type="dxa"/>
            <w:vAlign w:val="bottom"/>
          </w:tcPr>
          <w:p w14:paraId="4B813A82" w14:textId="0460B4F9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Time op 4 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52" w:type="dxa"/>
            <w:vAlign w:val="bottom"/>
          </w:tcPr>
          <w:p w14:paraId="6CE327F0" w14:textId="0D0B7486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op 6 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752A3" w14:paraId="1D29AFA0" w14:textId="3FA8FD29" w:rsidTr="007A4287">
        <w:tc>
          <w:tcPr>
            <w:tcW w:w="1761" w:type="dxa"/>
            <w:vAlign w:val="bottom"/>
          </w:tcPr>
          <w:p w14:paraId="3AC2D12E" w14:textId="140B1829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80" w:type="dxa"/>
            <w:vAlign w:val="bottom"/>
          </w:tcPr>
          <w:p w14:paraId="5EDFB836" w14:textId="1462A7D0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725" w:type="dxa"/>
            <w:vAlign w:val="bottom"/>
          </w:tcPr>
          <w:p w14:paraId="47AADC0A" w14:textId="6F2B7888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812" w:type="dxa"/>
            <w:vAlign w:val="bottom"/>
          </w:tcPr>
          <w:p w14:paraId="00C83F1B" w14:textId="51F697C4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20.31</w:t>
            </w:r>
          </w:p>
        </w:tc>
        <w:tc>
          <w:tcPr>
            <w:tcW w:w="1552" w:type="dxa"/>
            <w:vAlign w:val="bottom"/>
          </w:tcPr>
          <w:p w14:paraId="5104F5F8" w14:textId="7C292C51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4752A3" w14:paraId="0F32A002" w14:textId="02E828CD" w:rsidTr="007A4287">
        <w:tc>
          <w:tcPr>
            <w:tcW w:w="1761" w:type="dxa"/>
            <w:vAlign w:val="bottom"/>
          </w:tcPr>
          <w:p w14:paraId="6343452C" w14:textId="62346D3C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780" w:type="dxa"/>
            <w:vAlign w:val="bottom"/>
          </w:tcPr>
          <w:p w14:paraId="26C1893B" w14:textId="53EB8003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1725" w:type="dxa"/>
            <w:vAlign w:val="bottom"/>
          </w:tcPr>
          <w:p w14:paraId="69BA6F4D" w14:textId="2D5ACE1A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1812" w:type="dxa"/>
            <w:vAlign w:val="bottom"/>
          </w:tcPr>
          <w:p w14:paraId="304CD921" w14:textId="4558FE26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27.41</w:t>
            </w:r>
          </w:p>
        </w:tc>
        <w:tc>
          <w:tcPr>
            <w:tcW w:w="1552" w:type="dxa"/>
            <w:vAlign w:val="bottom"/>
          </w:tcPr>
          <w:p w14:paraId="1F71FB72" w14:textId="021AC9EE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</w:tr>
      <w:tr w:rsidR="004752A3" w14:paraId="2509A94D" w14:textId="3C87A3EC" w:rsidTr="007A4287">
        <w:tc>
          <w:tcPr>
            <w:tcW w:w="1761" w:type="dxa"/>
            <w:vAlign w:val="bottom"/>
          </w:tcPr>
          <w:p w14:paraId="2431181D" w14:textId="0E705DB1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780" w:type="dxa"/>
            <w:vAlign w:val="bottom"/>
          </w:tcPr>
          <w:p w14:paraId="0A76CA89" w14:textId="7A6EAAB1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295</w:t>
            </w:r>
          </w:p>
        </w:tc>
        <w:tc>
          <w:tcPr>
            <w:tcW w:w="1725" w:type="dxa"/>
            <w:vAlign w:val="bottom"/>
          </w:tcPr>
          <w:p w14:paraId="0A448D84" w14:textId="00AB6FDA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1812" w:type="dxa"/>
            <w:vAlign w:val="bottom"/>
          </w:tcPr>
          <w:p w14:paraId="02F5A6B9" w14:textId="20F78713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84.21</w:t>
            </w:r>
          </w:p>
        </w:tc>
        <w:tc>
          <w:tcPr>
            <w:tcW w:w="1552" w:type="dxa"/>
            <w:vAlign w:val="bottom"/>
          </w:tcPr>
          <w:p w14:paraId="3AA85A7E" w14:textId="5305B3ED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</w:tr>
      <w:tr w:rsidR="004752A3" w14:paraId="763FD8F8" w14:textId="251F4622" w:rsidTr="007A4287">
        <w:tc>
          <w:tcPr>
            <w:tcW w:w="1761" w:type="dxa"/>
            <w:vAlign w:val="bottom"/>
          </w:tcPr>
          <w:p w14:paraId="7EB0BB40" w14:textId="1B259D61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780" w:type="dxa"/>
            <w:vAlign w:val="bottom"/>
          </w:tcPr>
          <w:p w14:paraId="5D0C73A5" w14:textId="39CD737A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  <w:tc>
          <w:tcPr>
            <w:tcW w:w="1725" w:type="dxa"/>
            <w:vAlign w:val="bottom"/>
          </w:tcPr>
          <w:p w14:paraId="41BD6246" w14:textId="71A49B90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1812" w:type="dxa"/>
            <w:vAlign w:val="bottom"/>
          </w:tcPr>
          <w:p w14:paraId="196FEF66" w14:textId="7E43D179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230.22</w:t>
            </w:r>
          </w:p>
        </w:tc>
        <w:tc>
          <w:tcPr>
            <w:tcW w:w="1552" w:type="dxa"/>
            <w:vAlign w:val="bottom"/>
          </w:tcPr>
          <w:p w14:paraId="3BD242D2" w14:textId="0AC8080B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4752A3" w14:paraId="6B9BE41F" w14:textId="63F79512" w:rsidTr="007A4287">
        <w:tc>
          <w:tcPr>
            <w:tcW w:w="1761" w:type="dxa"/>
            <w:vAlign w:val="bottom"/>
          </w:tcPr>
          <w:p w14:paraId="0A7395C9" w14:textId="308F6D74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780" w:type="dxa"/>
            <w:vAlign w:val="bottom"/>
          </w:tcPr>
          <w:p w14:paraId="0F4604E2" w14:textId="47B2421E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1725" w:type="dxa"/>
            <w:vAlign w:val="bottom"/>
          </w:tcPr>
          <w:p w14:paraId="0C3602CF" w14:textId="25478494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3560</w:t>
            </w:r>
          </w:p>
        </w:tc>
        <w:tc>
          <w:tcPr>
            <w:tcW w:w="1812" w:type="dxa"/>
            <w:vAlign w:val="bottom"/>
          </w:tcPr>
          <w:p w14:paraId="0F16753A" w14:textId="346E9E6B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830.43</w:t>
            </w:r>
          </w:p>
        </w:tc>
        <w:tc>
          <w:tcPr>
            <w:tcW w:w="1552" w:type="dxa"/>
            <w:vAlign w:val="bottom"/>
          </w:tcPr>
          <w:p w14:paraId="2C1EC50F" w14:textId="12C03289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</w:tr>
      <w:tr w:rsidR="004752A3" w14:paraId="2E1FA099" w14:textId="2F606692" w:rsidTr="007A4287">
        <w:tc>
          <w:tcPr>
            <w:tcW w:w="1761" w:type="dxa"/>
            <w:vAlign w:val="bottom"/>
          </w:tcPr>
          <w:p w14:paraId="568B5FFD" w14:textId="50DB9223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780" w:type="dxa"/>
            <w:vAlign w:val="bottom"/>
          </w:tcPr>
          <w:p w14:paraId="3BEE47F3" w14:textId="245ABFEF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2922</w:t>
            </w:r>
          </w:p>
        </w:tc>
        <w:tc>
          <w:tcPr>
            <w:tcW w:w="1725" w:type="dxa"/>
            <w:vAlign w:val="bottom"/>
          </w:tcPr>
          <w:p w14:paraId="3F4B035A" w14:textId="3D8A2481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5773</w:t>
            </w:r>
          </w:p>
        </w:tc>
        <w:tc>
          <w:tcPr>
            <w:tcW w:w="1812" w:type="dxa"/>
            <w:vAlign w:val="bottom"/>
          </w:tcPr>
          <w:p w14:paraId="3BCC77E0" w14:textId="64949DA2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1370.81</w:t>
            </w:r>
          </w:p>
        </w:tc>
        <w:tc>
          <w:tcPr>
            <w:tcW w:w="1552" w:type="dxa"/>
            <w:vAlign w:val="bottom"/>
          </w:tcPr>
          <w:p w14:paraId="204BBA7E" w14:textId="347038FA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</w:p>
        </w:tc>
      </w:tr>
      <w:tr w:rsidR="004752A3" w14:paraId="09259FF1" w14:textId="50CEC910" w:rsidTr="007A4287">
        <w:tc>
          <w:tcPr>
            <w:tcW w:w="1761" w:type="dxa"/>
            <w:vAlign w:val="bottom"/>
          </w:tcPr>
          <w:p w14:paraId="0E60C75B" w14:textId="40D8578B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780" w:type="dxa"/>
            <w:vAlign w:val="bottom"/>
          </w:tcPr>
          <w:p w14:paraId="31CCA342" w14:textId="7F782E79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6829</w:t>
            </w:r>
          </w:p>
        </w:tc>
        <w:tc>
          <w:tcPr>
            <w:tcW w:w="1725" w:type="dxa"/>
            <w:vAlign w:val="bottom"/>
          </w:tcPr>
          <w:p w14:paraId="129FF378" w14:textId="36250A31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15334</w:t>
            </w:r>
          </w:p>
        </w:tc>
        <w:tc>
          <w:tcPr>
            <w:tcW w:w="1812" w:type="dxa"/>
            <w:vAlign w:val="bottom"/>
          </w:tcPr>
          <w:p w14:paraId="1D4C09EE" w14:textId="3FDF4748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5470.32</w:t>
            </w:r>
          </w:p>
        </w:tc>
        <w:tc>
          <w:tcPr>
            <w:tcW w:w="1552" w:type="dxa"/>
            <w:vAlign w:val="bottom"/>
          </w:tcPr>
          <w:p w14:paraId="28044E8B" w14:textId="73BE597D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</w:tr>
      <w:tr w:rsidR="004752A3" w14:paraId="0ED64838" w14:textId="10E365A1" w:rsidTr="007A4287">
        <w:tc>
          <w:tcPr>
            <w:tcW w:w="1761" w:type="dxa"/>
            <w:vAlign w:val="bottom"/>
          </w:tcPr>
          <w:p w14:paraId="58019902" w14:textId="789C3F8A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780" w:type="dxa"/>
            <w:vAlign w:val="bottom"/>
          </w:tcPr>
          <w:p w14:paraId="5057CB60" w14:textId="04CA7D06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9767</w:t>
            </w:r>
          </w:p>
        </w:tc>
        <w:tc>
          <w:tcPr>
            <w:tcW w:w="1725" w:type="dxa"/>
            <w:vAlign w:val="bottom"/>
          </w:tcPr>
          <w:p w14:paraId="5322000F" w14:textId="79004DF7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22758</w:t>
            </w:r>
          </w:p>
        </w:tc>
        <w:tc>
          <w:tcPr>
            <w:tcW w:w="1812" w:type="dxa"/>
            <w:vAlign w:val="bottom"/>
          </w:tcPr>
          <w:p w14:paraId="5A6925A6" w14:textId="164D89B7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13350.62</w:t>
            </w:r>
          </w:p>
        </w:tc>
        <w:tc>
          <w:tcPr>
            <w:tcW w:w="1552" w:type="dxa"/>
            <w:vAlign w:val="bottom"/>
          </w:tcPr>
          <w:p w14:paraId="7EBE98BE" w14:textId="37A8E57B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</w:tr>
      <w:tr w:rsidR="004752A3" w14:paraId="62C84646" w14:textId="3A1441C6" w:rsidTr="007A4287">
        <w:tc>
          <w:tcPr>
            <w:tcW w:w="1761" w:type="dxa"/>
            <w:vAlign w:val="bottom"/>
          </w:tcPr>
          <w:p w14:paraId="547479F5" w14:textId="5A311778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14000</w:t>
            </w:r>
          </w:p>
        </w:tc>
        <w:tc>
          <w:tcPr>
            <w:tcW w:w="1780" w:type="dxa"/>
            <w:vAlign w:val="bottom"/>
          </w:tcPr>
          <w:p w14:paraId="13778ACB" w14:textId="44DBB14D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13535</w:t>
            </w:r>
          </w:p>
        </w:tc>
        <w:tc>
          <w:tcPr>
            <w:tcW w:w="1725" w:type="dxa"/>
            <w:vAlign w:val="bottom"/>
          </w:tcPr>
          <w:p w14:paraId="6C14389A" w14:textId="6232B540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32270</w:t>
            </w:r>
          </w:p>
        </w:tc>
        <w:tc>
          <w:tcPr>
            <w:tcW w:w="1812" w:type="dxa"/>
            <w:vAlign w:val="bottom"/>
          </w:tcPr>
          <w:p w14:paraId="5ECC6840" w14:textId="5F28C317" w:rsidR="004752A3" w:rsidRDefault="004752A3" w:rsidP="004752A3">
            <w:pPr>
              <w:pStyle w:val="ListParagraph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22464.43</w:t>
            </w:r>
          </w:p>
        </w:tc>
        <w:tc>
          <w:tcPr>
            <w:tcW w:w="1552" w:type="dxa"/>
            <w:vAlign w:val="bottom"/>
          </w:tcPr>
          <w:p w14:paraId="362C0A6B" w14:textId="39D12FA2" w:rsidR="004752A3" w:rsidRDefault="004752A3" w:rsidP="004752A3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</w:tbl>
    <w:p w14:paraId="1146C372" w14:textId="43A7915F" w:rsidR="00F85076" w:rsidRDefault="00F85076" w:rsidP="0042114A">
      <w:pPr>
        <w:pStyle w:val="ListParagraph"/>
        <w:rPr>
          <w:rFonts w:ascii="Dax-Regular" w:hAnsi="Dax-Regular"/>
          <w:lang w:val="es-419"/>
        </w:rPr>
      </w:pPr>
    </w:p>
    <w:p w14:paraId="0E80CB26" w14:textId="6FF8BEEB" w:rsidR="004752A3" w:rsidRPr="0042114A" w:rsidRDefault="004752A3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Vemos que la opción 4 se comporta como esperado (</w:t>
      </w:r>
      <w:proofErr w:type="spellStart"/>
      <w:r>
        <w:rPr>
          <w:rFonts w:ascii="Dax-Regular" w:hAnsi="Dax-Regular"/>
          <w:lang w:val="es-419"/>
        </w:rPr>
        <w:t>linearitmicamente</w:t>
      </w:r>
      <w:proofErr w:type="spellEnd"/>
      <w:r>
        <w:rPr>
          <w:rFonts w:ascii="Dax-Regular" w:hAnsi="Dax-Regular"/>
          <w:lang w:val="es-419"/>
        </w:rPr>
        <w:t>). La opción 6 por lo visto, no hay una complejidad clara, pero es mejor que lineal</w:t>
      </w:r>
      <w:r w:rsidR="0023054B">
        <w:rPr>
          <w:rFonts w:ascii="Dax-Regular" w:hAnsi="Dax-Regular"/>
          <w:lang w:val="es-419"/>
        </w:rPr>
        <w:t xml:space="preserve"> (es cerca a </w:t>
      </w:r>
      <w:proofErr w:type="gramStart"/>
      <w:r w:rsidR="0023054B">
        <w:rPr>
          <w:rFonts w:ascii="Dax-Regular" w:hAnsi="Dax-Regular"/>
          <w:lang w:val="es-419"/>
        </w:rPr>
        <w:t>O(</w:t>
      </w:r>
      <w:proofErr w:type="gramEnd"/>
      <w:r w:rsidR="0023054B">
        <w:rPr>
          <w:rFonts w:ascii="Dax-Regular" w:hAnsi="Dax-Regular"/>
          <w:lang w:val="es-419"/>
        </w:rPr>
        <w:t>1))</w:t>
      </w:r>
      <w:r>
        <w:rPr>
          <w:rFonts w:ascii="Dax-Regular" w:hAnsi="Dax-Regular"/>
          <w:lang w:val="es-419"/>
        </w:rPr>
        <w:t>.</w:t>
      </w:r>
    </w:p>
    <w:p w14:paraId="5E7BE24B" w14:textId="2ACBF754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62D1E154" w14:textId="286BB75E" w:rsidR="00E96837" w:rsidRPr="00E96837" w:rsidRDefault="00E96837" w:rsidP="00E968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E9683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E9683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'connections'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r w:rsidRPr="00E9683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E9683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newGraph</w:t>
      </w:r>
      <w:proofErr w:type="spellEnd"/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E9683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datastructure</w:t>
      </w:r>
      <w:proofErr w:type="spellEnd"/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9683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'ADJ_LIST'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28BE3B4B" w14:textId="77777777" w:rsidR="00E96837" w:rsidRPr="00E96837" w:rsidRDefault="00E96837" w:rsidP="00E968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E9683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directed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9683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24F575AE" w14:textId="77777777" w:rsidR="00E96837" w:rsidRPr="00E96837" w:rsidRDefault="00E96837" w:rsidP="00E968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                                             </w:t>
      </w:r>
      <w:r w:rsidRPr="00E9683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9683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14000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7B047FC" w14:textId="77777777" w:rsidR="00E96837" w:rsidRPr="00E96837" w:rsidRDefault="00E96837" w:rsidP="00E968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E9683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9683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compareStopIds</w:t>
      </w:r>
      <w:r w:rsidRPr="00E9683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F2DD9A0" w14:textId="3890C347" w:rsidR="0042114A" w:rsidRPr="00B15DCB" w:rsidRDefault="00F85076" w:rsidP="0042114A">
      <w:pPr>
        <w:pStyle w:val="ListParagraph"/>
        <w:rPr>
          <w:rFonts w:ascii="Dax-Regular" w:hAnsi="Dax-Regular"/>
          <w:lang w:val="es-CO"/>
        </w:rPr>
      </w:pPr>
      <w:r w:rsidRPr="00B15DCB">
        <w:rPr>
          <w:rFonts w:ascii="Dax-Regular" w:hAnsi="Dax-Regular"/>
          <w:lang w:val="es-CO"/>
        </w:rPr>
        <w:t>El grafo utilizado e</w:t>
      </w:r>
      <w:r w:rsidR="00B15DCB" w:rsidRPr="00B15DCB">
        <w:rPr>
          <w:rFonts w:ascii="Dax-Regular" w:hAnsi="Dax-Regular"/>
          <w:lang w:val="es-CO"/>
        </w:rPr>
        <w:t>s u</w:t>
      </w:r>
      <w:r w:rsidR="00B15DCB">
        <w:rPr>
          <w:rFonts w:ascii="Dax-Regular" w:hAnsi="Dax-Regular"/>
          <w:lang w:val="es-CO"/>
        </w:rPr>
        <w:t>n grafo dirigido.</w:t>
      </w:r>
    </w:p>
    <w:p w14:paraId="51A539C7" w14:textId="604E1532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0FC55DDB" w:rsidR="0042114A" w:rsidRPr="0042114A" w:rsidRDefault="001959F6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del grafo es 14000</w:t>
      </w:r>
      <w:r w:rsidR="00524899">
        <w:rPr>
          <w:rFonts w:ascii="Dax-Regular" w:hAnsi="Dax-Regular"/>
          <w:lang w:val="es-419"/>
        </w:rPr>
        <w:t>.</w:t>
      </w:r>
      <w:r w:rsidR="007050FF">
        <w:rPr>
          <w:rFonts w:ascii="Dax-Regular" w:hAnsi="Dax-Regular"/>
          <w:lang w:val="es-419"/>
        </w:rPr>
        <w:t xml:space="preserve"> Como la lista de adyacencia es un mapa con los vértices</w:t>
      </w:r>
      <w:r w:rsidR="00954FE5">
        <w:rPr>
          <w:rFonts w:ascii="Dax-Regular" w:hAnsi="Dax-Regular"/>
          <w:lang w:val="es-419"/>
        </w:rPr>
        <w:t xml:space="preserve">, este tamaño inicial se usa como en los casos de los mapas cuando se pone un número de elementos esperado para evitar hacer muchos </w:t>
      </w:r>
      <w:proofErr w:type="spellStart"/>
      <w:r w:rsidR="00954FE5">
        <w:rPr>
          <w:rFonts w:ascii="Dax-Regular" w:hAnsi="Dax-Regular"/>
          <w:lang w:val="es-419"/>
        </w:rPr>
        <w:t>rehash</w:t>
      </w:r>
      <w:proofErr w:type="spellEnd"/>
      <w:r w:rsidR="00954FE5">
        <w:rPr>
          <w:rFonts w:ascii="Dax-Regular" w:hAnsi="Dax-Regular"/>
          <w:lang w:val="es-419"/>
        </w:rPr>
        <w:t>.</w:t>
      </w:r>
    </w:p>
    <w:p w14:paraId="4AA65BA9" w14:textId="1972E6E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6D2FD919" w:rsidR="0042114A" w:rsidRDefault="00B95CDA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utilizada es “ADJ_LIST” que </w:t>
      </w:r>
      <w:r w:rsidR="00651FB9">
        <w:rPr>
          <w:rFonts w:ascii="Dax-Regular" w:hAnsi="Dax-Regular"/>
          <w:lang w:val="es-419"/>
        </w:rPr>
        <w:t>represe</w:t>
      </w:r>
      <w:r w:rsidR="00F020FC">
        <w:rPr>
          <w:rFonts w:ascii="Dax-Regular" w:hAnsi="Dax-Regular"/>
          <w:lang w:val="es-419"/>
        </w:rPr>
        <w:t>nta una lista de adyacencia.</w:t>
      </w:r>
    </w:p>
    <w:p w14:paraId="5FA88D77" w14:textId="6047F1F5" w:rsidR="006F68FE" w:rsidRDefault="006F68FE" w:rsidP="0042114A">
      <w:pPr>
        <w:pStyle w:val="ListParagraph"/>
        <w:rPr>
          <w:rFonts w:ascii="Dax-Regular" w:hAnsi="Dax-Regular"/>
          <w:lang w:val="es-419"/>
        </w:rPr>
      </w:pPr>
    </w:p>
    <w:p w14:paraId="431A3B24" w14:textId="605BA693" w:rsidR="006F68FE" w:rsidRDefault="006F68FE" w:rsidP="0042114A">
      <w:pPr>
        <w:pStyle w:val="ListParagraph"/>
        <w:rPr>
          <w:rFonts w:ascii="Dax-Regular" w:hAnsi="Dax-Regular"/>
          <w:lang w:val="es-419"/>
        </w:rPr>
      </w:pPr>
    </w:p>
    <w:p w14:paraId="37122EB8" w14:textId="77777777" w:rsidR="006F68FE" w:rsidRPr="0042114A" w:rsidRDefault="006F68FE" w:rsidP="0042114A">
      <w:pPr>
        <w:pStyle w:val="ListParagraph"/>
        <w:rPr>
          <w:rFonts w:ascii="Dax-Regular" w:hAnsi="Dax-Regular"/>
          <w:lang w:val="es-419"/>
        </w:rPr>
      </w:pPr>
    </w:p>
    <w:p w14:paraId="03412E5E" w14:textId="5DB112EC" w:rsidR="006F68FE" w:rsidRPr="006F68FE" w:rsidRDefault="0042114A" w:rsidP="006F68FE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7AC7B4A5" w14:textId="41EB8459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F68F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compareStopIds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keyvaluestop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5A6A1CCB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F68F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"""</w:t>
      </w:r>
    </w:p>
    <w:p w14:paraId="33DF8584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   Compara dos estaciones</w:t>
      </w:r>
    </w:p>
    <w:p w14:paraId="2111F6C4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   """</w:t>
      </w:r>
    </w:p>
    <w:p w14:paraId="49348090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stopcode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keyvaluestop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F68F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'key'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</w:t>
      </w:r>
    </w:p>
    <w:p w14:paraId="7E34F976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F68F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== </w:t>
      </w:r>
      <w:proofErr w:type="spellStart"/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stopcode</w:t>
      </w:r>
      <w:proofErr w:type="spellEnd"/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51532C50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6F68F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F68F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</w:p>
    <w:p w14:paraId="7ED7CA0E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r w:rsidRPr="006F68F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proofErr w:type="spellStart"/>
      <w:r w:rsidRPr="006F68F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stopcode</w:t>
      </w:r>
      <w:proofErr w:type="spellEnd"/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376F88DA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6F68F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F68F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4CE1E025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F68F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</w:p>
    <w:p w14:paraId="1060DA30" w14:textId="77777777" w:rsidR="006F68FE" w:rsidRPr="006F68FE" w:rsidRDefault="006F68FE" w:rsidP="006F68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6F68F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F68F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</w:t>
      </w:r>
      <w:r w:rsidRPr="006F68F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1FAAE2DA" w14:textId="30498654" w:rsidR="0063268C" w:rsidRPr="006F68FE" w:rsidRDefault="0063268C" w:rsidP="0063268C">
      <w:pPr>
        <w:pStyle w:val="ListParagraph"/>
        <w:rPr>
          <w:rFonts w:ascii="Dax-Regular" w:hAnsi="Dax-Regular"/>
        </w:rPr>
      </w:pPr>
    </w:p>
    <w:p w14:paraId="3D5B3C81" w14:textId="3B47D2EC" w:rsidR="0063268C" w:rsidRPr="006F68FE" w:rsidRDefault="006F68FE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 w:rsidRPr="006F68FE">
        <w:rPr>
          <w:rFonts w:ascii="Dax-Regular" w:hAnsi="Dax-Regular"/>
          <w:lang w:val="es-CO"/>
        </w:rPr>
        <w:t xml:space="preserve">La función de comparación es </w:t>
      </w:r>
      <w:proofErr w:type="spellStart"/>
      <w:r w:rsidRPr="006F68FE">
        <w:rPr>
          <w:rFonts w:ascii="Dax-Regular" w:hAnsi="Dax-Regular"/>
          <w:lang w:val="es-CO"/>
        </w:rPr>
        <w:t>c</w:t>
      </w:r>
      <w:r>
        <w:rPr>
          <w:rFonts w:ascii="Dax-Regular" w:hAnsi="Dax-Regular"/>
          <w:lang w:val="es-CO"/>
        </w:rPr>
        <w:t>ompareStopIds</w:t>
      </w:r>
      <w:proofErr w:type="spellEnd"/>
      <w:r>
        <w:rPr>
          <w:rFonts w:ascii="Dax-Regular" w:hAnsi="Dax-Regular"/>
          <w:lang w:val="es-CO"/>
        </w:rPr>
        <w:t>, que compara</w:t>
      </w:r>
      <w:r w:rsidR="00C66FCE">
        <w:rPr>
          <w:rFonts w:ascii="Dax-Regular" w:hAnsi="Dax-Regular"/>
          <w:lang w:val="es-CO"/>
        </w:rPr>
        <w:t xml:space="preserve"> si dos vértices son iguales</w:t>
      </w:r>
      <w:r w:rsidR="00C73018">
        <w:rPr>
          <w:rFonts w:ascii="Dax-Regular" w:hAnsi="Dax-Regular"/>
          <w:lang w:val="es-CO"/>
        </w:rPr>
        <w:t xml:space="preserve">. Esto es importante para la función </w:t>
      </w:r>
      <w:proofErr w:type="spellStart"/>
      <w:r w:rsidR="00C73018">
        <w:rPr>
          <w:rFonts w:ascii="Dax-Regular" w:hAnsi="Dax-Regular"/>
          <w:lang w:val="es-CO"/>
        </w:rPr>
        <w:t>getEdge</w:t>
      </w:r>
      <w:proofErr w:type="spellEnd"/>
      <w:r w:rsidR="00C73018">
        <w:rPr>
          <w:rFonts w:ascii="Dax-Regular" w:hAnsi="Dax-Regular"/>
          <w:lang w:val="es-CO"/>
        </w:rPr>
        <w:t>.</w:t>
      </w:r>
    </w:p>
    <w:sectPr w:rsidR="0063268C" w:rsidRPr="006F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E82C6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47EC"/>
    <w:rsid w:val="00076EA8"/>
    <w:rsid w:val="00091AF9"/>
    <w:rsid w:val="000B34DE"/>
    <w:rsid w:val="000E3B8A"/>
    <w:rsid w:val="0013546A"/>
    <w:rsid w:val="001636AE"/>
    <w:rsid w:val="001959F6"/>
    <w:rsid w:val="00195AD3"/>
    <w:rsid w:val="0023054B"/>
    <w:rsid w:val="00236F3A"/>
    <w:rsid w:val="00275618"/>
    <w:rsid w:val="00281C27"/>
    <w:rsid w:val="0031411C"/>
    <w:rsid w:val="003469C3"/>
    <w:rsid w:val="00370D94"/>
    <w:rsid w:val="003B5453"/>
    <w:rsid w:val="003B6C26"/>
    <w:rsid w:val="003C0715"/>
    <w:rsid w:val="0042114A"/>
    <w:rsid w:val="0043769A"/>
    <w:rsid w:val="004752A3"/>
    <w:rsid w:val="004F2388"/>
    <w:rsid w:val="00524899"/>
    <w:rsid w:val="00567F1D"/>
    <w:rsid w:val="00631E66"/>
    <w:rsid w:val="0063268C"/>
    <w:rsid w:val="00642A5E"/>
    <w:rsid w:val="00651FB9"/>
    <w:rsid w:val="00667C88"/>
    <w:rsid w:val="0068005B"/>
    <w:rsid w:val="006B4BA3"/>
    <w:rsid w:val="006C3A88"/>
    <w:rsid w:val="006C4730"/>
    <w:rsid w:val="006C5BD0"/>
    <w:rsid w:val="006F2592"/>
    <w:rsid w:val="006F68FE"/>
    <w:rsid w:val="007050FF"/>
    <w:rsid w:val="00751570"/>
    <w:rsid w:val="00783B87"/>
    <w:rsid w:val="00787C53"/>
    <w:rsid w:val="00804169"/>
    <w:rsid w:val="00806FA9"/>
    <w:rsid w:val="008516F2"/>
    <w:rsid w:val="008B7948"/>
    <w:rsid w:val="008F4D47"/>
    <w:rsid w:val="00954FE5"/>
    <w:rsid w:val="009E083E"/>
    <w:rsid w:val="009F4247"/>
    <w:rsid w:val="00A341C3"/>
    <w:rsid w:val="00A442AC"/>
    <w:rsid w:val="00A72496"/>
    <w:rsid w:val="00A74C44"/>
    <w:rsid w:val="00AA39E8"/>
    <w:rsid w:val="00B15DCB"/>
    <w:rsid w:val="00B46770"/>
    <w:rsid w:val="00B72D08"/>
    <w:rsid w:val="00B95CDA"/>
    <w:rsid w:val="00BA3B38"/>
    <w:rsid w:val="00BE5A08"/>
    <w:rsid w:val="00C66FCE"/>
    <w:rsid w:val="00C73018"/>
    <w:rsid w:val="00CA6961"/>
    <w:rsid w:val="00CF4D80"/>
    <w:rsid w:val="00D11876"/>
    <w:rsid w:val="00D24CFC"/>
    <w:rsid w:val="00D36265"/>
    <w:rsid w:val="00D85575"/>
    <w:rsid w:val="00E15CA2"/>
    <w:rsid w:val="00E37A60"/>
    <w:rsid w:val="00E50E9B"/>
    <w:rsid w:val="00E96837"/>
    <w:rsid w:val="00EE4322"/>
    <w:rsid w:val="00F020FC"/>
    <w:rsid w:val="00F04902"/>
    <w:rsid w:val="00F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BDD751-DCF3-46EB-ACCB-F95BC882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74</cp:revision>
  <dcterms:created xsi:type="dcterms:W3CDTF">2021-02-10T17:06:00Z</dcterms:created>
  <dcterms:modified xsi:type="dcterms:W3CDTF">2021-05-20T02:53:00Z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