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4665B5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4A453C6C" w:rsidR="00667C88" w:rsidRPr="00A74C44" w:rsidRDefault="00614BD5" w:rsidP="00667C88">
      <w:pPr>
        <w:spacing w:after="0"/>
        <w:jc w:val="right"/>
        <w:rPr>
          <w:lang w:val="es-419"/>
        </w:rPr>
      </w:pPr>
      <w:r>
        <w:rPr>
          <w:lang w:val="es-419"/>
        </w:rPr>
        <w:t>Santiago Rodríguez</w:t>
      </w:r>
      <w:r w:rsidR="00A74C44" w:rsidRPr="00A74C44">
        <w:rPr>
          <w:lang w:val="es-419"/>
        </w:rPr>
        <w:t xml:space="preserve"> </w:t>
      </w:r>
      <w:r>
        <w:rPr>
          <w:lang w:val="es-419"/>
        </w:rPr>
        <w:t>202013371</w:t>
      </w:r>
    </w:p>
    <w:p w14:paraId="673598DC" w14:textId="79DC0E91" w:rsidR="00667C88" w:rsidRPr="00A74C44" w:rsidRDefault="00614BD5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Pablo Tatis</w:t>
      </w:r>
      <w:r w:rsidR="00A74C44">
        <w:rPr>
          <w:lang w:val="es-419"/>
        </w:rPr>
        <w:t xml:space="preserve"> </w:t>
      </w:r>
      <w:r>
        <w:rPr>
          <w:lang w:val="es-419"/>
        </w:rPr>
        <w:t>202022217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69CC809A" w:rsidR="00A442AC" w:rsidRPr="00BB2397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BB2397">
        <w:rPr>
          <w:rFonts w:ascii="Dax-Regular" w:hAnsi="Dax-Regular"/>
          <w:b/>
          <w:bCs/>
          <w:lang w:val="es-419"/>
        </w:rPr>
        <w:t>¿Qué estructura de datos se usa para este índice?</w:t>
      </w:r>
    </w:p>
    <w:p w14:paraId="656E7FEA" w14:textId="31B59182" w:rsidR="004665B5" w:rsidRPr="004665B5" w:rsidRDefault="002020ED" w:rsidP="004665B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estructura usada es </w:t>
      </w:r>
      <w:proofErr w:type="spellStart"/>
      <w:r>
        <w:rPr>
          <w:rFonts w:ascii="Dax-Regular" w:hAnsi="Dax-Regular"/>
          <w:lang w:val="es-419"/>
        </w:rPr>
        <w:t>Separate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Chaining</w:t>
      </w:r>
      <w:proofErr w:type="spellEnd"/>
      <w:r w:rsidR="00BB2397">
        <w:rPr>
          <w:rFonts w:ascii="Dax-Regular" w:hAnsi="Dax-Regular"/>
          <w:lang w:val="es-419"/>
        </w:rPr>
        <w:t xml:space="preserve">. Esto lo indica el segundo argumento: </w:t>
      </w:r>
      <w:proofErr w:type="spellStart"/>
      <w:r w:rsidR="00BB2397">
        <w:rPr>
          <w:rFonts w:ascii="Dax-Regular" w:hAnsi="Dax-Regular"/>
          <w:lang w:val="es-419"/>
        </w:rPr>
        <w:t>maptype</w:t>
      </w:r>
      <w:proofErr w:type="spellEnd"/>
      <w:r w:rsidR="00BB2397">
        <w:rPr>
          <w:rFonts w:ascii="Dax-Regular" w:hAnsi="Dax-Regular"/>
          <w:lang w:val="es-419"/>
        </w:rPr>
        <w:t>.</w:t>
      </w:r>
      <w:r>
        <w:rPr>
          <w:rFonts w:ascii="Dax-Regular" w:hAnsi="Dax-Regular"/>
          <w:lang w:val="es-419"/>
        </w:rPr>
        <w:t xml:space="preserve"> </w:t>
      </w:r>
    </w:p>
    <w:p w14:paraId="78E5C15C" w14:textId="583FB540" w:rsidR="00A442AC" w:rsidRPr="00BB2397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BB2397">
        <w:rPr>
          <w:rFonts w:ascii="Dax-Regular" w:hAnsi="Dax-Regular"/>
          <w:b/>
          <w:bCs/>
          <w:lang w:val="es-419"/>
        </w:rPr>
        <w:t>¿Cuántos elementos se espera almacenar inicialmente?</w:t>
      </w:r>
    </w:p>
    <w:p w14:paraId="1F192E6B" w14:textId="4126A4FA" w:rsidR="00864205" w:rsidRPr="00864205" w:rsidRDefault="00864205" w:rsidP="0086420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esperan cargar 796 elementos iniciales, valor dado por la división del primer argumento entre el factor de carga (</w:t>
      </w:r>
      <w:r w:rsidR="002020ED">
        <w:rPr>
          <w:rFonts w:ascii="Dax-Regular" w:hAnsi="Dax-Regular"/>
          <w:lang w:val="es-419"/>
        </w:rPr>
        <w:t xml:space="preserve">800 / 4), hallando el primo más cercano (199), y multiplicándolo nuevamente por 4. Esto resulta en una carga de 796 elementos. </w:t>
      </w:r>
    </w:p>
    <w:p w14:paraId="2137E564" w14:textId="245257F5" w:rsidR="00A442AC" w:rsidRPr="00BB2397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BB2397">
        <w:rPr>
          <w:rFonts w:ascii="Dax-Regular" w:hAnsi="Dax-Regular"/>
          <w:b/>
          <w:bCs/>
          <w:lang w:val="es-419"/>
        </w:rPr>
        <w:t>¿Cuál es el factor de carga?</w:t>
      </w:r>
    </w:p>
    <w:p w14:paraId="0605106C" w14:textId="344DF678" w:rsidR="005C7F79" w:rsidRDefault="005C7F79" w:rsidP="005C7F79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factor de carga máximo es de 4.0, como se indica en </w:t>
      </w:r>
      <w:r w:rsidR="002020ED">
        <w:rPr>
          <w:rFonts w:ascii="Dax-Regular" w:hAnsi="Dax-Regular"/>
          <w:lang w:val="es-419"/>
        </w:rPr>
        <w:t xml:space="preserve">el argumento </w:t>
      </w:r>
      <w:r>
        <w:rPr>
          <w:rFonts w:ascii="Dax-Regular" w:hAnsi="Dax-Regular"/>
          <w:lang w:val="es-419"/>
        </w:rPr>
        <w:t>asignad</w:t>
      </w:r>
      <w:r w:rsidR="002020ED">
        <w:rPr>
          <w:rFonts w:ascii="Dax-Regular" w:hAnsi="Dax-Regular"/>
          <w:lang w:val="es-419"/>
        </w:rPr>
        <w:t>o</w:t>
      </w:r>
      <w:r>
        <w:rPr>
          <w:rFonts w:ascii="Dax-Regular" w:hAnsi="Dax-Regular"/>
          <w:lang w:val="es-419"/>
        </w:rPr>
        <w:t xml:space="preserve"> “loadfactor”</w:t>
      </w:r>
      <w:r w:rsidR="00864205">
        <w:rPr>
          <w:rFonts w:ascii="Dax-Regular" w:hAnsi="Dax-Regular"/>
          <w:lang w:val="es-419"/>
        </w:rPr>
        <w:t xml:space="preserve">. </w:t>
      </w:r>
    </w:p>
    <w:p w14:paraId="7867EC0A" w14:textId="353306AB" w:rsidR="00A442AC" w:rsidRPr="00BB2397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BB2397">
        <w:rPr>
          <w:rFonts w:ascii="Dax-Regular" w:hAnsi="Dax-Regular"/>
          <w:b/>
          <w:bCs/>
          <w:lang w:val="es-419"/>
        </w:rPr>
        <w:t xml:space="preserve">¿Con cuántos elementos serán necesarios agregar para hacer </w:t>
      </w:r>
      <w:proofErr w:type="spellStart"/>
      <w:r w:rsidRPr="00BB2397">
        <w:rPr>
          <w:rFonts w:ascii="Dax-Regular" w:hAnsi="Dax-Regular"/>
          <w:b/>
          <w:bCs/>
          <w:lang w:val="es-419"/>
        </w:rPr>
        <w:t>re-hash</w:t>
      </w:r>
      <w:proofErr w:type="spellEnd"/>
      <w:r w:rsidRPr="00BB2397">
        <w:rPr>
          <w:rFonts w:ascii="Dax-Regular" w:hAnsi="Dax-Regular"/>
          <w:b/>
          <w:bCs/>
          <w:lang w:val="es-419"/>
        </w:rPr>
        <w:t xml:space="preserve"> de la tabla?</w:t>
      </w:r>
    </w:p>
    <w:p w14:paraId="01938F2A" w14:textId="38B31030" w:rsidR="00864205" w:rsidRPr="00864205" w:rsidRDefault="002020ED" w:rsidP="00864205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</w:t>
      </w:r>
      <w:proofErr w:type="spellStart"/>
      <w:r>
        <w:rPr>
          <w:rFonts w:ascii="Dax-Regular" w:hAnsi="Dax-Regular"/>
          <w:lang w:val="es-419"/>
        </w:rPr>
        <w:t>rehash</w:t>
      </w:r>
      <w:proofErr w:type="spellEnd"/>
      <w:r>
        <w:rPr>
          <w:rFonts w:ascii="Dax-Regular" w:hAnsi="Dax-Regular"/>
          <w:lang w:val="es-419"/>
        </w:rPr>
        <w:t xml:space="preserve"> ocurre cuando se excede el factor de carga, cuya formula es definida por: N elementos / tamaño de la tabla. En otras palabras, loadfactor = N/M</w:t>
      </w:r>
    </w:p>
    <w:p w14:paraId="45D73D1C" w14:textId="6076E0FD" w:rsidR="00A442AC" w:rsidRPr="00A67478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A67478">
        <w:rPr>
          <w:rFonts w:ascii="Dax-Regular" w:hAnsi="Dax-Regular"/>
          <w:b/>
          <w:bCs/>
          <w:lang w:val="es-419"/>
        </w:rPr>
        <w:t>¿Qué hace la instrucción “</w:t>
      </w:r>
      <w:proofErr w:type="spellStart"/>
      <w:r w:rsidRPr="00A67478">
        <w:rPr>
          <w:rFonts w:ascii="Dax-Regular" w:hAnsi="Dax-Regular"/>
          <w:b/>
          <w:bCs/>
          <w:lang w:val="es-419"/>
        </w:rPr>
        <w:t>mp.put</w:t>
      </w:r>
      <w:proofErr w:type="spellEnd"/>
      <w:r w:rsidRPr="00A67478">
        <w:rPr>
          <w:rFonts w:ascii="Dax-Regular" w:hAnsi="Dax-Regular"/>
          <w:b/>
          <w:bCs/>
          <w:lang w:val="es-419"/>
        </w:rPr>
        <w:t>(...)”?</w:t>
      </w:r>
    </w:p>
    <w:p w14:paraId="4BA23C53" w14:textId="02A2283F" w:rsidR="00A67478" w:rsidRPr="00A67478" w:rsidRDefault="00A67478" w:rsidP="00A67478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instrucción añade al mapa especificado una nueva llave junto a su valor asignado. </w:t>
      </w:r>
    </w:p>
    <w:p w14:paraId="6D503037" w14:textId="21EEA64C" w:rsidR="00A442AC" w:rsidRPr="00A67478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A67478">
        <w:rPr>
          <w:rFonts w:ascii="Dax-Regular" w:hAnsi="Dax-Regular"/>
          <w:b/>
          <w:bCs/>
          <w:lang w:val="es-419"/>
        </w:rPr>
        <w:t>¿</w:t>
      </w:r>
      <w:r w:rsidRPr="00A67478">
        <w:rPr>
          <w:rFonts w:ascii="Dax-Regular" w:hAnsi="Dax-Regular"/>
          <w:b/>
          <w:bCs/>
          <w:lang w:val="es-ES"/>
        </w:rPr>
        <w:t>Qué papel cumple “</w:t>
      </w:r>
      <w:proofErr w:type="spellStart"/>
      <w:r w:rsidRPr="00A67478">
        <w:rPr>
          <w:rFonts w:ascii="Dax-Regular" w:hAnsi="Dax-Regular"/>
          <w:b/>
          <w:bCs/>
          <w:lang w:val="es-ES"/>
        </w:rPr>
        <w:t>book</w:t>
      </w:r>
      <w:proofErr w:type="spellEnd"/>
      <w:r w:rsidRPr="00A67478">
        <w:rPr>
          <w:rFonts w:ascii="Dax-Regular" w:hAnsi="Dax-Regular"/>
          <w:b/>
          <w:bCs/>
          <w:lang w:val="es-ES"/>
        </w:rPr>
        <w:t>[‘</w:t>
      </w:r>
      <w:proofErr w:type="spellStart"/>
      <w:r w:rsidRPr="00A67478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67478">
        <w:rPr>
          <w:rFonts w:ascii="Dax-Regular" w:hAnsi="Dax-Regular"/>
          <w:b/>
          <w:bCs/>
          <w:lang w:val="es-ES"/>
        </w:rPr>
        <w:t>’]” en esa instrucción?</w:t>
      </w:r>
    </w:p>
    <w:p w14:paraId="5B6E67EF" w14:textId="2B521CBD" w:rsidR="00A67478" w:rsidRPr="00A67478" w:rsidRDefault="00A67478" w:rsidP="00A67478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Cumple el papel de asignar la llave a guardar en el mapa. Esta llave es el id del libro, el cual se llama con la llave </w:t>
      </w:r>
      <w:r w:rsidRPr="00A56AF3">
        <w:rPr>
          <w:rFonts w:ascii="Dax-Regular" w:hAnsi="Dax-Regular"/>
          <w:b/>
          <w:bCs/>
          <w:lang w:val="es-ES"/>
        </w:rPr>
        <w:t>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</w:t>
      </w:r>
      <w:r>
        <w:rPr>
          <w:rFonts w:ascii="Dax-Regular" w:hAnsi="Dax-Regular"/>
          <w:b/>
          <w:bCs/>
          <w:lang w:val="es-ES"/>
        </w:rPr>
        <w:t xml:space="preserve"> </w:t>
      </w:r>
      <w:r>
        <w:rPr>
          <w:rFonts w:ascii="Dax-Regular" w:hAnsi="Dax-Regular"/>
          <w:lang w:val="es-ES"/>
        </w:rPr>
        <w:t xml:space="preserve">en el diccionario </w:t>
      </w:r>
      <w:proofErr w:type="spellStart"/>
      <w:r>
        <w:rPr>
          <w:rFonts w:ascii="Dax-Regular" w:hAnsi="Dax-Regular"/>
          <w:lang w:val="es-ES"/>
        </w:rPr>
        <w:t>book</w:t>
      </w:r>
      <w:proofErr w:type="spellEnd"/>
      <w:r>
        <w:rPr>
          <w:rFonts w:ascii="Dax-Regular" w:hAnsi="Dax-Regular"/>
          <w:lang w:val="es-ES"/>
        </w:rPr>
        <w:t xml:space="preserve">. </w:t>
      </w:r>
    </w:p>
    <w:p w14:paraId="38568E0A" w14:textId="0825526F" w:rsidR="00A442AC" w:rsidRPr="00614BD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14BD5">
        <w:rPr>
          <w:rFonts w:ascii="Dax-Regular" w:hAnsi="Dax-Regular"/>
          <w:b/>
          <w:bCs/>
          <w:lang w:val="es-ES"/>
        </w:rPr>
        <w:t xml:space="preserve">¿Qué papel cumple </w:t>
      </w:r>
      <w:r w:rsidRPr="00614BD5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614BD5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614BD5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614BD5">
        <w:rPr>
          <w:rFonts w:ascii="Dax-Regular" w:hAnsi="Dax-Regular"/>
          <w:b/>
          <w:bCs/>
          <w:lang w:val="es-ES"/>
        </w:rPr>
        <w:t xml:space="preserve"> en esa instrucción?</w:t>
      </w:r>
    </w:p>
    <w:p w14:paraId="1AD822A6" w14:textId="7ED14FC0" w:rsidR="00A67478" w:rsidRPr="00A67478" w:rsidRDefault="00A67478" w:rsidP="00A67478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Book es el argumento que indica el valor de la llave asignada. En este caso, para cada id de libro, su valor asignado (dado por “</w:t>
      </w:r>
      <w:proofErr w:type="spellStart"/>
      <w:r>
        <w:rPr>
          <w:rFonts w:ascii="Dax-Regular" w:hAnsi="Dax-Regular"/>
          <w:lang w:val="es-419"/>
        </w:rPr>
        <w:t>book</w:t>
      </w:r>
      <w:proofErr w:type="spellEnd"/>
      <w:r>
        <w:rPr>
          <w:rFonts w:ascii="Dax-Regular" w:hAnsi="Dax-Regular"/>
          <w:lang w:val="es-419"/>
        </w:rPr>
        <w:t xml:space="preserve">”) será el nombre del libro. </w:t>
      </w:r>
    </w:p>
    <w:p w14:paraId="6B93EA60" w14:textId="3EED6CF7" w:rsidR="00A442AC" w:rsidRPr="00614BD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14BD5">
        <w:rPr>
          <w:rFonts w:ascii="Dax-Regular" w:hAnsi="Dax-Regular"/>
          <w:b/>
          <w:bCs/>
          <w:lang w:val="es-419"/>
        </w:rPr>
        <w:t>¿Qué hace la instrucción “</w:t>
      </w:r>
      <w:proofErr w:type="spellStart"/>
      <w:proofErr w:type="gramStart"/>
      <w:r w:rsidRPr="00614BD5">
        <w:rPr>
          <w:rFonts w:ascii="Dax-Regular" w:hAnsi="Dax-Regular"/>
          <w:b/>
          <w:bCs/>
          <w:lang w:val="es-419"/>
        </w:rPr>
        <w:t>mp.get</w:t>
      </w:r>
      <w:proofErr w:type="spellEnd"/>
      <w:r w:rsidRPr="00614BD5">
        <w:rPr>
          <w:rFonts w:ascii="Dax-Regular" w:hAnsi="Dax-Regular"/>
          <w:b/>
          <w:bCs/>
          <w:lang w:val="es-419"/>
        </w:rPr>
        <w:t>(</w:t>
      </w:r>
      <w:proofErr w:type="gramEnd"/>
      <w:r w:rsidRPr="00614BD5">
        <w:rPr>
          <w:rFonts w:ascii="Dax-Regular" w:hAnsi="Dax-Regular"/>
          <w:b/>
          <w:bCs/>
          <w:lang w:val="es-419"/>
        </w:rPr>
        <w:t>…)”?</w:t>
      </w:r>
    </w:p>
    <w:p w14:paraId="357A0F15" w14:textId="429E9914" w:rsidR="00A67478" w:rsidRPr="00A67478" w:rsidRDefault="00A67478" w:rsidP="00A67478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instrucción </w:t>
      </w:r>
      <w:proofErr w:type="spellStart"/>
      <w:proofErr w:type="gramStart"/>
      <w:r>
        <w:rPr>
          <w:rFonts w:ascii="Dax-Regular" w:hAnsi="Dax-Regular"/>
          <w:lang w:val="es-419"/>
        </w:rPr>
        <w:t>get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 xml:space="preserve">) toma como argumentos un mapa y una llave, y retorna la pareja llave-valor según la llave especificada. </w:t>
      </w:r>
    </w:p>
    <w:p w14:paraId="24934F6D" w14:textId="59637DD7" w:rsidR="00A442AC" w:rsidRPr="00614BD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14BD5">
        <w:rPr>
          <w:rFonts w:ascii="Dax-Regular" w:hAnsi="Dax-Regular"/>
          <w:b/>
          <w:bCs/>
          <w:lang w:val="es-419"/>
        </w:rPr>
        <w:t>¿</w:t>
      </w:r>
      <w:r w:rsidRPr="00614BD5">
        <w:rPr>
          <w:rFonts w:ascii="Dax-Regular" w:hAnsi="Dax-Regular"/>
          <w:b/>
          <w:bCs/>
          <w:lang w:val="es-ES"/>
        </w:rPr>
        <w:t>Qué papel cumple “</w:t>
      </w:r>
      <w:proofErr w:type="spellStart"/>
      <w:r w:rsidRPr="00614BD5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614BD5">
        <w:rPr>
          <w:rFonts w:ascii="Dax-Regular" w:hAnsi="Dax-Regular"/>
          <w:b/>
          <w:bCs/>
          <w:i/>
          <w:iCs/>
          <w:lang w:val="es-ES"/>
        </w:rPr>
        <w:t>”</w:t>
      </w:r>
      <w:r w:rsidRPr="00614BD5">
        <w:rPr>
          <w:rFonts w:ascii="Dax-Regular" w:hAnsi="Dax-Regular"/>
          <w:b/>
          <w:bCs/>
          <w:lang w:val="es-ES"/>
        </w:rPr>
        <w:t xml:space="preserve"> en esa instrucción?</w:t>
      </w:r>
    </w:p>
    <w:p w14:paraId="58DF7852" w14:textId="279D8205" w:rsidR="00A67478" w:rsidRPr="00A67478" w:rsidRDefault="00A67478" w:rsidP="00A67478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parámetro “</w:t>
      </w:r>
      <w:proofErr w:type="spellStart"/>
      <w:r>
        <w:rPr>
          <w:rFonts w:ascii="Dax-Regular" w:hAnsi="Dax-Regular"/>
          <w:lang w:val="es-419"/>
        </w:rPr>
        <w:t>year</w:t>
      </w:r>
      <w:proofErr w:type="spellEnd"/>
      <w:r>
        <w:rPr>
          <w:rFonts w:ascii="Dax-Regular" w:hAnsi="Dax-Regular"/>
          <w:lang w:val="es-419"/>
        </w:rPr>
        <w:t xml:space="preserve">” corresponde a la llave que se va a usar como referencia para retornar </w:t>
      </w:r>
      <w:r w:rsidR="00766B21">
        <w:rPr>
          <w:rFonts w:ascii="Dax-Regular" w:hAnsi="Dax-Regular"/>
          <w:lang w:val="es-419"/>
        </w:rPr>
        <w:t xml:space="preserve">la pareja llave-valor. </w:t>
      </w:r>
    </w:p>
    <w:p w14:paraId="425AC776" w14:textId="6091CA83" w:rsidR="00A442AC" w:rsidRPr="00614BD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614BD5">
        <w:rPr>
          <w:rFonts w:ascii="Dax-Regular" w:hAnsi="Dax-Regular"/>
          <w:b/>
          <w:bCs/>
          <w:lang w:val="es-ES"/>
        </w:rPr>
        <w:t>¿Qué hace la instrucción “</w:t>
      </w:r>
      <w:proofErr w:type="spellStart"/>
      <w:proofErr w:type="gramStart"/>
      <w:r w:rsidRPr="00614BD5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614BD5">
        <w:rPr>
          <w:rFonts w:ascii="Dax-Regular" w:hAnsi="Dax-Regular"/>
          <w:b/>
          <w:bCs/>
          <w:lang w:val="es-ES"/>
        </w:rPr>
        <w:t>(…)”?</w:t>
      </w:r>
    </w:p>
    <w:p w14:paraId="5412F57B" w14:textId="2E413CC1" w:rsidR="00766B21" w:rsidRPr="00A56AF3" w:rsidRDefault="00614BD5" w:rsidP="00766B21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proofErr w:type="spellStart"/>
      <w:proofErr w:type="gramStart"/>
      <w:r>
        <w:rPr>
          <w:rFonts w:ascii="Dax-Regular" w:hAnsi="Dax-Regular"/>
          <w:lang w:val="es-419"/>
        </w:rPr>
        <w:t>getValue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>) retorna el valor de la pareja especificada en un mapa.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9A93952"/>
    <w:multiLevelType w:val="hybridMultilevel"/>
    <w:tmpl w:val="55E0FAEC"/>
    <w:lvl w:ilvl="0" w:tplc="33D6E20A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020ED"/>
    <w:rsid w:val="003B6C26"/>
    <w:rsid w:val="004665B5"/>
    <w:rsid w:val="00567F1D"/>
    <w:rsid w:val="005C7F79"/>
    <w:rsid w:val="00614BD5"/>
    <w:rsid w:val="00667C88"/>
    <w:rsid w:val="00766B21"/>
    <w:rsid w:val="00864205"/>
    <w:rsid w:val="00A442AC"/>
    <w:rsid w:val="00A67478"/>
    <w:rsid w:val="00A74C44"/>
    <w:rsid w:val="00BA3B38"/>
    <w:rsid w:val="00BB2397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Tatis</cp:lastModifiedBy>
  <cp:revision>6</cp:revision>
  <dcterms:created xsi:type="dcterms:W3CDTF">2021-02-10T17:06:00Z</dcterms:created>
  <dcterms:modified xsi:type="dcterms:W3CDTF">2021-03-18T03:18:00Z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