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46C3FA4E" w:rsidR="00667C88" w:rsidRPr="00787C53" w:rsidRDefault="006E05B1" w:rsidP="00667C88">
      <w:pPr>
        <w:spacing w:after="0"/>
        <w:jc w:val="right"/>
        <w:rPr>
          <w:noProof w:val="0"/>
          <w:lang w:val="es-CO"/>
        </w:rPr>
      </w:pPr>
      <w:r w:rsidRPr="006E05B1">
        <w:rPr>
          <w:noProof w:val="0"/>
          <w:lang w:val="es-CO"/>
        </w:rPr>
        <w:t>Juan Sebastián Ortega</w:t>
      </w:r>
      <w:r>
        <w:rPr>
          <w:noProof w:val="0"/>
          <w:lang w:val="es-CO"/>
        </w:rPr>
        <w:t xml:space="preserve"> </w:t>
      </w:r>
      <w:r w:rsidR="00A74C44" w:rsidRPr="00787C53">
        <w:rPr>
          <w:noProof w:val="0"/>
          <w:lang w:val="es-CO"/>
        </w:rPr>
        <w:t xml:space="preserve">Cod </w:t>
      </w:r>
      <w:r w:rsidRPr="006E05B1">
        <w:rPr>
          <w:noProof w:val="0"/>
          <w:lang w:val="es-CO"/>
        </w:rPr>
        <w:t>202021703</w:t>
      </w:r>
    </w:p>
    <w:p w14:paraId="673598DC" w14:textId="2ADDAC72" w:rsidR="00667C88" w:rsidRPr="00787C53" w:rsidRDefault="006E05B1" w:rsidP="00667C88">
      <w:pPr>
        <w:spacing w:after="0"/>
        <w:jc w:val="right"/>
        <w:rPr>
          <w:noProof w:val="0"/>
          <w:lang w:val="es-CO"/>
        </w:rPr>
      </w:pPr>
      <w:r w:rsidRPr="006E05B1">
        <w:rPr>
          <w:noProof w:val="0"/>
          <w:lang w:val="es-CO"/>
        </w:rPr>
        <w:t xml:space="preserve">Yesid Camilo Almanza </w:t>
      </w:r>
      <w:r w:rsidR="00A74C44" w:rsidRPr="00787C53">
        <w:rPr>
          <w:noProof w:val="0"/>
          <w:lang w:val="es-CO"/>
        </w:rPr>
        <w:t xml:space="preserve">Cod </w:t>
      </w:r>
      <w:r w:rsidRPr="006E05B1">
        <w:rPr>
          <w:noProof w:val="0"/>
          <w:lang w:val="es-CO"/>
        </w:rPr>
        <w:t>201921773</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1FAAE2DA" w14:textId="44637859" w:rsidR="0063268C" w:rsidRDefault="00DF03E4" w:rsidP="006E05B1">
      <w:pPr>
        <w:pStyle w:val="Prrafodelista"/>
        <w:numPr>
          <w:ilvl w:val="0"/>
          <w:numId w:val="12"/>
        </w:numPr>
        <w:spacing w:after="0"/>
        <w:jc w:val="both"/>
        <w:rPr>
          <w:rFonts w:ascii="Dax-Regular" w:hAnsi="Dax-Regular"/>
          <w:lang w:val="es-CO"/>
        </w:rPr>
      </w:pPr>
      <w:r w:rsidRPr="00DF03E4">
        <w:rPr>
          <w:rFonts w:ascii="Dax-Regular" w:hAnsi="Dax-Regular"/>
          <w:lang w:val="es-CO"/>
        </w:rPr>
        <w:t>¿Qué diferencia existe entre las alturas de los dos árboles (BST y RBT)?</w:t>
      </w:r>
    </w:p>
    <w:p w14:paraId="370CD343" w14:textId="5248D1BA" w:rsidR="005B76ED" w:rsidRDefault="005B76ED" w:rsidP="005B76ED">
      <w:pPr>
        <w:spacing w:after="0"/>
        <w:jc w:val="both"/>
        <w:rPr>
          <w:rFonts w:ascii="Dax-Regular" w:hAnsi="Dax-Regular"/>
          <w:lang w:val="es-CO"/>
        </w:rPr>
      </w:pPr>
    </w:p>
    <w:p w14:paraId="4EA2A416" w14:textId="2BAD46D7" w:rsidR="005B76ED" w:rsidRPr="005B76ED" w:rsidRDefault="005B76ED" w:rsidP="005B76ED">
      <w:pPr>
        <w:spacing w:after="0"/>
        <w:ind w:left="720"/>
        <w:jc w:val="center"/>
        <w:rPr>
          <w:rFonts w:ascii="Dax-Regular" w:hAnsi="Dax-Regular"/>
          <w:lang w:val="es-CO"/>
        </w:rPr>
      </w:pPr>
      <w:r>
        <w:drawing>
          <wp:inline distT="0" distB="0" distL="0" distR="0" wp14:anchorId="31835EFA" wp14:editId="17A47833">
            <wp:extent cx="3123609" cy="1229995"/>
            <wp:effectExtent l="0" t="0" r="63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7888" cy="1259244"/>
                    </a:xfrm>
                    <a:prstGeom prst="rect">
                      <a:avLst/>
                    </a:prstGeom>
                  </pic:spPr>
                </pic:pic>
              </a:graphicData>
            </a:graphic>
          </wp:inline>
        </w:drawing>
      </w:r>
    </w:p>
    <w:p w14:paraId="016314C8" w14:textId="2258378F" w:rsidR="00DF03E4" w:rsidRPr="005B76ED" w:rsidRDefault="005B76ED" w:rsidP="005B76ED">
      <w:pPr>
        <w:spacing w:after="0"/>
        <w:jc w:val="center"/>
        <w:rPr>
          <w:rFonts w:ascii="Dax-Regular" w:hAnsi="Dax-Regular"/>
          <w:b/>
          <w:bCs/>
          <w:lang w:val="es-CO"/>
        </w:rPr>
      </w:pPr>
      <w:r>
        <w:rPr>
          <w:rFonts w:ascii="Dax-Regular" w:hAnsi="Dax-Regular"/>
          <w:b/>
          <w:bCs/>
          <w:lang w:val="es-CO"/>
        </w:rPr>
        <w:t>Figura 1: Resultados carga del catalogo con BST</w:t>
      </w:r>
    </w:p>
    <w:p w14:paraId="3A8B4A50" w14:textId="2D584052" w:rsidR="00A65D8D" w:rsidRDefault="00A65D8D" w:rsidP="00DF03E4">
      <w:pPr>
        <w:spacing w:after="0"/>
        <w:jc w:val="both"/>
        <w:rPr>
          <w:rFonts w:ascii="Dax-Regular" w:hAnsi="Dax-Regular"/>
          <w:lang w:val="es-CO"/>
        </w:rPr>
      </w:pPr>
    </w:p>
    <w:p w14:paraId="2DA84C54" w14:textId="2C84F162" w:rsidR="005B76ED" w:rsidRDefault="005B76ED" w:rsidP="00DF03E4">
      <w:pPr>
        <w:spacing w:after="0"/>
        <w:jc w:val="both"/>
        <w:rPr>
          <w:rFonts w:ascii="Dax-Regular" w:hAnsi="Dax-Regular"/>
          <w:lang w:val="es-CO"/>
        </w:rPr>
      </w:pPr>
    </w:p>
    <w:p w14:paraId="032CFF4B" w14:textId="7F1692EE" w:rsidR="005B76ED" w:rsidRDefault="005B76ED" w:rsidP="005B76ED">
      <w:pPr>
        <w:spacing w:after="0"/>
        <w:jc w:val="center"/>
        <w:rPr>
          <w:rFonts w:ascii="Dax-Regular" w:hAnsi="Dax-Regular"/>
          <w:lang w:val="es-CO"/>
        </w:rPr>
      </w:pPr>
      <w:r>
        <w:drawing>
          <wp:inline distT="0" distB="0" distL="0" distR="0" wp14:anchorId="140D2D01" wp14:editId="5DF635BA">
            <wp:extent cx="3226279" cy="1295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4306" cy="1310668"/>
                    </a:xfrm>
                    <a:prstGeom prst="rect">
                      <a:avLst/>
                    </a:prstGeom>
                  </pic:spPr>
                </pic:pic>
              </a:graphicData>
            </a:graphic>
          </wp:inline>
        </w:drawing>
      </w:r>
    </w:p>
    <w:p w14:paraId="7B632DBF" w14:textId="42155AA3" w:rsidR="005B76ED" w:rsidRPr="005B76ED" w:rsidRDefault="005B76ED" w:rsidP="005B76ED">
      <w:pPr>
        <w:spacing w:after="0"/>
        <w:jc w:val="center"/>
        <w:rPr>
          <w:rFonts w:ascii="Dax-Regular" w:hAnsi="Dax-Regular"/>
          <w:b/>
          <w:bCs/>
          <w:lang w:val="es-CO"/>
        </w:rPr>
      </w:pPr>
      <w:r>
        <w:rPr>
          <w:rFonts w:ascii="Dax-Regular" w:hAnsi="Dax-Regular"/>
          <w:b/>
          <w:bCs/>
          <w:lang w:val="es-CO"/>
        </w:rPr>
        <w:t xml:space="preserve">Figura 2: Resultados carga del catalogo con </w:t>
      </w:r>
      <w:r w:rsidR="00C43CE6">
        <w:rPr>
          <w:rFonts w:ascii="Dax-Regular" w:hAnsi="Dax-Regular"/>
          <w:b/>
          <w:bCs/>
          <w:lang w:val="es-CO"/>
        </w:rPr>
        <w:t>RBT</w:t>
      </w:r>
    </w:p>
    <w:p w14:paraId="1ED93143" w14:textId="0D4396F5" w:rsidR="00C43CE6" w:rsidRDefault="00C43CE6" w:rsidP="005B76ED">
      <w:pPr>
        <w:spacing w:after="0"/>
        <w:jc w:val="center"/>
        <w:rPr>
          <w:rFonts w:ascii="Dax-Regular" w:hAnsi="Dax-Regular"/>
          <w:lang w:val="es-CO"/>
        </w:rPr>
      </w:pPr>
    </w:p>
    <w:p w14:paraId="7502F0A5" w14:textId="400F9105" w:rsidR="00C43CE6" w:rsidRPr="00245D92" w:rsidRDefault="00C43CE6" w:rsidP="00362EF9">
      <w:pPr>
        <w:spacing w:after="0"/>
        <w:ind w:left="360"/>
        <w:jc w:val="both"/>
        <w:rPr>
          <w:rFonts w:ascii="Dax-Regular" w:hAnsi="Dax-Regular"/>
          <w:lang w:val="es-CO"/>
        </w:rPr>
      </w:pPr>
      <w:r>
        <w:rPr>
          <w:rFonts w:ascii="Dax-Regular" w:hAnsi="Dax-Regular"/>
          <w:lang w:val="es-CO"/>
        </w:rPr>
        <w:t xml:space="preserve">Al realizar una comparación entre la Figura 1 y la Figura 2 es posible darse cuenta que bajo los mismos parámetros de búsqueda y con el mismo </w:t>
      </w:r>
      <w:r w:rsidR="0084474C">
        <w:rPr>
          <w:rFonts w:ascii="Dax-Regular" w:hAnsi="Dax-Regular"/>
          <w:lang w:val="es-CO"/>
        </w:rPr>
        <w:t>número de elementos elementos cargados existe una discrepancia notable entre la altura de ambos arboles.</w:t>
      </w:r>
      <w:r w:rsidR="00245D92">
        <w:rPr>
          <w:rFonts w:ascii="Dax-Regular" w:hAnsi="Dax-Regular"/>
          <w:lang w:val="es-CO"/>
        </w:rPr>
        <w:t xml:space="preserve"> Mientras que el </w:t>
      </w:r>
      <w:r w:rsidR="00245D92">
        <w:rPr>
          <w:rFonts w:ascii="Dax-Regular" w:hAnsi="Dax-Regular"/>
          <w:i/>
          <w:iCs/>
          <w:lang w:val="es-CO"/>
        </w:rPr>
        <w:t xml:space="preserve">Binary Search Tree </w:t>
      </w:r>
      <w:r w:rsidR="00245D92">
        <w:rPr>
          <w:rFonts w:ascii="Dax-Regular" w:hAnsi="Dax-Regular"/>
          <w:lang w:val="es-CO"/>
        </w:rPr>
        <w:t xml:space="preserve">tiene una altura de 29, el </w:t>
      </w:r>
      <w:r w:rsidR="00245D92">
        <w:rPr>
          <w:rFonts w:ascii="Dax-Regular" w:hAnsi="Dax-Regular"/>
          <w:i/>
          <w:iCs/>
          <w:lang w:val="es-CO"/>
        </w:rPr>
        <w:t xml:space="preserve">Red-Black Tree </w:t>
      </w:r>
      <w:r w:rsidR="00245D92">
        <w:rPr>
          <w:rFonts w:ascii="Dax-Regular" w:hAnsi="Dax-Regular"/>
          <w:lang w:val="es-CO"/>
        </w:rPr>
        <w:t>tiene una altura menor a la mitad de la anterior, teniendo una altura de tan solo 13 para 1177 fechas.</w:t>
      </w:r>
    </w:p>
    <w:p w14:paraId="45857CE4" w14:textId="77777777" w:rsidR="005B76ED" w:rsidRPr="00DF03E4" w:rsidRDefault="005B76ED" w:rsidP="005B76ED">
      <w:pPr>
        <w:spacing w:after="0"/>
        <w:jc w:val="center"/>
        <w:rPr>
          <w:rFonts w:ascii="Dax-Regular" w:hAnsi="Dax-Regular"/>
          <w:lang w:val="es-CO"/>
        </w:rPr>
      </w:pPr>
    </w:p>
    <w:p w14:paraId="35C1B94C" w14:textId="320E3953" w:rsidR="00DF03E4" w:rsidRPr="006E05B1" w:rsidRDefault="00DF03E4" w:rsidP="006E05B1">
      <w:pPr>
        <w:pStyle w:val="Prrafodelista"/>
        <w:numPr>
          <w:ilvl w:val="0"/>
          <w:numId w:val="12"/>
        </w:numPr>
        <w:spacing w:after="0"/>
        <w:jc w:val="both"/>
        <w:rPr>
          <w:rFonts w:ascii="Dax-Regular" w:hAnsi="Dax-Regular"/>
          <w:lang w:val="es-CO"/>
        </w:rPr>
      </w:pPr>
      <w:r w:rsidRPr="00DF03E4">
        <w:rPr>
          <w:rFonts w:ascii="Dax-Regular" w:hAnsi="Dax-Regular"/>
          <w:lang w:val="es-CO"/>
        </w:rPr>
        <w:t>¿Por qué pasa esto?</w:t>
      </w:r>
    </w:p>
    <w:p w14:paraId="0D367754" w14:textId="205B39A6" w:rsidR="00362EF9" w:rsidRDefault="00362EF9" w:rsidP="0063268C">
      <w:pPr>
        <w:pStyle w:val="Prrafodelista"/>
        <w:spacing w:after="0"/>
        <w:jc w:val="both"/>
        <w:rPr>
          <w:rFonts w:ascii="Dax-Regular" w:hAnsi="Dax-Regular"/>
          <w:lang w:val="es-CO"/>
        </w:rPr>
      </w:pPr>
    </w:p>
    <w:p w14:paraId="66BF68EC" w14:textId="0ABC7F09" w:rsidR="00362EF9" w:rsidRPr="00CA2FAB" w:rsidRDefault="00362EF9" w:rsidP="00362EF9">
      <w:pPr>
        <w:pStyle w:val="Prrafodelista"/>
        <w:spacing w:after="0"/>
        <w:ind w:left="360"/>
        <w:jc w:val="both"/>
        <w:rPr>
          <w:rFonts w:ascii="Dax-Regular" w:hAnsi="Dax-Regular"/>
          <w:lang w:val="es-CO"/>
        </w:rPr>
      </w:pPr>
      <w:r>
        <w:rPr>
          <w:rFonts w:ascii="Dax-Regular" w:hAnsi="Dax-Regular"/>
          <w:lang w:val="es-CO"/>
        </w:rPr>
        <w:t xml:space="preserve">Esto pasa debido a la forma en la que ambos tipos de arboles son construidos y a las reglas que se siguen en este proceso. En el caso del </w:t>
      </w:r>
      <w:r>
        <w:rPr>
          <w:rFonts w:ascii="Dax-Regular" w:hAnsi="Dax-Regular"/>
          <w:i/>
          <w:iCs/>
          <w:lang w:val="es-CO"/>
        </w:rPr>
        <w:t xml:space="preserve">Binary Search Tree </w:t>
      </w:r>
      <w:r>
        <w:rPr>
          <w:rFonts w:ascii="Dax-Regular" w:hAnsi="Dax-Regular"/>
          <w:lang w:val="es-CO"/>
        </w:rPr>
        <w:t xml:space="preserve">se parte de un nodo raíz (fecha del primer crimen en el catálogo) y </w:t>
      </w:r>
      <w:r w:rsidR="00116A66">
        <w:rPr>
          <w:rFonts w:ascii="Dax-Regular" w:hAnsi="Dax-Regular"/>
          <w:lang w:val="es-CO"/>
        </w:rPr>
        <w:t xml:space="preserve">se empiezan a comparar las fechas posteriores de forma que los elementos más grandes que el nodo anterior son ubicados a la derecha y los que tienen un valor menor son ubicados a la izquierda. De esta forma, es posible organizar el árbol de forma intuitiva puesto que para encontrar un elemento simplemente es necesario realizar comparaciones hasta llegar al elemento adecuado. Sin embargo, este método tiene un problema y es que su efectividad depende del orden de los datos que le son ingresados. Supongamos que se tiene una lista con N elementos organizados de menor a mayor, cuando esta lista sea convertida a un </w:t>
      </w:r>
      <w:r w:rsidR="00116A66">
        <w:rPr>
          <w:rFonts w:ascii="Dax-Regular" w:hAnsi="Dax-Regular"/>
          <w:i/>
          <w:iCs/>
          <w:lang w:val="es-CO"/>
        </w:rPr>
        <w:t xml:space="preserve">Binary Search Tree </w:t>
      </w:r>
      <w:r w:rsidR="00116A66">
        <w:rPr>
          <w:rFonts w:ascii="Dax-Regular" w:hAnsi="Dax-Regular"/>
          <w:lang w:val="es-CO"/>
        </w:rPr>
        <w:t xml:space="preserve">todos los </w:t>
      </w:r>
      <w:r w:rsidR="00116A66">
        <w:rPr>
          <w:rFonts w:ascii="Dax-Regular" w:hAnsi="Dax-Regular"/>
          <w:lang w:val="es-CO"/>
        </w:rPr>
        <w:lastRenderedPageBreak/>
        <w:t>elementos serán posicionados a la derecha del elemento anterior sin excepción, por lo que el elemento final se encontrará en una altura de N</w:t>
      </w:r>
      <w:r w:rsidR="00116A66">
        <w:rPr>
          <w:rFonts w:ascii="Dax-Regular" w:hAnsi="Dax-Regular"/>
          <w:i/>
          <w:iCs/>
          <w:lang w:val="es-CO"/>
        </w:rPr>
        <w:t xml:space="preserve">. </w:t>
      </w:r>
      <w:r w:rsidR="00116A66">
        <w:rPr>
          <w:rFonts w:ascii="Dax-Regular" w:hAnsi="Dax-Regular"/>
          <w:lang w:val="es-CO"/>
        </w:rPr>
        <w:t>Debido a esto</w:t>
      </w:r>
      <w:r w:rsidR="00F50492">
        <w:rPr>
          <w:rFonts w:ascii="Dax-Regular" w:hAnsi="Dax-Regular"/>
          <w:lang w:val="es-CO"/>
        </w:rPr>
        <w:t xml:space="preserve">, </w:t>
      </w:r>
      <w:r w:rsidR="00116A66">
        <w:rPr>
          <w:rFonts w:ascii="Dax-Regular" w:hAnsi="Dax-Regular"/>
          <w:lang w:val="es-CO"/>
        </w:rPr>
        <w:t xml:space="preserve">los </w:t>
      </w:r>
      <w:r w:rsidR="00116A66">
        <w:rPr>
          <w:rFonts w:ascii="Dax-Regular" w:hAnsi="Dax-Regular"/>
          <w:i/>
          <w:iCs/>
          <w:lang w:val="es-CO"/>
        </w:rPr>
        <w:t xml:space="preserve">Binary Search Tree </w:t>
      </w:r>
      <w:r w:rsidR="00116A66">
        <w:rPr>
          <w:rFonts w:ascii="Dax-Regular" w:hAnsi="Dax-Regular"/>
          <w:lang w:val="es-CO"/>
        </w:rPr>
        <w:t xml:space="preserve">no aseguran la creación de un árbol balanceado por lo que la organización de la información seguirá sin ser la </w:t>
      </w:r>
      <w:r w:rsidR="00F50492">
        <w:rPr>
          <w:rFonts w:ascii="Dax-Regular" w:hAnsi="Dax-Regular"/>
          <w:lang w:val="es-CO"/>
        </w:rPr>
        <w:t>óptima</w:t>
      </w:r>
      <w:r w:rsidR="00116A66">
        <w:rPr>
          <w:rFonts w:ascii="Dax-Regular" w:hAnsi="Dax-Regular"/>
          <w:lang w:val="es-CO"/>
        </w:rPr>
        <w:t xml:space="preserve"> posible para este tipo de estructura de datos.</w:t>
      </w:r>
      <w:r w:rsidR="00F50492">
        <w:rPr>
          <w:rFonts w:ascii="Dax-Regular" w:hAnsi="Dax-Regular"/>
          <w:lang w:val="es-CO"/>
        </w:rPr>
        <w:t xml:space="preserve"> Por otro lado, los </w:t>
      </w:r>
      <w:r w:rsidR="00F50492">
        <w:rPr>
          <w:rFonts w:ascii="Dax-Regular" w:hAnsi="Dax-Regular"/>
          <w:i/>
          <w:iCs/>
          <w:lang w:val="es-CO"/>
        </w:rPr>
        <w:t xml:space="preserve">Red-Black Trees </w:t>
      </w:r>
      <w:r w:rsidR="00F50492">
        <w:rPr>
          <w:rFonts w:ascii="Dax-Regular" w:hAnsi="Dax-Regular"/>
          <w:lang w:val="es-CO"/>
        </w:rPr>
        <w:t xml:space="preserve">cuentan con una serie de reglas especiales (además de la de añadir elementos mayores a la derecha y menores a la izquierda) que actualizan la estructura del árbol siempre que se añade un nuevo elemento. Estas reglas y el balanceo constante efectuado </w:t>
      </w:r>
      <w:r w:rsidR="00CA2FAB">
        <w:rPr>
          <w:rFonts w:ascii="Dax-Regular" w:hAnsi="Dax-Regular"/>
          <w:lang w:val="es-CO"/>
        </w:rPr>
        <w:t>hacen</w:t>
      </w:r>
      <w:r w:rsidR="00F50492">
        <w:rPr>
          <w:rFonts w:ascii="Dax-Regular" w:hAnsi="Dax-Regular"/>
          <w:lang w:val="es-CO"/>
        </w:rPr>
        <w:t xml:space="preserve"> que la altura final del árbol siempre esté aproximada a </w:t>
      </w:r>
      <w:r w:rsidR="00F50492" w:rsidRPr="00F50492">
        <w:rPr>
          <w:rFonts w:ascii="Dax-Regular" w:hAnsi="Dax-Regular"/>
          <w:b/>
          <w:bCs/>
          <w:lang w:val="es-CO"/>
        </w:rPr>
        <w:t>log</w:t>
      </w:r>
      <w:r w:rsidR="00F50492" w:rsidRPr="00F50492">
        <w:rPr>
          <w:rFonts w:ascii="Dax-Regular" w:hAnsi="Dax-Regular"/>
          <w:b/>
          <w:bCs/>
          <w:vertAlign w:val="subscript"/>
          <w:lang w:val="es-CO"/>
        </w:rPr>
        <w:t xml:space="preserve">2 </w:t>
      </w:r>
      <w:r w:rsidR="00F50492" w:rsidRPr="00F50492">
        <w:rPr>
          <w:rFonts w:ascii="Dax-Regular" w:hAnsi="Dax-Regular"/>
          <w:b/>
          <w:bCs/>
          <w:lang w:val="es-CO"/>
        </w:rPr>
        <w:t>N</w:t>
      </w:r>
      <w:r w:rsidR="00F50492">
        <w:rPr>
          <w:rFonts w:ascii="Dax-Regular" w:hAnsi="Dax-Regular"/>
          <w:b/>
          <w:bCs/>
          <w:lang w:val="es-CO"/>
        </w:rPr>
        <w:t xml:space="preserve"> </w:t>
      </w:r>
      <w:r w:rsidR="00F50492">
        <w:rPr>
          <w:rFonts w:ascii="Dax-Regular" w:hAnsi="Dax-Regular"/>
          <w:lang w:val="es-CO"/>
        </w:rPr>
        <w:t xml:space="preserve">y en ningún momento llegará a los límites de </w:t>
      </w:r>
      <w:r w:rsidR="00F50492">
        <w:rPr>
          <w:rFonts w:ascii="Dax-Regular" w:hAnsi="Dax-Regular"/>
          <w:b/>
          <w:bCs/>
          <w:lang w:val="es-CO"/>
        </w:rPr>
        <w:t>N.</w:t>
      </w:r>
      <w:r w:rsidR="00F50492">
        <w:rPr>
          <w:rFonts w:ascii="Dax-Regular" w:hAnsi="Dax-Regular"/>
          <w:lang w:val="es-CO"/>
        </w:rPr>
        <w:t xml:space="preserve"> </w:t>
      </w:r>
      <w:r w:rsidR="00CA2FAB">
        <w:rPr>
          <w:rFonts w:ascii="Dax-Regular" w:hAnsi="Dax-Regular"/>
          <w:lang w:val="es-CO"/>
        </w:rPr>
        <w:t xml:space="preserve">En este caso particular es posible evidenciar esa diferencia puesto que </w:t>
      </w:r>
      <w:r w:rsidR="00CA2FAB" w:rsidRPr="00F50492">
        <w:rPr>
          <w:rFonts w:ascii="Dax-Regular" w:hAnsi="Dax-Regular"/>
          <w:b/>
          <w:bCs/>
          <w:lang w:val="es-CO"/>
        </w:rPr>
        <w:t>log</w:t>
      </w:r>
      <w:r w:rsidR="00CA2FAB" w:rsidRPr="00F50492">
        <w:rPr>
          <w:rFonts w:ascii="Dax-Regular" w:hAnsi="Dax-Regular"/>
          <w:b/>
          <w:bCs/>
          <w:vertAlign w:val="subscript"/>
          <w:lang w:val="es-CO"/>
        </w:rPr>
        <w:t xml:space="preserve">2 </w:t>
      </w:r>
      <w:r w:rsidR="00CA2FAB">
        <w:rPr>
          <w:rFonts w:ascii="Dax-Regular" w:hAnsi="Dax-Regular"/>
          <w:b/>
          <w:bCs/>
          <w:lang w:val="es-CO"/>
        </w:rPr>
        <w:t xml:space="preserve">1177 = 10.20 </w:t>
      </w:r>
      <w:r w:rsidR="00CA2FAB">
        <w:rPr>
          <w:rFonts w:ascii="Dax-Regular" w:hAnsi="Dax-Regular"/>
          <w:lang w:val="es-CO"/>
        </w:rPr>
        <w:t xml:space="preserve">y la altura final de </w:t>
      </w:r>
      <w:r w:rsidR="00CA2FAB">
        <w:rPr>
          <w:rFonts w:ascii="Dax-Regular" w:hAnsi="Dax-Regular"/>
          <w:b/>
          <w:bCs/>
          <w:lang w:val="es-CO"/>
        </w:rPr>
        <w:t>13</w:t>
      </w:r>
      <w:r w:rsidR="00CA2FAB">
        <w:rPr>
          <w:rFonts w:ascii="Dax-Regular" w:hAnsi="Dax-Regular"/>
          <w:lang w:val="es-CO"/>
        </w:rPr>
        <w:t xml:space="preserve"> es bastante cercana a este valor específico.</w:t>
      </w:r>
    </w:p>
    <w:p w14:paraId="20E8DC61" w14:textId="77777777" w:rsidR="00362EF9" w:rsidRPr="0063268C" w:rsidRDefault="00362EF9" w:rsidP="0063268C">
      <w:pPr>
        <w:pStyle w:val="Prrafodelista"/>
        <w:spacing w:after="0"/>
        <w:jc w:val="both"/>
        <w:rPr>
          <w:rFonts w:ascii="Dax-Regular" w:hAnsi="Dax-Regular"/>
          <w:lang w:val="es-CO"/>
        </w:rPr>
      </w:pPr>
    </w:p>
    <w:sectPr w:rsidR="00362EF9"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16A66"/>
    <w:rsid w:val="0013546A"/>
    <w:rsid w:val="00195AD3"/>
    <w:rsid w:val="00236F3A"/>
    <w:rsid w:val="00245D92"/>
    <w:rsid w:val="0031411C"/>
    <w:rsid w:val="003469C3"/>
    <w:rsid w:val="00362EF9"/>
    <w:rsid w:val="003B5453"/>
    <w:rsid w:val="003B6C26"/>
    <w:rsid w:val="003C0715"/>
    <w:rsid w:val="0043769A"/>
    <w:rsid w:val="004667C5"/>
    <w:rsid w:val="004F2388"/>
    <w:rsid w:val="00551CDF"/>
    <w:rsid w:val="00567F1D"/>
    <w:rsid w:val="005B76ED"/>
    <w:rsid w:val="00631E66"/>
    <w:rsid w:val="0063268C"/>
    <w:rsid w:val="00642A5E"/>
    <w:rsid w:val="00667C88"/>
    <w:rsid w:val="006B4BA3"/>
    <w:rsid w:val="006E05B1"/>
    <w:rsid w:val="006F2592"/>
    <w:rsid w:val="00783B87"/>
    <w:rsid w:val="00787C53"/>
    <w:rsid w:val="00806FA9"/>
    <w:rsid w:val="0084474C"/>
    <w:rsid w:val="008516F2"/>
    <w:rsid w:val="008B7948"/>
    <w:rsid w:val="009F4247"/>
    <w:rsid w:val="00A341C3"/>
    <w:rsid w:val="00A442AC"/>
    <w:rsid w:val="00A65D8D"/>
    <w:rsid w:val="00A74C44"/>
    <w:rsid w:val="00AA39E8"/>
    <w:rsid w:val="00B72D08"/>
    <w:rsid w:val="00BA3B38"/>
    <w:rsid w:val="00BE5A08"/>
    <w:rsid w:val="00C43CE6"/>
    <w:rsid w:val="00CA2FAB"/>
    <w:rsid w:val="00D36265"/>
    <w:rsid w:val="00D85575"/>
    <w:rsid w:val="00DF03E4"/>
    <w:rsid w:val="00E37A60"/>
    <w:rsid w:val="00E50E9B"/>
    <w:rsid w:val="00EE4322"/>
    <w:rsid w:val="00F50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388</Words>
  <Characters>2139</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Ortega Romero</cp:lastModifiedBy>
  <cp:revision>49</cp:revision>
  <dcterms:created xsi:type="dcterms:W3CDTF">2021-02-10T17:06:00Z</dcterms:created>
  <dcterms:modified xsi:type="dcterms:W3CDTF">2021-04-18T18:25:00Z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