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FF7C149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proofErr w:type="spellStart"/>
      <w:r w:rsidRPr="00CB67FB">
        <w:rPr>
          <w:noProof w:val="0"/>
          <w:lang w:val="es-CO"/>
        </w:rPr>
        <w:t>Andres</w:t>
      </w:r>
      <w:proofErr w:type="spellEnd"/>
      <w:r w:rsidRPr="00CB67FB">
        <w:rPr>
          <w:noProof w:val="0"/>
          <w:lang w:val="es-CO"/>
        </w:rPr>
        <w:t xml:space="preserve"> Fernando Galvis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201632930</w:t>
      </w:r>
    </w:p>
    <w:p w14:paraId="673598DC" w14:textId="03E088E5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r w:rsidRPr="00CB67FB">
        <w:rPr>
          <w:noProof w:val="0"/>
          <w:lang w:val="es-CO"/>
        </w:rPr>
        <w:t>Alejandro Palomino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201913699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CB67FB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0987527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2600x</w:t>
            </w:r>
          </w:p>
        </w:tc>
        <w:tc>
          <w:tcPr>
            <w:tcW w:w="1681" w:type="pct"/>
          </w:tcPr>
          <w:p w14:paraId="6569E4DE" w14:textId="552FBCB4" w:rsidR="00CB67FB" w:rsidRPr="00CB67FB" w:rsidRDefault="00CF6ECE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 Core i5-10400F</w:t>
            </w:r>
          </w:p>
        </w:tc>
      </w:tr>
      <w:tr w:rsidR="00CB67FB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58B13AB6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16GB </w:t>
            </w:r>
          </w:p>
        </w:tc>
        <w:tc>
          <w:tcPr>
            <w:tcW w:w="1681" w:type="pct"/>
          </w:tcPr>
          <w:p w14:paraId="54410077" w14:textId="1DB5F312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C02D1"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CB67FB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6E605CC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bits</w:t>
            </w:r>
          </w:p>
        </w:tc>
        <w:tc>
          <w:tcPr>
            <w:tcW w:w="1681" w:type="pct"/>
          </w:tcPr>
          <w:p w14:paraId="3ADBABA2" w14:textId="29F5D72E" w:rsidR="00CB67FB" w:rsidRPr="00787C53" w:rsidRDefault="00CF6ECE" w:rsidP="00CB67F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Home Single 64 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Factor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2F6D9760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73EEF100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107.385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1DF9BC6F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E1FE662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61.412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1B6DD3B4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5D34D95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72.145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Factor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117ED28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0983306F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64.050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0040F29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8BB190B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89.897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0DFD558D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7F0CD698" w:rsidR="0043769A" w:rsidRPr="0043769A" w:rsidRDefault="00FF3A8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F3A87">
              <w:rPr>
                <w:rFonts w:ascii="Calibri" w:eastAsia="Times New Roman" w:hAnsi="Calibri" w:cs="Calibri"/>
                <w:noProof w:val="0"/>
                <w:color w:val="000000"/>
              </w:rPr>
              <w:t>74.868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BF17C31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A360DE9" w14:textId="7A454B18" w:rsidR="000434B4" w:rsidRPr="000434B4" w:rsidRDefault="000434B4" w:rsidP="000434B4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4F5EC856" wp14:editId="49BFF4D3">
            <wp:extent cx="5943600" cy="387921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Factor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Carga</w:t>
            </w:r>
            <w:proofErr w:type="spellEnd"/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77A887F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3DFA71B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49.668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1CE5F681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4280BCE5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52.828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3D2E7327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4093.372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24AE0D8" w:rsidR="000B34DE" w:rsidRPr="000B34DE" w:rsidRDefault="00A0768C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51.213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Factor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9B7C5F8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E911128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52.030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084C1A31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14588A9B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50.847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35B4904E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4108.782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19D9D115" w:rsidR="0043769A" w:rsidRPr="0043769A" w:rsidRDefault="00A0768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0768C">
              <w:rPr>
                <w:rFonts w:ascii="Calibri" w:eastAsia="Times New Roman" w:hAnsi="Calibri" w:cs="Calibri"/>
                <w:noProof w:val="0"/>
                <w:color w:val="000000"/>
              </w:rPr>
              <w:t>50.936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5CF329B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8D55B5F" w14:textId="4380C5EA" w:rsidR="000434B4" w:rsidRPr="000434B4" w:rsidRDefault="000434B4" w:rsidP="000434B4">
      <w:pPr>
        <w:spacing w:after="0"/>
        <w:ind w:left="36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3E3583F1" wp14:editId="7A4D95B5">
            <wp:extent cx="5943600" cy="3879215"/>
            <wp:effectExtent l="0" t="0" r="0" b="698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E1BE8F4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2308002" w14:textId="2F1DACC1" w:rsidR="006C3A84" w:rsidRDefault="006C3A84" w:rsidP="006C3A84">
      <w:pPr>
        <w:pStyle w:val="Prrafodelista"/>
        <w:spacing w:after="0"/>
        <w:jc w:val="both"/>
        <w:rPr>
          <w:lang w:val="es-419"/>
        </w:rPr>
      </w:pPr>
      <w:proofErr w:type="spellStart"/>
      <w:r w:rsidRPr="00CB67FB">
        <w:rPr>
          <w:lang w:val="es-419"/>
        </w:rPr>
        <w:t>Por que</w:t>
      </w:r>
      <w:proofErr w:type="spellEnd"/>
      <w:r w:rsidRPr="00CB67FB">
        <w:rPr>
          <w:lang w:val="es-419"/>
        </w:rPr>
        <w:t xml:space="preserve"> la </w:t>
      </w:r>
      <w:proofErr w:type="spellStart"/>
      <w:r w:rsidRPr="00CB67FB">
        <w:rPr>
          <w:rFonts w:hint="eastAsia"/>
          <w:lang w:val="es-419"/>
        </w:rPr>
        <w:t>Perf_</w:t>
      </w:r>
      <w:proofErr w:type="gramStart"/>
      <w:r w:rsidRPr="00CB67FB">
        <w:rPr>
          <w:rFonts w:hint="eastAsia"/>
          <w:lang w:val="es-419"/>
        </w:rPr>
        <w:t>counter</w:t>
      </w:r>
      <w:proofErr w:type="spellEnd"/>
      <w:r w:rsidRPr="00CB67FB">
        <w:rPr>
          <w:rFonts w:hint="eastAsia"/>
          <w:lang w:val="es-419"/>
        </w:rPr>
        <w:t>(</w:t>
      </w:r>
      <w:proofErr w:type="gramEnd"/>
      <w:r w:rsidRPr="00CB67FB">
        <w:rPr>
          <w:rFonts w:hint="eastAsia"/>
          <w:lang w:val="es-419"/>
        </w:rPr>
        <w:t xml:space="preserve">) </w:t>
      </w:r>
      <w:r w:rsidR="00CB67FB" w:rsidRPr="00CB67FB">
        <w:rPr>
          <w:lang w:val="es-419"/>
        </w:rPr>
        <w:t xml:space="preserve">toma en cuenta todo </w:t>
      </w:r>
      <w:r w:rsidR="00CB67FB">
        <w:rPr>
          <w:lang w:val="es-419"/>
        </w:rPr>
        <w:t xml:space="preserve">el tiempo de ejecución </w:t>
      </w:r>
      <w:proofErr w:type="spellStart"/>
      <w:r w:rsidRPr="00CB67FB">
        <w:rPr>
          <w:rFonts w:hint="eastAsia"/>
          <w:lang w:val="es-CO"/>
        </w:rPr>
        <w:t>Process_counter</w:t>
      </w:r>
      <w:proofErr w:type="spellEnd"/>
      <w:r w:rsidRPr="00CB67FB">
        <w:rPr>
          <w:rFonts w:hint="eastAsia"/>
          <w:lang w:val="es-CO"/>
        </w:rPr>
        <w:t xml:space="preserve">() </w:t>
      </w:r>
      <w:r w:rsidR="00CB67FB">
        <w:rPr>
          <w:lang w:val="es-CO"/>
        </w:rPr>
        <w:t>solamente tiene en cuenta el tiempo que este corriendo el programa.</w:t>
      </w:r>
    </w:p>
    <w:p w14:paraId="207931B2" w14:textId="77777777" w:rsidR="00CF6ECE" w:rsidRPr="00CB67FB" w:rsidRDefault="00CF6ECE" w:rsidP="006C3A84">
      <w:pPr>
        <w:pStyle w:val="Prrafodelista"/>
        <w:spacing w:after="0"/>
        <w:jc w:val="both"/>
        <w:rPr>
          <w:lang w:val="es-CO"/>
        </w:rPr>
      </w:pPr>
    </w:p>
    <w:p w14:paraId="1E31E3DC" w14:textId="234B808C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7D0854BF" w:rsidR="008B7948" w:rsidRDefault="006C3A84" w:rsidP="00CB67FB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Para tomar las dos muestras de memoria de una cuando se inicia la función </w:t>
      </w:r>
      <w:proofErr w:type="spellStart"/>
      <w:proofErr w:type="gramStart"/>
      <w:r>
        <w:rPr>
          <w:lang w:val="es-419"/>
        </w:rPr>
        <w:t>start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>) y la otra cuando se i</w:t>
      </w:r>
      <w:r w:rsidR="00CF6ECE">
        <w:rPr>
          <w:lang w:val="es-419"/>
        </w:rPr>
        <w:t>ni</w:t>
      </w:r>
      <w:r>
        <w:rPr>
          <w:lang w:val="es-419"/>
        </w:rPr>
        <w:t xml:space="preserve">cia la función stop(). De ahí en </w:t>
      </w:r>
      <w:proofErr w:type="spellStart"/>
      <w:r w:rsidRPr="00CF6ECE">
        <w:rPr>
          <w:b/>
          <w:bCs/>
          <w:lang w:val="es-419"/>
        </w:rPr>
        <w:t>deltamemory</w:t>
      </w:r>
      <w:proofErr w:type="spellEnd"/>
      <w:r>
        <w:rPr>
          <w:lang w:val="es-419"/>
        </w:rPr>
        <w:t xml:space="preserve"> se comparan las dos muestras y se obtiene la memoria utilizada en el proceso</w:t>
      </w:r>
    </w:p>
    <w:p w14:paraId="562B487C" w14:textId="77777777" w:rsidR="00CB67FB" w:rsidRPr="00CB67FB" w:rsidRDefault="00CB67FB" w:rsidP="00CB67FB">
      <w:pPr>
        <w:pStyle w:val="Prrafodelista"/>
        <w:spacing w:after="0"/>
        <w:jc w:val="both"/>
        <w:rPr>
          <w:lang w:val="es-419"/>
        </w:rPr>
      </w:pPr>
    </w:p>
    <w:p w14:paraId="30592AB6" w14:textId="613386A6" w:rsidR="008B7948" w:rsidRPr="008E5000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10C17C87" w14:textId="32AB3243" w:rsidR="008E5000" w:rsidRPr="008B7948" w:rsidRDefault="008E5000" w:rsidP="008E5000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El tiempo de ejecución debería aumentar con el aumento del factor de carga. Sin embargo, debido a la cercanía de nuestros datos, no podemos dar una conclusión final que pruebe este comportamiento.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7021A880" w14:textId="37B0A320" w:rsidR="00A0768C" w:rsidRPr="00A0768C" w:rsidRDefault="008B7948" w:rsidP="00A0768C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E6EC7B6" w14:textId="5A8CA8C5" w:rsidR="00A0768C" w:rsidRPr="00A0768C" w:rsidRDefault="00A0768C" w:rsidP="00A0768C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En teoría el consumo de memoria debería </w:t>
      </w:r>
      <w:r w:rsidR="008E5000">
        <w:rPr>
          <w:lang w:val="es-419"/>
        </w:rPr>
        <w:t>disminuir con el aumento del factor de carga</w:t>
      </w:r>
      <w:r>
        <w:rPr>
          <w:lang w:val="es-419"/>
        </w:rPr>
        <w:t>. Sin embargo, en nuestro laboratorio, ya que los datos del catálogo de categorías son pequeños, esta memoria se mantiene constante.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774294D5" w:rsidR="008B7948" w:rsidRPr="00535062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5054A551" w14:textId="3A29BA1E" w:rsidR="00535062" w:rsidRPr="008B7948" w:rsidRDefault="00535062" w:rsidP="00535062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 xml:space="preserve">No existe una diferencia sustancial en los tiempos de ejecución de los dos esquemas, </w:t>
      </w:r>
      <w:r w:rsidR="007F2376">
        <w:rPr>
          <w:rFonts w:ascii="Dax-Regular" w:hAnsi="Dax-Regular"/>
          <w:lang w:val="es-419"/>
        </w:rPr>
        <w:t xml:space="preserve">ya que no es necesario hacer </w:t>
      </w:r>
      <w:proofErr w:type="spellStart"/>
      <w:r w:rsidR="007F2376">
        <w:rPr>
          <w:rFonts w:ascii="Dax-Regular" w:hAnsi="Dax-Regular"/>
          <w:lang w:val="es-419"/>
        </w:rPr>
        <w:t>rehash</w:t>
      </w:r>
      <w:proofErr w:type="spellEnd"/>
      <w:r w:rsidR="007F2376">
        <w:rPr>
          <w:rFonts w:ascii="Dax-Regular" w:hAnsi="Dax-Regular"/>
          <w:lang w:val="es-419"/>
        </w:rPr>
        <w:t xml:space="preserve"> por que ya se conoce el numero de elementos que se van a cargar previamente. 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</w:t>
      </w:r>
      <w:bookmarkStart w:id="3" w:name="_GoBack"/>
      <w:bookmarkEnd w:id="3"/>
      <w:r w:rsidRPr="008B7948">
        <w:rPr>
          <w:rFonts w:ascii="Dax-Regular" w:hAnsi="Dax-Regular"/>
          <w:b/>
          <w:bCs/>
          <w:lang w:val="es-419"/>
        </w:rPr>
        <w:t>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511A23EA" w:rsidR="008B7948" w:rsidRPr="008B7948" w:rsidRDefault="00535062" w:rsidP="008B7948">
      <w:pPr>
        <w:pStyle w:val="Prrafodelista"/>
        <w:rPr>
          <w:lang w:val="es-419"/>
        </w:rPr>
      </w:pPr>
      <w:r>
        <w:rPr>
          <w:lang w:val="es-419"/>
        </w:rPr>
        <w:t xml:space="preserve">Al modificar el sistema de colisiones, se ve una leve diferencia en cuanto al consumo de memoria, el catalogo cargado por medio de </w:t>
      </w:r>
      <w:proofErr w:type="spellStart"/>
      <w:r>
        <w:rPr>
          <w:lang w:val="es-419"/>
        </w:rPr>
        <w:t>separate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chaining</w:t>
      </w:r>
      <w:proofErr w:type="spellEnd"/>
      <w:r>
        <w:rPr>
          <w:lang w:val="es-419"/>
        </w:rPr>
        <w:t xml:space="preserve"> consume una ligera cantidad mayor de datos</w:t>
      </w:r>
      <w:r w:rsidR="0031356C">
        <w:rPr>
          <w:lang w:val="es-419"/>
        </w:rPr>
        <w:t xml:space="preserve">, esto podría ser atribuido a que en </w:t>
      </w:r>
      <w:proofErr w:type="spellStart"/>
      <w:r w:rsidR="0031356C">
        <w:rPr>
          <w:lang w:val="es-419"/>
        </w:rPr>
        <w:t>separate</w:t>
      </w:r>
      <w:proofErr w:type="spellEnd"/>
      <w:r w:rsidR="0031356C">
        <w:rPr>
          <w:lang w:val="es-419"/>
        </w:rPr>
        <w:t xml:space="preserve"> </w:t>
      </w:r>
      <w:proofErr w:type="spellStart"/>
      <w:r w:rsidR="0031356C">
        <w:rPr>
          <w:lang w:val="es-419"/>
        </w:rPr>
        <w:t>chaining</w:t>
      </w:r>
      <w:proofErr w:type="spellEnd"/>
      <w:r w:rsidR="0031356C">
        <w:rPr>
          <w:lang w:val="es-419"/>
        </w:rPr>
        <w:t xml:space="preserve"> siempre se hacen </w:t>
      </w:r>
      <w:proofErr w:type="spellStart"/>
      <w:r w:rsidR="0031356C">
        <w:rPr>
          <w:lang w:val="es-419"/>
        </w:rPr>
        <w:t>buckets</w:t>
      </w:r>
      <w:proofErr w:type="spellEnd"/>
      <w:r w:rsidR="0031356C">
        <w:rPr>
          <w:lang w:val="es-419"/>
        </w:rPr>
        <w:t xml:space="preserve"> así queden </w:t>
      </w:r>
      <w:proofErr w:type="spellStart"/>
      <w:r w:rsidR="0031356C">
        <w:rPr>
          <w:lang w:val="es-419"/>
        </w:rPr>
        <w:t>vacios</w:t>
      </w:r>
      <w:proofErr w:type="spellEnd"/>
      <w:r>
        <w:rPr>
          <w:lang w:val="es-419"/>
        </w:rPr>
        <w:t xml:space="preserve"> </w:t>
      </w:r>
      <w:r w:rsidR="0031356C">
        <w:rPr>
          <w:lang w:val="es-419"/>
        </w:rPr>
        <w:t xml:space="preserve">lo cual ocupa mas espacio de memoria tenerlos </w:t>
      </w:r>
      <w:proofErr w:type="spellStart"/>
      <w:r w:rsidR="0031356C">
        <w:rPr>
          <w:lang w:val="es-419"/>
        </w:rPr>
        <w:t>asi</w:t>
      </w:r>
      <w:proofErr w:type="spellEnd"/>
      <w:r w:rsidR="0031356C">
        <w:rPr>
          <w:lang w:val="es-419"/>
        </w:rPr>
        <w:t xml:space="preserve"> no se </w:t>
      </w:r>
      <w:proofErr w:type="spellStart"/>
      <w:r w:rsidR="0031356C">
        <w:rPr>
          <w:lang w:val="es-419"/>
        </w:rPr>
        <w:t>esten</w:t>
      </w:r>
      <w:proofErr w:type="spellEnd"/>
      <w:r w:rsidR="0031356C">
        <w:rPr>
          <w:lang w:val="es-419"/>
        </w:rPr>
        <w:t xml:space="preserve"> usando.</w:t>
      </w: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34B4"/>
    <w:rsid w:val="00076EA8"/>
    <w:rsid w:val="00091AF9"/>
    <w:rsid w:val="000B34DE"/>
    <w:rsid w:val="0013546A"/>
    <w:rsid w:val="00195AD3"/>
    <w:rsid w:val="00236F3A"/>
    <w:rsid w:val="0031356C"/>
    <w:rsid w:val="003469C3"/>
    <w:rsid w:val="003B5453"/>
    <w:rsid w:val="003B6C26"/>
    <w:rsid w:val="003C0715"/>
    <w:rsid w:val="0043769A"/>
    <w:rsid w:val="004F2388"/>
    <w:rsid w:val="00535062"/>
    <w:rsid w:val="00567F1D"/>
    <w:rsid w:val="00631E66"/>
    <w:rsid w:val="00642A5E"/>
    <w:rsid w:val="00667C88"/>
    <w:rsid w:val="006B4BA3"/>
    <w:rsid w:val="006C3A84"/>
    <w:rsid w:val="006F2592"/>
    <w:rsid w:val="00783B87"/>
    <w:rsid w:val="00787C53"/>
    <w:rsid w:val="007F2376"/>
    <w:rsid w:val="00806FA9"/>
    <w:rsid w:val="008516F2"/>
    <w:rsid w:val="008B7948"/>
    <w:rsid w:val="008E5000"/>
    <w:rsid w:val="009F4247"/>
    <w:rsid w:val="00A0768C"/>
    <w:rsid w:val="00A341C3"/>
    <w:rsid w:val="00A442AC"/>
    <w:rsid w:val="00A74C44"/>
    <w:rsid w:val="00AA39E8"/>
    <w:rsid w:val="00B72D08"/>
    <w:rsid w:val="00BA3B38"/>
    <w:rsid w:val="00BE5A08"/>
    <w:rsid w:val="00CB67FB"/>
    <w:rsid w:val="00CF6ECE"/>
    <w:rsid w:val="00D36265"/>
    <w:rsid w:val="00D85575"/>
    <w:rsid w:val="00E37A60"/>
    <w:rsid w:val="00E50E9B"/>
    <w:rsid w:val="00EE4322"/>
    <w:rsid w:val="00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ndres%20Intersemestral%20202119\Estructuras%20de%20datos%20y%20algoritmos\Visual%20studio\LabCollision-S05-G02\Docs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Andres%20Intersemestral%20202119\Estructuras%20de%20datos%20y%20algoritmos\Visual%20studio\LabCollision-S05-G02\Docs\ISIS1225%20-%20Tablas%20de%20Datos%20Lab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4093</c:v>
                </c:pt>
                <c:pt idx="1">
                  <c:v>4093</c:v>
                </c:pt>
                <c:pt idx="2">
                  <c:v>4093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107000</c:v>
                </c:pt>
                <c:pt idx="1">
                  <c:v>61000</c:v>
                </c:pt>
                <c:pt idx="2">
                  <c:v>72000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22-423B-8636-FEA9D47DA84E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4093</c:v>
                </c:pt>
                <c:pt idx="1">
                  <c:v>4093</c:v>
                </c:pt>
                <c:pt idx="2">
                  <c:v>4093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64000</c:v>
                </c:pt>
                <c:pt idx="1">
                  <c:v>89000</c:v>
                </c:pt>
                <c:pt idx="2">
                  <c:v>89000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22-423B-8636-FEA9D47DA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4093</c:v>
                </c:pt>
                <c:pt idx="1">
                  <c:v>4093</c:v>
                </c:pt>
                <c:pt idx="2">
                  <c:v>4093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107000</c:v>
                </c:pt>
                <c:pt idx="1">
                  <c:v>61000</c:v>
                </c:pt>
                <c:pt idx="2">
                  <c:v>72000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AE-4841-8F40-8977457EBCA8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4093</c:v>
                </c:pt>
                <c:pt idx="1">
                  <c:v>4093</c:v>
                </c:pt>
                <c:pt idx="2">
                  <c:v>4093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64000</c:v>
                </c:pt>
                <c:pt idx="1">
                  <c:v>89000</c:v>
                </c:pt>
                <c:pt idx="2">
                  <c:v>89000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CAE-4841-8F40-8977457EBC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4</Pages>
  <Words>656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36</cp:revision>
  <dcterms:created xsi:type="dcterms:W3CDTF">2021-02-10T17:06:00Z</dcterms:created>
  <dcterms:modified xsi:type="dcterms:W3CDTF">2021-07-10T04:16:00Z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