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 xml:space="preserve">Observaciones del reto </w:t>
      </w:r>
      <w:r>
        <w:rPr>
          <w:b/>
          <w:color w:val="000000"/>
        </w:rPr>
        <w:t>4</w:t>
      </w:r>
    </w:p>
    <w:p w:rsidR="006B2381" w:rsidRDefault="006B2381" w:rsidP="006B2381">
      <w:pPr>
        <w:jc w:val="right"/>
      </w:pPr>
      <w:r>
        <w:t>Ernesto Perez – 202112530 – ec.perez@uniandes.edu.co</w:t>
      </w:r>
    </w:p>
    <w:p w:rsidR="006B2381" w:rsidRDefault="006B2381" w:rsidP="006B2381">
      <w:pPr>
        <w:jc w:val="right"/>
      </w:pPr>
      <w:r>
        <w:t xml:space="preserve">Nicolás Saavedra – 20212963 - </w:t>
      </w:r>
      <w:hyperlink r:id="rId4">
        <w:r>
          <w:rPr>
            <w:color w:val="0563C1"/>
            <w:u w:val="single"/>
          </w:rPr>
          <w:t>n.saavedrag@uniandes.edu.co</w:t>
        </w:r>
      </w:hyperlink>
    </w:p>
    <w:p w:rsidR="005256A2" w:rsidRPr="005256A2" w:rsidRDefault="005256A2" w:rsidP="006B2381">
      <w:pPr>
        <w:pStyle w:val="Ttulo1"/>
        <w:rPr>
          <w:color w:val="000000"/>
          <w:sz w:val="22"/>
        </w:rPr>
      </w:pPr>
      <w:hyperlink r:id="rId5" w:history="1">
        <w:r w:rsidRPr="005256A2">
          <w:rPr>
            <w:rStyle w:val="Hipervnculo"/>
            <w:sz w:val="22"/>
          </w:rPr>
          <w:t>https://github.com/EDA2021-2-SEC01-G07/Reto4--G07</w:t>
        </w:r>
      </w:hyperlink>
    </w:p>
    <w:p w:rsidR="005256A2" w:rsidRPr="005256A2" w:rsidRDefault="005256A2" w:rsidP="005256A2"/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>Análisis de complejidad</w:t>
      </w:r>
    </w:p>
    <w:p w:rsidR="006B2381" w:rsidRDefault="006B2381" w:rsidP="006B2381"/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>Pruebas de rendimiento</w:t>
      </w:r>
    </w:p>
    <w:p w:rsidR="006B2381" w:rsidRDefault="006B2381" w:rsidP="006B2381">
      <w:pPr>
        <w:rPr>
          <w:u w:val="single"/>
        </w:rPr>
      </w:pPr>
      <w:r>
        <w:rPr>
          <w:u w:val="single"/>
        </w:rPr>
        <w:t>Especificaciones de la máquina de prueba</w:t>
      </w:r>
    </w:p>
    <w:tbl>
      <w:tblPr>
        <w:tblW w:w="58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2940"/>
      </w:tblGrid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B2381" w:rsidRPr="001A72FA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Procesadores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Pr="001A72FA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AMD Ryzen 5 3600 6-Core Processor, 3593 </w:t>
            </w:r>
            <w:proofErr w:type="spellStart"/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>Mhz</w:t>
            </w:r>
            <w:proofErr w:type="spellEnd"/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>, 6 Core(s), 12 Logical Processor(s)</w:t>
            </w:r>
          </w:p>
        </w:tc>
      </w:tr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Memoria RAM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16GB</w:t>
            </w:r>
          </w:p>
        </w:tc>
      </w:tr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operativo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5256A2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Windows 11</w:t>
            </w:r>
            <w:r w:rsidR="006B23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B2381">
              <w:rPr>
                <w:rFonts w:ascii="Arial" w:eastAsia="Arial" w:hAnsi="Arial" w:cs="Arial"/>
                <w:sz w:val="20"/>
                <w:szCs w:val="20"/>
              </w:rPr>
              <w:t>pro</w:t>
            </w:r>
            <w:proofErr w:type="spellEnd"/>
            <w:r w:rsidR="006B2381">
              <w:rPr>
                <w:rFonts w:ascii="Arial" w:eastAsia="Arial" w:hAnsi="Arial" w:cs="Arial"/>
                <w:sz w:val="20"/>
                <w:szCs w:val="20"/>
              </w:rPr>
              <w:t xml:space="preserve"> 64-bits </w:t>
            </w:r>
          </w:p>
        </w:tc>
      </w:tr>
    </w:tbl>
    <w:p w:rsidR="006B2381" w:rsidRDefault="006B2381" w:rsidP="006B2381">
      <w:pPr>
        <w:rPr>
          <w:b/>
          <w:color w:val="000000"/>
          <w:sz w:val="24"/>
          <w:szCs w:val="24"/>
        </w:rPr>
      </w:pPr>
    </w:p>
    <w:p w:rsidR="006B2381" w:rsidRDefault="006B2381" w:rsidP="006B2381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Tiempo de ejecución promedio por requerimiento y crecimiento temporal</w:t>
      </w:r>
    </w:p>
    <w:tbl>
      <w:tblPr>
        <w:tblW w:w="815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52"/>
        <w:gridCol w:w="1200"/>
        <w:gridCol w:w="1200"/>
        <w:gridCol w:w="1200"/>
        <w:gridCol w:w="941"/>
        <w:gridCol w:w="1162"/>
        <w:gridCol w:w="1203"/>
      </w:tblGrid>
      <w:tr w:rsidR="006B2381" w:rsidTr="0016049B">
        <w:trPr>
          <w:trHeight w:val="60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90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Tiempo de ejecución para cada función [ms]</w:t>
            </w:r>
          </w:p>
        </w:tc>
      </w:tr>
      <w:tr w:rsidR="006B2381" w:rsidTr="0016049B">
        <w:trPr>
          <w:trHeight w:val="60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Porcentaje de datos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Cargar datos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Req2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Req3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Req4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Req5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5256A2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1109.38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15.63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line="240" w:lineRule="auto"/>
              <w:jc w:val="right"/>
              <w:rPr>
                <w:color w:val="000000"/>
              </w:rPr>
            </w:pPr>
            <w:r w:rsidRPr="005256A2">
              <w:rPr>
                <w:color w:val="000000"/>
              </w:rPr>
              <w:t>31.25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after="0" w:line="240" w:lineRule="auto"/>
              <w:jc w:val="right"/>
              <w:rPr>
                <w:color w:val="000000"/>
              </w:rPr>
            </w:pPr>
            <w:r w:rsidRPr="005256A2">
              <w:rPr>
                <w:color w:val="000000"/>
              </w:rPr>
              <w:t>203.1</w:t>
            </w: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39397E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1984.38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171.8</w:t>
            </w:r>
            <w:r>
              <w:rPr>
                <w:color w:val="000000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after="0"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1218.75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39397E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3515.63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78.1</w:t>
            </w: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359.3</w:t>
            </w:r>
            <w:r>
              <w:rPr>
                <w:color w:val="000000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3062.5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16049B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7953.13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 w:rsidRPr="0016049B">
              <w:rPr>
                <w:color w:val="000000"/>
              </w:rPr>
              <w:t>156.2</w:t>
            </w:r>
          </w:p>
        </w:tc>
        <w:tc>
          <w:tcPr>
            <w:tcW w:w="1200" w:type="dxa"/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812.5 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 w:rsidRPr="0016049B">
              <w:rPr>
                <w:color w:val="000000"/>
              </w:rPr>
              <w:t>5140.625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16049B" w:rsidP="0016049B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12031.25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187.5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1187.5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10953.13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</w:tbl>
    <w:p w:rsidR="006B2381" w:rsidRDefault="006B2381" w:rsidP="006B2381">
      <w:pPr>
        <w:rPr>
          <w:i/>
          <w:sz w:val="18"/>
          <w:szCs w:val="18"/>
        </w:rPr>
      </w:pPr>
      <w:r>
        <w:rPr>
          <w:i/>
          <w:sz w:val="18"/>
          <w:szCs w:val="18"/>
        </w:rPr>
        <w:t>En las funciones con entradas se usaron los mismos datos de entrada de los ejemplos.</w:t>
      </w:r>
    </w:p>
    <w:p w:rsidR="006B2381" w:rsidRDefault="006B2381" w:rsidP="006B2381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Graficas de tiempo de ejecución promedio por requerimiento y crecimiento temporal</w:t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56787A65" wp14:editId="776EFF46">
            <wp:extent cx="5172075" cy="3103245"/>
            <wp:effectExtent l="0" t="0" r="9525" b="19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799F" w:rsidRDefault="00B0799F" w:rsidP="00B0799F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r>
        <w:rPr>
          <w:color w:val="000000"/>
          <w:u w:val="single"/>
        </w:rPr>
        <w:t>O (n)</w:t>
      </w:r>
    </w:p>
    <w:p w:rsidR="00B0799F" w:rsidRDefault="00B0799F" w:rsidP="00B0799F">
      <w:pPr>
        <w:rPr>
          <w:color w:val="000000"/>
        </w:rPr>
      </w:pPr>
      <w:r>
        <w:rPr>
          <w:color w:val="000000"/>
        </w:rPr>
        <w:t>Para cargar los datos se debe recorrer ambos archivos y por cada avistamiento meterlo a su respecto índice pero nunca se recorrer más de una vez el archivo.</w:t>
      </w:r>
    </w:p>
    <w:p w:rsidR="00B0799F" w:rsidRDefault="00B0799F" w:rsidP="006B2381">
      <w:pPr>
        <w:rPr>
          <w:b/>
          <w:color w:val="000000"/>
          <w:sz w:val="26"/>
          <w:szCs w:val="26"/>
        </w:rPr>
      </w:pP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4FAD63A" wp14:editId="2507BFFE">
            <wp:extent cx="5191125" cy="31146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799F" w:rsidRDefault="00B0799F" w:rsidP="00B0799F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r>
        <w:rPr>
          <w:color w:val="000000"/>
          <w:u w:val="single"/>
        </w:rPr>
        <w:t>O (</w:t>
      </w:r>
      <w:proofErr w:type="spellStart"/>
      <w:r>
        <w:rPr>
          <w:color w:val="000000"/>
          <w:u w:val="single"/>
        </w:rPr>
        <w:t>n</w:t>
      </w:r>
      <w:r>
        <w:rPr>
          <w:color w:val="000000"/>
          <w:u w:val="single"/>
        </w:rPr>
        <w:t>log</w:t>
      </w:r>
      <w:proofErr w:type="spellEnd"/>
      <w:r>
        <w:rPr>
          <w:color w:val="000000"/>
          <w:u w:val="single"/>
        </w:rPr>
        <w:t>(n)</w:t>
      </w:r>
      <w:r>
        <w:rPr>
          <w:color w:val="000000"/>
          <w:u w:val="single"/>
        </w:rPr>
        <w:t>)</w:t>
      </w:r>
    </w:p>
    <w:p w:rsidR="00B0799F" w:rsidRDefault="00B0799F" w:rsidP="00B0799F">
      <w:pPr>
        <w:rPr>
          <w:color w:val="000000"/>
        </w:rPr>
      </w:pPr>
      <w:r>
        <w:rPr>
          <w:color w:val="000000"/>
        </w:rPr>
        <w:t xml:space="preserve">Las operaciones con mayor complejidad del código son O(V) para sacar los vertices del grafo, O(V+E) para las operaciones </w:t>
      </w:r>
      <w:proofErr w:type="spellStart"/>
      <w:r>
        <w:rPr>
          <w:color w:val="000000"/>
        </w:rPr>
        <w:t>indegree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outdegree</w:t>
      </w:r>
      <w:proofErr w:type="spellEnd"/>
      <w:r>
        <w:rPr>
          <w:color w:val="000000"/>
        </w:rPr>
        <w:t xml:space="preserve"> y el merge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que se hace para obtener los </w:t>
      </w:r>
      <w:r>
        <w:rPr>
          <w:color w:val="000000"/>
        </w:rPr>
        <w:lastRenderedPageBreak/>
        <w:t xml:space="preserve">aeropuertos con mayor interconexión lo cual tiene una complejidad de O(n(log(n)) por lo que este toma prioridad al ser el de mayor complejidad, en este caso n corresponde a los vertices que tienen al menos una salida o entrada por lo que n es un valor muy cercano a V. </w:t>
      </w:r>
    </w:p>
    <w:p w:rsidR="00B0799F" w:rsidRDefault="00B0799F" w:rsidP="006B2381">
      <w:pPr>
        <w:rPr>
          <w:b/>
          <w:color w:val="000000"/>
          <w:sz w:val="26"/>
          <w:szCs w:val="26"/>
        </w:rPr>
      </w:pP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F279E22" wp14:editId="2B222DEF">
            <wp:extent cx="4505325" cy="2703195"/>
            <wp:effectExtent l="0" t="0" r="9525" b="19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799F" w:rsidRDefault="00B0799F" w:rsidP="00B0799F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proofErr w:type="gramStart"/>
      <w:r w:rsidRPr="00B0799F">
        <w:rPr>
          <w:color w:val="000000"/>
        </w:rPr>
        <w:t>O(</w:t>
      </w:r>
      <w:proofErr w:type="gramEnd"/>
      <w:r w:rsidRPr="00B0799F">
        <w:rPr>
          <w:color w:val="000000"/>
        </w:rPr>
        <w:t>1)</w:t>
      </w:r>
    </w:p>
    <w:p w:rsidR="00B0799F" w:rsidRDefault="00B0799F" w:rsidP="006B2381">
      <w:pPr>
        <w:rPr>
          <w:b/>
          <w:color w:val="000000"/>
          <w:sz w:val="26"/>
          <w:szCs w:val="26"/>
        </w:rPr>
      </w:pPr>
      <w:r w:rsidRPr="00B0799F">
        <w:rPr>
          <w:color w:val="000000"/>
        </w:rPr>
        <w:t xml:space="preserve">Durante la carga, hacemos el algoritmo de </w:t>
      </w:r>
      <w:proofErr w:type="spellStart"/>
      <w:r w:rsidRPr="00B0799F">
        <w:rPr>
          <w:color w:val="000000"/>
        </w:rPr>
        <w:t>Kosaraju</w:t>
      </w:r>
      <w:proofErr w:type="spellEnd"/>
      <w:r w:rsidRPr="00B0799F">
        <w:rPr>
          <w:color w:val="000000"/>
        </w:rPr>
        <w:t xml:space="preserve">, con complejidad O(k). Esto significa que al ejecutar el requerimiento 2, tenemos toda la información sobre los componentes fuertemente conectados y solamente se tiene que sacar un valor de un diccionario, lo cual es </w:t>
      </w:r>
      <w:proofErr w:type="gramStart"/>
      <w:r w:rsidRPr="00B0799F">
        <w:rPr>
          <w:color w:val="000000"/>
        </w:rPr>
        <w:t>O(</w:t>
      </w:r>
      <w:proofErr w:type="gramEnd"/>
      <w:r w:rsidRPr="00B0799F">
        <w:rPr>
          <w:color w:val="000000"/>
        </w:rPr>
        <w:t>1) por definición.</w:t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950A397" wp14:editId="79FA1E9E">
            <wp:extent cx="4505325" cy="2703195"/>
            <wp:effectExtent l="0" t="0" r="9525" b="190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E3783" w:rsidRDefault="00FE3783" w:rsidP="00FE3783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r w:rsidRPr="00FE3783">
        <w:rPr>
          <w:color w:val="000000"/>
        </w:rPr>
        <w:t>O</w:t>
      </w:r>
      <w:r>
        <w:rPr>
          <w:color w:val="000000"/>
        </w:rPr>
        <w:t xml:space="preserve"> </w:t>
      </w:r>
      <w:r w:rsidRPr="00FE3783">
        <w:rPr>
          <w:color w:val="000000"/>
        </w:rPr>
        <w:t xml:space="preserve">(E + log(V)) (E: </w:t>
      </w:r>
      <w:proofErr w:type="spellStart"/>
      <w:r w:rsidRPr="00FE3783">
        <w:rPr>
          <w:color w:val="000000"/>
        </w:rPr>
        <w:t>edges</w:t>
      </w:r>
      <w:proofErr w:type="spellEnd"/>
      <w:r w:rsidRPr="00FE3783">
        <w:rPr>
          <w:color w:val="000000"/>
        </w:rPr>
        <w:t xml:space="preserve"> en grafo, V: vertices en </w:t>
      </w:r>
      <w:proofErr w:type="gramStart"/>
      <w:r w:rsidRPr="00FE3783">
        <w:rPr>
          <w:color w:val="000000"/>
        </w:rPr>
        <w:t>grafo )</w:t>
      </w:r>
      <w:proofErr w:type="gramEnd"/>
    </w:p>
    <w:p w:rsidR="00FE3783" w:rsidRDefault="00FE3783" w:rsidP="00FE3783">
      <w:pPr>
        <w:rPr>
          <w:color w:val="000000"/>
        </w:rPr>
      </w:pPr>
      <w:r w:rsidRPr="00FE3783">
        <w:rPr>
          <w:color w:val="000000"/>
        </w:rPr>
        <w:lastRenderedPageBreak/>
        <w:t xml:space="preserve">Los dos procesos que consumen </w:t>
      </w:r>
      <w:r w:rsidRPr="00FE3783">
        <w:rPr>
          <w:color w:val="000000"/>
        </w:rPr>
        <w:t>más</w:t>
      </w:r>
      <w:r w:rsidRPr="00FE3783">
        <w:rPr>
          <w:color w:val="000000"/>
        </w:rPr>
        <w:t xml:space="preserve"> recursos en el grafo son </w:t>
      </w:r>
      <w:proofErr w:type="spellStart"/>
      <w:r w:rsidRPr="00FE3783">
        <w:rPr>
          <w:color w:val="000000"/>
        </w:rPr>
        <w:t>cityToAirport</w:t>
      </w:r>
      <w:proofErr w:type="spellEnd"/>
      <w:r w:rsidRPr="00FE3783">
        <w:rPr>
          <w:color w:val="000000"/>
        </w:rPr>
        <w:t xml:space="preserve"> y </w:t>
      </w:r>
      <w:proofErr w:type="spellStart"/>
      <w:r w:rsidRPr="00FE3783">
        <w:rPr>
          <w:color w:val="000000"/>
        </w:rPr>
        <w:t>Dijsktra</w:t>
      </w:r>
      <w:proofErr w:type="spellEnd"/>
      <w:r w:rsidRPr="00FE3783">
        <w:rPr>
          <w:color w:val="000000"/>
        </w:rPr>
        <w:t xml:space="preserve">. Sin embargo, el promedio de intentos y de tiempo de </w:t>
      </w:r>
      <w:r w:rsidRPr="00FE3783">
        <w:rPr>
          <w:color w:val="000000"/>
        </w:rPr>
        <w:t>búsqueda</w:t>
      </w:r>
      <w:r w:rsidRPr="00FE3783">
        <w:rPr>
          <w:color w:val="000000"/>
        </w:rPr>
        <w:t xml:space="preserve"> para encontrar una ciudad usando el arbol es mucho menor a la cantidad de </w:t>
      </w:r>
      <w:proofErr w:type="spellStart"/>
      <w:r w:rsidRPr="00FE3783">
        <w:rPr>
          <w:color w:val="000000"/>
        </w:rPr>
        <w:t>edges</w:t>
      </w:r>
      <w:proofErr w:type="spellEnd"/>
      <w:r w:rsidRPr="00FE3783">
        <w:rPr>
          <w:color w:val="000000"/>
        </w:rPr>
        <w:t xml:space="preserve"> en el grafo, por lo cual, </w:t>
      </w:r>
      <w:proofErr w:type="spellStart"/>
      <w:r w:rsidRPr="00FE3783">
        <w:rPr>
          <w:color w:val="000000"/>
        </w:rPr>
        <w:t>dijisktra</w:t>
      </w:r>
      <w:proofErr w:type="spellEnd"/>
      <w:r w:rsidRPr="00FE3783">
        <w:rPr>
          <w:color w:val="000000"/>
        </w:rPr>
        <w:t xml:space="preserve"> tiene prioridad en complejidad, y toma la complejidad total </w:t>
      </w:r>
      <w:r w:rsidRPr="00FE3783">
        <w:rPr>
          <w:color w:val="000000"/>
        </w:rPr>
        <w:t>del</w:t>
      </w:r>
      <w:r w:rsidRPr="00FE3783">
        <w:rPr>
          <w:color w:val="000000"/>
        </w:rPr>
        <w:t xml:space="preserve"> </w:t>
      </w:r>
      <w:r w:rsidRPr="00FE3783">
        <w:rPr>
          <w:color w:val="000000"/>
        </w:rPr>
        <w:t>requerimiento.</w:t>
      </w:r>
      <w:r>
        <w:rPr>
          <w:color w:val="000000"/>
        </w:rPr>
        <w:t xml:space="preserve"> Complejidad</w:t>
      </w:r>
      <w:r>
        <w:rPr>
          <w:color w:val="000000"/>
        </w:rPr>
        <w:t xml:space="preserve"> de O(E+V) que es menor por lo que el algoritmo de prim tiene prioridad.</w:t>
      </w:r>
    </w:p>
    <w:p w:rsidR="00FE3783" w:rsidRDefault="00FE3783" w:rsidP="006B2381">
      <w:pPr>
        <w:rPr>
          <w:b/>
          <w:color w:val="000000"/>
          <w:sz w:val="26"/>
          <w:szCs w:val="26"/>
        </w:rPr>
      </w:pP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D480509" wp14:editId="2C63D332">
            <wp:extent cx="4505325" cy="2703195"/>
            <wp:effectExtent l="0" t="0" r="9525" b="190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799F" w:rsidRDefault="00B0799F" w:rsidP="00FE3783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r w:rsidR="00FE3783" w:rsidRPr="00FE3783">
        <w:rPr>
          <w:color w:val="000000"/>
          <w:u w:val="single"/>
        </w:rPr>
        <w:t>O(E*log(V))</w:t>
      </w:r>
    </w:p>
    <w:p w:rsidR="00B0799F" w:rsidRDefault="00B0799F" w:rsidP="00B0799F">
      <w:pPr>
        <w:rPr>
          <w:color w:val="000000"/>
        </w:rPr>
      </w:pPr>
      <w:r>
        <w:rPr>
          <w:color w:val="000000"/>
        </w:rPr>
        <w:t>Para este requerimiento se requiere hacer un arbol de expansion minima sobre el grafo no dirigido para lo cual se usa el algoritmo prim (eager)</w:t>
      </w:r>
      <w:r w:rsidR="00FE3783">
        <w:rPr>
          <w:color w:val="000000"/>
        </w:rPr>
        <w:t xml:space="preserve"> lo cual tiene una complejidad de O(E*log(V)) siendo E los arcos y V los vertices, se hace tambien un DFS, sin embargo, esta operación tiene una complejidad de O(E+V) que es menor por lo que el algoritmo de prim tiene prioridad.</w:t>
      </w:r>
    </w:p>
    <w:p w:rsidR="00B0799F" w:rsidRDefault="00B0799F" w:rsidP="006B2381">
      <w:pPr>
        <w:rPr>
          <w:b/>
          <w:color w:val="000000"/>
          <w:sz w:val="26"/>
          <w:szCs w:val="26"/>
        </w:rPr>
      </w:pP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29BF959" wp14:editId="438E64AB">
            <wp:extent cx="4505325" cy="2703195"/>
            <wp:effectExtent l="0" t="0" r="9525" b="19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C293B" w:rsidRPr="00FE1862" w:rsidRDefault="003C293B" w:rsidP="003C293B">
      <w:pPr>
        <w:rPr>
          <w:color w:val="000000"/>
          <w:u w:val="single"/>
        </w:rPr>
      </w:pPr>
      <w:r>
        <w:rPr>
          <w:b/>
          <w:color w:val="000000"/>
        </w:rPr>
        <w:t xml:space="preserve">Complejidad temporal carga de datos: </w:t>
      </w:r>
      <w:bookmarkStart w:id="0" w:name="_GoBack"/>
      <w:bookmarkEnd w:id="0"/>
      <w:r w:rsidR="00FE1862" w:rsidRPr="00FE1862">
        <w:rPr>
          <w:u w:val="single"/>
        </w:rPr>
        <w:t>O(K)</w:t>
      </w:r>
      <w:r w:rsidR="00FE1862" w:rsidRPr="003C293B">
        <w:t xml:space="preserve"> (K siendo cantidad de aeropuertos afectados)</w:t>
      </w:r>
    </w:p>
    <w:p w:rsidR="00EE1A4C" w:rsidRDefault="00FE1862">
      <w:r>
        <w:rPr>
          <w:color w:val="000000"/>
        </w:rPr>
        <w:t xml:space="preserve">El </w:t>
      </w:r>
      <w:r w:rsidRPr="003C293B">
        <w:t>requerimiento</w:t>
      </w:r>
      <w:r w:rsidR="003C293B" w:rsidRPr="003C293B">
        <w:t xml:space="preserve"> solamente necesita los aeropuertos, y esos se pueden encontrar en los sets y mapa. Todas estas operaciones son </w:t>
      </w:r>
      <w:proofErr w:type="gramStart"/>
      <w:r w:rsidR="003C293B" w:rsidRPr="003C293B">
        <w:t>O(</w:t>
      </w:r>
      <w:proofErr w:type="gramEnd"/>
      <w:r w:rsidR="003C293B" w:rsidRPr="003C293B">
        <w:t>1), sin embargo, pasando valores de un tipo de lista a otra es O(K), por lo cual el rendimiento total es O(K)</w:t>
      </w:r>
    </w:p>
    <w:sectPr w:rsidR="00EE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3F"/>
    <w:rsid w:val="0016049B"/>
    <w:rsid w:val="00227C3C"/>
    <w:rsid w:val="002A403F"/>
    <w:rsid w:val="0039397E"/>
    <w:rsid w:val="003C293B"/>
    <w:rsid w:val="005256A2"/>
    <w:rsid w:val="006B2381"/>
    <w:rsid w:val="00B0799F"/>
    <w:rsid w:val="00E47785"/>
    <w:rsid w:val="00EE1A4C"/>
    <w:rsid w:val="00FE1862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F6C7"/>
  <w15:chartTrackingRefBased/>
  <w15:docId w15:val="{BFAD0711-E423-4A5A-A05D-2EB213F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293B"/>
    <w:pPr>
      <w:spacing w:line="256" w:lineRule="auto"/>
    </w:pPr>
    <w:rPr>
      <w:rFonts w:ascii="Calibri" w:eastAsia="Calibri" w:hAnsi="Calibri" w:cs="Calibri"/>
      <w:lang w:val="es-CO"/>
    </w:rPr>
  </w:style>
  <w:style w:type="paragraph" w:styleId="Ttulo1">
    <w:name w:val="heading 1"/>
    <w:basedOn w:val="Normal"/>
    <w:next w:val="Normal"/>
    <w:link w:val="Ttulo1Car"/>
    <w:rsid w:val="006B238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381"/>
    <w:rPr>
      <w:rFonts w:ascii="Calibri" w:eastAsia="Calibri" w:hAnsi="Calibri" w:cs="Calibri"/>
      <w:color w:val="2E75B5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525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github.com/EDA2021-2-SEC01-G07/Reto4--G07" TargetMode="External"/><Relationship Id="rId10" Type="http://schemas.openxmlformats.org/officeDocument/2006/relationships/chart" Target="charts/chart5.xml"/><Relationship Id="rId4" Type="http://schemas.openxmlformats.org/officeDocument/2006/relationships/hyperlink" Target="mailto:n.saavedrag@uniandes.edu.co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Cargar datos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>
                  <c:v>1109.3800000000001</c:v>
                </c:pt>
                <c:pt idx="1">
                  <c:v>1984.38</c:v>
                </c:pt>
                <c:pt idx="2">
                  <c:v>3515.63</c:v>
                </c:pt>
                <c:pt idx="3">
                  <c:v>7953.13</c:v>
                </c:pt>
                <c:pt idx="4">
                  <c:v>12031.25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47-4EBD-88DF-DD925FB817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Req1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15.63</c:v>
                </c:pt>
                <c:pt idx="1">
                  <c:v>46.88</c:v>
                </c:pt>
                <c:pt idx="2">
                  <c:v>78.13</c:v>
                </c:pt>
                <c:pt idx="3">
                  <c:v>156.19999999999999</c:v>
                </c:pt>
                <c:pt idx="4">
                  <c:v>187.5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42-4949-9553-EF678A83FFA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Req2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Hoja1!$D$3:$D$7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FC-409A-B6FA-9BD0599059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Req3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Hoja1!$E$3:$E$7</c:f>
              <c:numCache>
                <c:formatCode>General</c:formatCode>
                <c:ptCount val="5"/>
                <c:pt idx="0">
                  <c:v>31.25</c:v>
                </c:pt>
                <c:pt idx="1">
                  <c:v>171.88</c:v>
                </c:pt>
                <c:pt idx="2">
                  <c:v>359.38</c:v>
                </c:pt>
                <c:pt idx="3">
                  <c:v>812.5</c:v>
                </c:pt>
                <c:pt idx="4">
                  <c:v>1187.5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6E-4A75-A5F9-C1D76B2A67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Req4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powe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Hoja1!$F$3:$F$7</c:f>
              <c:numCache>
                <c:formatCode>General</c:formatCode>
                <c:ptCount val="5"/>
                <c:pt idx="0">
                  <c:v>203.13</c:v>
                </c:pt>
                <c:pt idx="1">
                  <c:v>1218.75</c:v>
                </c:pt>
                <c:pt idx="2">
                  <c:v>3062.5</c:v>
                </c:pt>
                <c:pt idx="3">
                  <c:v>5140.625</c:v>
                </c:pt>
                <c:pt idx="4">
                  <c:v>10953.13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FB-409F-8B56-C59F4548BF6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Hoja1!$G$2</c:f>
              <c:strCache>
                <c:ptCount val="1"/>
                <c:pt idx="0">
                  <c:v>Req5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powe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Hoja1!$G$3:$G$7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14-4168-9823-5D7E642D6B2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6</cp:revision>
  <dcterms:created xsi:type="dcterms:W3CDTF">2021-12-08T22:20:00Z</dcterms:created>
  <dcterms:modified xsi:type="dcterms:W3CDTF">2021-12-09T03:20:00Z</dcterms:modified>
</cp:coreProperties>
</file>