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OBSERVACIONES DE LA PRÁCTICA</w:t>
      </w:r>
    </w:p>
    <w:p w:rsidR="00000000" w:rsidDel="00000000" w:rsidP="00000000" w:rsidRDefault="00000000" w:rsidRPr="00000000" w14:paraId="00000002">
      <w:pPr>
        <w:spacing w:after="0" w:lineRule="auto"/>
        <w:jc w:val="right"/>
        <w:rPr/>
      </w:pPr>
      <w:r w:rsidDel="00000000" w:rsidR="00000000" w:rsidRPr="00000000">
        <w:rPr>
          <w:rtl w:val="0"/>
        </w:rPr>
      </w:r>
    </w:p>
    <w:p w:rsidR="00000000" w:rsidDel="00000000" w:rsidP="00000000" w:rsidRDefault="00000000" w:rsidRPr="00000000" w14:paraId="00000003">
      <w:pPr>
        <w:spacing w:after="0" w:lineRule="auto"/>
        <w:jc w:val="right"/>
        <w:rPr/>
      </w:pPr>
      <w:r w:rsidDel="00000000" w:rsidR="00000000" w:rsidRPr="00000000">
        <w:rPr>
          <w:rtl w:val="0"/>
        </w:rPr>
        <w:t xml:space="preserve">Juan Camilo Prieto Avella, 201814815</w:t>
      </w:r>
    </w:p>
    <w:p w:rsidR="00000000" w:rsidDel="00000000" w:rsidP="00000000" w:rsidRDefault="00000000" w:rsidRPr="00000000" w14:paraId="00000004">
      <w:pPr>
        <w:spacing w:after="0" w:lineRule="auto"/>
        <w:jc w:val="right"/>
        <w:rPr/>
      </w:pPr>
      <w:r w:rsidDel="00000000" w:rsidR="00000000" w:rsidRPr="00000000">
        <w:rPr>
          <w:rtl w:val="0"/>
        </w:rPr>
      </w:r>
    </w:p>
    <w:p w:rsidR="00000000" w:rsidDel="00000000" w:rsidP="00000000" w:rsidRDefault="00000000" w:rsidRPr="00000000" w14:paraId="00000005">
      <w:pPr>
        <w:spacing w:after="0" w:lineRule="auto"/>
        <w:jc w:val="right"/>
        <w:rPr/>
      </w:pPr>
      <w:r w:rsidDel="00000000" w:rsidR="00000000" w:rsidRPr="00000000">
        <w:rPr>
          <w:rtl w:val="0"/>
        </w:rPr>
        <w:t xml:space="preserve">Federico Melo Barrero, 202021525</w:t>
      </w:r>
    </w:p>
    <w:p w:rsidR="00000000" w:rsidDel="00000000" w:rsidP="00000000" w:rsidRDefault="00000000" w:rsidRPr="00000000" w14:paraId="00000006">
      <w:pPr>
        <w:pStyle w:val="Heading1"/>
        <w:rPr>
          <w:b w:val="1"/>
        </w:rPr>
      </w:pPr>
      <w:r w:rsidDel="00000000" w:rsidR="00000000" w:rsidRPr="00000000">
        <w:rPr>
          <w:b w:val="1"/>
          <w:rtl w:val="0"/>
        </w:rPr>
        <w:t xml:space="preserve">Ambientes de pruebas</w:t>
      </w:r>
    </w:p>
    <w:p w:rsidR="00000000" w:rsidDel="00000000" w:rsidP="00000000" w:rsidRDefault="00000000" w:rsidRPr="00000000" w14:paraId="00000007">
      <w:pPr>
        <w:rPr/>
      </w:pPr>
      <w:r w:rsidDel="00000000" w:rsidR="00000000" w:rsidRPr="00000000">
        <w:rPr>
          <w:rtl w:val="0"/>
        </w:rPr>
      </w:r>
    </w:p>
    <w:tbl>
      <w:tblPr>
        <w:tblStyle w:val="Table1"/>
        <w:tblW w:w="6915.0" w:type="dxa"/>
        <w:jc w:val="center"/>
        <w:tblBorders>
          <w:top w:color="c9c9c9" w:space="0" w:sz="4" w:val="single"/>
          <w:bottom w:color="c9c9c9" w:space="0" w:sz="4" w:val="single"/>
          <w:insideH w:color="c9c9c9" w:space="0" w:sz="4" w:val="single"/>
          <w:insideV w:color="c9c9c9" w:space="0" w:sz="4" w:val="single"/>
        </w:tblBorders>
        <w:tblLayout w:type="fixed"/>
        <w:tblLook w:val="04A0"/>
      </w:tblPr>
      <w:tblGrid>
        <w:gridCol w:w="2394"/>
        <w:gridCol w:w="2196"/>
        <w:gridCol w:w="2325"/>
        <w:tblGridChange w:id="0">
          <w:tblGrid>
            <w:gridCol w:w="2394"/>
            <w:gridCol w:w="2196"/>
            <w:gridCol w:w="2325"/>
          </w:tblGrid>
        </w:tblGridChange>
      </w:tblGrid>
      <w:tr>
        <w:trPr>
          <w:cantSplit w:val="0"/>
          <w:trHeight w:val="153" w:hRule="atLeast"/>
          <w:tblHeader w:val="0"/>
        </w:trPr>
        <w:tc>
          <w:tcPr>
            <w:tcBorders>
              <w:top w:color="000000" w:space="0" w:sz="4" w:val="single"/>
            </w:tcBorders>
          </w:tcPr>
          <w:p w:rsidR="00000000" w:rsidDel="00000000" w:rsidP="00000000" w:rsidRDefault="00000000" w:rsidRPr="00000000" w14:paraId="00000008">
            <w:pPr>
              <w:jc w:val="center"/>
              <w:rPr>
                <w:rFonts w:ascii="Dax-Regular" w:cs="Dax-Regular" w:eastAsia="Dax-Regular" w:hAnsi="Dax-Regular"/>
              </w:rPr>
            </w:pPr>
            <w:r w:rsidDel="00000000" w:rsidR="00000000" w:rsidRPr="00000000">
              <w:rPr>
                <w:rtl w:val="0"/>
              </w:rPr>
            </w:r>
          </w:p>
        </w:tc>
        <w:tc>
          <w:tcPr>
            <w:tcBorders>
              <w:top w:color="000000" w:space="0" w:sz="4" w:val="single"/>
            </w:tcBorders>
          </w:tcPr>
          <w:p w:rsidR="00000000" w:rsidDel="00000000" w:rsidP="00000000" w:rsidRDefault="00000000" w:rsidRPr="00000000" w14:paraId="00000009">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Máquina 1</w:t>
            </w:r>
          </w:p>
        </w:tc>
        <w:tc>
          <w:tcPr>
            <w:tcBorders>
              <w:top w:color="000000" w:space="0" w:sz="4" w:val="single"/>
            </w:tcBorders>
          </w:tcPr>
          <w:p w:rsidR="00000000" w:rsidDel="00000000" w:rsidP="00000000" w:rsidRDefault="00000000" w:rsidRPr="00000000" w14:paraId="0000000A">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Máquina 2</w:t>
            </w:r>
          </w:p>
        </w:tc>
      </w:tr>
      <w:tr>
        <w:trPr>
          <w:cantSplit w:val="0"/>
          <w:tblHeader w:val="0"/>
        </w:trPr>
        <w:tc>
          <w:tcPr/>
          <w:p w:rsidR="00000000" w:rsidDel="00000000" w:rsidP="00000000" w:rsidRDefault="00000000" w:rsidRPr="00000000" w14:paraId="0000000B">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Procesadores</w:t>
            </w:r>
          </w:p>
        </w:tc>
        <w:tc>
          <w:tcPr/>
          <w:p w:rsidR="00000000" w:rsidDel="00000000" w:rsidP="00000000" w:rsidRDefault="00000000" w:rsidRPr="00000000" w14:paraId="0000000C">
            <w:pPr>
              <w:jc w:val="both"/>
              <w:rPr>
                <w:rFonts w:ascii="Dax-Regular" w:cs="Dax-Regular" w:eastAsia="Dax-Regular" w:hAnsi="Dax-Regular"/>
              </w:rPr>
            </w:pPr>
            <w:r w:rsidDel="00000000" w:rsidR="00000000" w:rsidRPr="00000000">
              <w:rPr>
                <w:rFonts w:ascii="Helvetica Neue" w:cs="Helvetica Neue" w:eastAsia="Helvetica Neue" w:hAnsi="Helvetica Neue"/>
                <w:color w:val="000000"/>
                <w:rtl w:val="0"/>
              </w:rPr>
              <w:t xml:space="preserve">1,6 GHz Intel Core i5 de dos núcleos</w:t>
            </w:r>
            <w:r w:rsidDel="00000000" w:rsidR="00000000" w:rsidRPr="00000000">
              <w:rPr>
                <w:rtl w:val="0"/>
              </w:rPr>
            </w:r>
          </w:p>
        </w:tc>
        <w:tc>
          <w:tcPr/>
          <w:p w:rsidR="00000000" w:rsidDel="00000000" w:rsidP="00000000" w:rsidRDefault="00000000" w:rsidRPr="00000000" w14:paraId="0000000D">
            <w:pPr>
              <w:jc w:val="both"/>
              <w:rPr>
                <w:rFonts w:ascii="Dax-Regular" w:cs="Dax-Regular" w:eastAsia="Dax-Regular" w:hAnsi="Dax-Regular"/>
              </w:rPr>
            </w:pPr>
            <w:r w:rsidDel="00000000" w:rsidR="00000000" w:rsidRPr="00000000">
              <w:rPr>
                <w:rFonts w:ascii="Dax-Regular" w:cs="Dax-Regular" w:eastAsia="Dax-Regular" w:hAnsi="Dax-Regular"/>
                <w:rtl w:val="0"/>
              </w:rPr>
              <w:t xml:space="preserve">Intel(R) Core(TM) i5-6200U CPU @ 2.30GHz, 2401 Mhz, 2 procesadores principales, 4 procesadores lógicos.</w:t>
            </w:r>
          </w:p>
        </w:tc>
      </w:tr>
      <w:tr>
        <w:trPr>
          <w:cantSplit w:val="0"/>
          <w:tblHeader w:val="0"/>
        </w:trPr>
        <w:tc>
          <w:tcPr/>
          <w:p w:rsidR="00000000" w:rsidDel="00000000" w:rsidP="00000000" w:rsidRDefault="00000000" w:rsidRPr="00000000" w14:paraId="0000000E">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Memoria RAM (GB)</w:t>
            </w:r>
          </w:p>
        </w:tc>
        <w:tc>
          <w:tcPr/>
          <w:p w:rsidR="00000000" w:rsidDel="00000000" w:rsidP="00000000" w:rsidRDefault="00000000" w:rsidRPr="00000000" w14:paraId="0000000F">
            <w:pPr>
              <w:jc w:val="both"/>
              <w:rPr>
                <w:rFonts w:ascii="Dax-Regular" w:cs="Dax-Regular" w:eastAsia="Dax-Regular" w:hAnsi="Dax-Regular"/>
              </w:rPr>
            </w:pPr>
            <w:r w:rsidDel="00000000" w:rsidR="00000000" w:rsidRPr="00000000">
              <w:rPr>
                <w:rFonts w:ascii="Dax-Regular" w:cs="Dax-Regular" w:eastAsia="Dax-Regular" w:hAnsi="Dax-Regular"/>
                <w:rtl w:val="0"/>
              </w:rPr>
              <w:t xml:space="preserve">8.00 GB.</w:t>
            </w:r>
          </w:p>
        </w:tc>
        <w:tc>
          <w:tcPr/>
          <w:p w:rsidR="00000000" w:rsidDel="00000000" w:rsidP="00000000" w:rsidRDefault="00000000" w:rsidRPr="00000000" w14:paraId="00000010">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4.00 GB.</w:t>
            </w:r>
          </w:p>
        </w:tc>
      </w:tr>
      <w:tr>
        <w:trPr>
          <w:cantSplit w:val="0"/>
          <w:tblHeader w:val="0"/>
        </w:trPr>
        <w:tc>
          <w:tcPr/>
          <w:p w:rsidR="00000000" w:rsidDel="00000000" w:rsidP="00000000" w:rsidRDefault="00000000" w:rsidRPr="00000000" w14:paraId="00000011">
            <w:pPr>
              <w:jc w:val="center"/>
              <w:rPr>
                <w:rFonts w:ascii="Dax-Regular" w:cs="Dax-Regular" w:eastAsia="Dax-Regular" w:hAnsi="Dax-Regular"/>
              </w:rPr>
            </w:pPr>
            <w:r w:rsidDel="00000000" w:rsidR="00000000" w:rsidRPr="00000000">
              <w:rPr>
                <w:rFonts w:ascii="Dax-Regular" w:cs="Dax-Regular" w:eastAsia="Dax-Regular" w:hAnsi="Dax-Regular"/>
                <w:rtl w:val="0"/>
              </w:rPr>
              <w:t xml:space="preserve">Sistema Operativo</w:t>
            </w:r>
          </w:p>
        </w:tc>
        <w:tc>
          <w:tcPr/>
          <w:p w:rsidR="00000000" w:rsidDel="00000000" w:rsidP="00000000" w:rsidRDefault="00000000" w:rsidRPr="00000000" w14:paraId="00000012">
            <w:pPr>
              <w:jc w:val="both"/>
              <w:rPr>
                <w:rFonts w:ascii="Dax-Regular" w:cs="Dax-Regular" w:eastAsia="Dax-Regular" w:hAnsi="Dax-Regular"/>
              </w:rPr>
            </w:pPr>
            <w:r w:rsidDel="00000000" w:rsidR="00000000" w:rsidRPr="00000000">
              <w:rPr>
                <w:rFonts w:ascii="Dax-Regular" w:cs="Dax-Regular" w:eastAsia="Dax-Regular" w:hAnsi="Dax-Regular"/>
                <w:rtl w:val="0"/>
              </w:rPr>
              <w:t xml:space="preserve">MacOS Big Sur 64-bits</w:t>
            </w:r>
          </w:p>
        </w:tc>
        <w:tc>
          <w:tcPr/>
          <w:p w:rsidR="00000000" w:rsidDel="00000000" w:rsidP="00000000" w:rsidRDefault="00000000" w:rsidRPr="00000000" w14:paraId="00000013">
            <w:pPr>
              <w:keepNext w:val="1"/>
              <w:jc w:val="both"/>
              <w:rPr>
                <w:rFonts w:ascii="Dax-Regular" w:cs="Dax-Regular" w:eastAsia="Dax-Regular" w:hAnsi="Dax-Regular"/>
              </w:rPr>
            </w:pPr>
            <w:r w:rsidDel="00000000" w:rsidR="00000000" w:rsidRPr="00000000">
              <w:rPr>
                <w:rFonts w:ascii="Dax-Regular" w:cs="Dax-Regular" w:eastAsia="Dax-Regular" w:hAnsi="Dax-Regular"/>
                <w:rtl w:val="0"/>
              </w:rPr>
              <w:t xml:space="preserve">Microsoft Windows 10 Home Single Language.</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00" w:line="240" w:lineRule="auto"/>
        <w:jc w:val="center"/>
        <w:rPr>
          <w:i w:val="1"/>
          <w:color w:val="44546a"/>
          <w:sz w:val="18"/>
          <w:szCs w:val="18"/>
        </w:rPr>
      </w:pPr>
      <w:bookmarkStart w:colFirst="0" w:colLast="0" w:name="_heading=h.gjdgxs" w:id="0"/>
      <w:bookmarkEnd w:id="0"/>
      <w:r w:rsidDel="00000000" w:rsidR="00000000" w:rsidRPr="00000000">
        <w:rPr>
          <w:i w:val="1"/>
          <w:color w:val="44546a"/>
          <w:sz w:val="18"/>
          <w:szCs w:val="18"/>
          <w:rtl w:val="0"/>
        </w:rPr>
        <w:t xml:space="preserve">Tabla 1. Especificaciones de las máquinas para ejecutar las pruebas de rendimiento.</w:t>
      </w:r>
    </w:p>
    <w:p w:rsidR="00000000" w:rsidDel="00000000" w:rsidP="00000000" w:rsidRDefault="00000000" w:rsidRPr="00000000" w14:paraId="00000015">
      <w:pPr>
        <w:pStyle w:val="Heading1"/>
        <w:rPr>
          <w:b w:val="1"/>
        </w:rPr>
      </w:pPr>
      <w:r w:rsidDel="00000000" w:rsidR="00000000" w:rsidRPr="00000000">
        <w:rPr>
          <w:b w:val="1"/>
          <w:rtl w:val="0"/>
        </w:rPr>
        <w:t xml:space="preserve">Maquina 1</w:t>
      </w:r>
    </w:p>
    <w:p w:rsidR="00000000" w:rsidDel="00000000" w:rsidP="00000000" w:rsidRDefault="00000000" w:rsidRPr="00000000" w14:paraId="00000016">
      <w:pPr>
        <w:pStyle w:val="Heading2"/>
        <w:rPr>
          <w:b w:val="1"/>
        </w:rPr>
      </w:pPr>
      <w:r w:rsidDel="00000000" w:rsidR="00000000" w:rsidRPr="00000000">
        <w:rPr>
          <w:b w:val="1"/>
          <w:rtl w:val="0"/>
        </w:rPr>
        <w:t xml:space="preserve">Resultados</w:t>
      </w:r>
    </w:p>
    <w:tbl>
      <w:tblPr>
        <w:tblStyle w:val="Table2"/>
        <w:tblW w:w="9360.0" w:type="dxa"/>
        <w:jc w:val="left"/>
        <w:tblInd w:w="0.0" w:type="dxa"/>
        <w:tblBorders>
          <w:top w:color="c9c9c9" w:space="0" w:sz="4" w:val="single"/>
          <w:bottom w:color="c9c9c9" w:space="0" w:sz="4" w:val="single"/>
          <w:insideH w:color="c9c9c9" w:space="0" w:sz="4" w:val="single"/>
          <w:insideV w:color="c9c9c9" w:space="0" w:sz="4" w:val="single"/>
        </w:tblBorders>
        <w:tblLayout w:type="fixed"/>
        <w:tblLook w:val="0400"/>
      </w:tblPr>
      <w:tblGrid>
        <w:gridCol w:w="2067"/>
        <w:gridCol w:w="2349"/>
        <w:gridCol w:w="1457"/>
        <w:gridCol w:w="1095"/>
        <w:gridCol w:w="1150"/>
        <w:gridCol w:w="1242"/>
        <w:tblGridChange w:id="0">
          <w:tblGrid>
            <w:gridCol w:w="2067"/>
            <w:gridCol w:w="2349"/>
            <w:gridCol w:w="1457"/>
            <w:gridCol w:w="1095"/>
            <w:gridCol w:w="1150"/>
            <w:gridCol w:w="1242"/>
          </w:tblGrid>
        </w:tblGridChange>
      </w:tblGrid>
      <w:tr>
        <w:trPr>
          <w:cantSplit w:val="0"/>
          <w:trHeight w:val="197" w:hRule="atLeast"/>
          <w:tblHeader w:val="0"/>
        </w:trPr>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17">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Porcentaje de la muestra [pct]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18">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Tamaño de la muestra (ARRAYLIST)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19">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Insertion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1A">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Shell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1B">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Quick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1C">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Merge Sort [ms]</w:t>
            </w:r>
          </w:p>
        </w:tc>
      </w:tr>
      <w:tr>
        <w:trPr>
          <w:cantSplit w:val="0"/>
          <w:trHeight w:val="37" w:hRule="atLeast"/>
          <w:tblHeader w:val="0"/>
        </w:trPr>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1D">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small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1E">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1F">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20">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21">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22">
            <w:pPr>
              <w:spacing w:after="0" w:line="240" w:lineRule="auto"/>
              <w:jc w:val="center"/>
              <w:rPr>
                <w:rFonts w:ascii="Dax-Regular" w:cs="Dax-Regular" w:eastAsia="Dax-Regular" w:hAnsi="Dax-Regular"/>
                <w:color w:val="000000"/>
              </w:rPr>
            </w:pPr>
            <w:r w:rsidDel="00000000" w:rsidR="00000000" w:rsidRPr="00000000">
              <w:rPr>
                <w:rtl w:val="0"/>
              </w:rPr>
            </w:r>
          </w:p>
        </w:tc>
      </w:tr>
      <w:tr>
        <w:trPr>
          <w:cantSplit w:val="0"/>
          <w:trHeight w:val="47"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3">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4">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5">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6">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7">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8">
            <w:pPr>
              <w:spacing w:after="0" w:line="240" w:lineRule="auto"/>
              <w:jc w:val="center"/>
              <w:rPr>
                <w:rFonts w:ascii="Dax-Regular" w:cs="Dax-Regular" w:eastAsia="Dax-Regular" w:hAnsi="Dax-Regular"/>
                <w:color w:val="00000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00" w:line="240" w:lineRule="auto"/>
        <w:jc w:val="center"/>
        <w:rPr>
          <w:i w:val="1"/>
          <w:color w:val="44546a"/>
          <w:sz w:val="18"/>
          <w:szCs w:val="18"/>
        </w:rPr>
      </w:pPr>
      <w:r w:rsidDel="00000000" w:rsidR="00000000" w:rsidRPr="00000000">
        <w:rPr>
          <w:i w:val="1"/>
          <w:color w:val="44546a"/>
          <w:sz w:val="18"/>
          <w:szCs w:val="18"/>
          <w:rtl w:val="0"/>
        </w:rPr>
        <w:t xml:space="preserve">Tabla 2. Comparación de tiempos de ejecución para los ordenamientos en la representación arreglo.</w:t>
      </w:r>
    </w:p>
    <w:tbl>
      <w:tblPr>
        <w:tblStyle w:val="Table3"/>
        <w:tblW w:w="9358.999999999998" w:type="dxa"/>
        <w:jc w:val="left"/>
        <w:tblInd w:w="0.0" w:type="dxa"/>
        <w:tblBorders>
          <w:top w:color="c9c9c9" w:space="0" w:sz="4" w:val="single"/>
          <w:bottom w:color="c9c9c9" w:space="0" w:sz="4" w:val="single"/>
          <w:insideH w:color="c9c9c9" w:space="0" w:sz="4" w:val="single"/>
          <w:insideV w:color="c9c9c9" w:space="0" w:sz="4" w:val="single"/>
        </w:tblBorders>
        <w:tblLayout w:type="fixed"/>
        <w:tblLook w:val="0400"/>
      </w:tblPr>
      <w:tblGrid>
        <w:gridCol w:w="2032"/>
        <w:gridCol w:w="2451"/>
        <w:gridCol w:w="1440"/>
        <w:gridCol w:w="1078"/>
        <w:gridCol w:w="1133"/>
        <w:gridCol w:w="1225"/>
        <w:tblGridChange w:id="0">
          <w:tblGrid>
            <w:gridCol w:w="2032"/>
            <w:gridCol w:w="2451"/>
            <w:gridCol w:w="1440"/>
            <w:gridCol w:w="1078"/>
            <w:gridCol w:w="1133"/>
            <w:gridCol w:w="1225"/>
          </w:tblGrid>
        </w:tblGridChange>
      </w:tblGrid>
      <w:tr>
        <w:trPr>
          <w:cantSplit w:val="0"/>
          <w:trHeight w:val="547" w:hRule="atLeast"/>
          <w:tblHeader w:val="0"/>
        </w:trPr>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A">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Porcentaje de la muestra [pct]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B">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Tamaño de la muestra (LINKED_LIST)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C">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Insertion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D">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Shell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E">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Quick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F">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Merge Sort [ms]</w:t>
            </w:r>
          </w:p>
        </w:tc>
      </w:tr>
      <w:tr>
        <w:trPr>
          <w:cantSplit w:val="0"/>
          <w:trHeight w:val="37" w:hRule="atLeast"/>
          <w:tblHeader w:val="0"/>
        </w:trPr>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30">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small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31">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32">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33">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34">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35">
            <w:pPr>
              <w:spacing w:after="0" w:line="240" w:lineRule="auto"/>
              <w:jc w:val="center"/>
              <w:rPr>
                <w:rFonts w:ascii="Dax-Regular" w:cs="Dax-Regular" w:eastAsia="Dax-Regular" w:hAnsi="Dax-Regular"/>
                <w:color w:val="000000"/>
              </w:rPr>
            </w:pPr>
            <w:r w:rsidDel="00000000" w:rsidR="00000000" w:rsidRPr="00000000">
              <w:rPr>
                <w:rtl w:val="0"/>
              </w:rPr>
            </w:r>
          </w:p>
        </w:tc>
      </w:tr>
      <w:tr>
        <w:trPr>
          <w:cantSplit w:val="0"/>
          <w:trHeight w:val="47"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36">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37">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38">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39">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3A">
            <w:pPr>
              <w:spacing w:after="0" w:line="240" w:lineRule="auto"/>
              <w:jc w:val="center"/>
              <w:rPr>
                <w:rFonts w:ascii="Dax-Regular" w:cs="Dax-Regular" w:eastAsia="Dax-Regular" w:hAnsi="Dax-Regula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3B">
            <w:pPr>
              <w:spacing w:after="0" w:line="240" w:lineRule="auto"/>
              <w:jc w:val="center"/>
              <w:rPr>
                <w:rFonts w:ascii="Dax-Regular" w:cs="Dax-Regular" w:eastAsia="Dax-Regular" w:hAnsi="Dax-Regular"/>
                <w:color w:val="000000"/>
              </w:rPr>
            </w:pP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00" w:line="240" w:lineRule="auto"/>
        <w:ind w:left="360" w:firstLine="0"/>
        <w:rPr>
          <w:i w:val="1"/>
          <w:color w:val="44546a"/>
          <w:sz w:val="18"/>
          <w:szCs w:val="18"/>
        </w:rPr>
      </w:pPr>
      <w:r w:rsidDel="00000000" w:rsidR="00000000" w:rsidRPr="00000000">
        <w:rPr>
          <w:i w:val="1"/>
          <w:color w:val="44546a"/>
          <w:sz w:val="18"/>
          <w:szCs w:val="18"/>
          <w:rtl w:val="0"/>
        </w:rPr>
        <w:t xml:space="preserve">Tabla 3. Comparación de tiempos de ejecución para los ordenamientos en la representación lista enlazada.</w:t>
      </w:r>
    </w:p>
    <w:tbl>
      <w:tblPr>
        <w:tblStyle w:val="Table4"/>
        <w:tblW w:w="6730.0" w:type="dxa"/>
        <w:jc w:val="center"/>
        <w:tblBorders>
          <w:top w:color="c9c9c9" w:space="0" w:sz="4" w:val="single"/>
          <w:bottom w:color="c9c9c9" w:space="0" w:sz="4" w:val="single"/>
          <w:insideH w:color="c9c9c9" w:space="0" w:sz="4" w:val="single"/>
          <w:insideV w:color="c9c9c9" w:space="0" w:sz="4" w:val="single"/>
        </w:tblBorders>
        <w:tblLayout w:type="fixed"/>
        <w:tblLook w:val="04A0"/>
      </w:tblPr>
      <w:tblGrid>
        <w:gridCol w:w="1439"/>
        <w:gridCol w:w="2226"/>
        <w:gridCol w:w="3065"/>
        <w:tblGridChange w:id="0">
          <w:tblGrid>
            <w:gridCol w:w="1439"/>
            <w:gridCol w:w="2226"/>
            <w:gridCol w:w="3065"/>
          </w:tblGrid>
        </w:tblGridChange>
      </w:tblGrid>
      <w:tr>
        <w:trPr>
          <w:cantSplit w:val="0"/>
          <w:tblHeader w:val="0"/>
        </w:trPr>
        <w:tc>
          <w:tcPr/>
          <w:p w:rsidR="00000000" w:rsidDel="00000000" w:rsidP="00000000" w:rsidRDefault="00000000" w:rsidRPr="00000000" w14:paraId="0000003D">
            <w:pPr>
              <w:jc w:val="both"/>
              <w:rPr>
                <w:rFonts w:ascii="Dax-Regular" w:cs="Dax-Regular" w:eastAsia="Dax-Regular" w:hAnsi="Dax-Regular"/>
                <w:sz w:val="24"/>
                <w:szCs w:val="24"/>
              </w:rPr>
            </w:pPr>
            <w:r w:rsidDel="00000000" w:rsidR="00000000" w:rsidRPr="00000000">
              <w:rPr>
                <w:rFonts w:ascii="Dax-Regular" w:cs="Dax-Regular" w:eastAsia="Dax-Regular" w:hAnsi="Dax-Regular"/>
                <w:sz w:val="24"/>
                <w:szCs w:val="24"/>
                <w:rtl w:val="0"/>
              </w:rPr>
              <w:t xml:space="preserve">Algoritmo</w:t>
            </w:r>
          </w:p>
        </w:tc>
        <w:tc>
          <w:tcPr/>
          <w:p w:rsidR="00000000" w:rsidDel="00000000" w:rsidP="00000000" w:rsidRDefault="00000000" w:rsidRPr="00000000" w14:paraId="0000003E">
            <w:pPr>
              <w:jc w:val="center"/>
              <w:rPr>
                <w:rFonts w:ascii="Dax-Regular" w:cs="Dax-Regular" w:eastAsia="Dax-Regular" w:hAnsi="Dax-Regular"/>
                <w:sz w:val="24"/>
                <w:szCs w:val="24"/>
              </w:rPr>
            </w:pPr>
            <w:r w:rsidDel="00000000" w:rsidR="00000000" w:rsidRPr="00000000">
              <w:rPr>
                <w:rFonts w:ascii="Dax-Regular" w:cs="Dax-Regular" w:eastAsia="Dax-Regular" w:hAnsi="Dax-Regular"/>
                <w:sz w:val="24"/>
                <w:szCs w:val="24"/>
                <w:rtl w:val="0"/>
              </w:rPr>
              <w:t xml:space="preserve">Arreglo (ARRAYLIST)</w:t>
            </w:r>
          </w:p>
        </w:tc>
        <w:tc>
          <w:tcPr/>
          <w:p w:rsidR="00000000" w:rsidDel="00000000" w:rsidP="00000000" w:rsidRDefault="00000000" w:rsidRPr="00000000" w14:paraId="0000003F">
            <w:pPr>
              <w:jc w:val="center"/>
              <w:rPr>
                <w:rFonts w:ascii="Dax-Regular" w:cs="Dax-Regular" w:eastAsia="Dax-Regular" w:hAnsi="Dax-Regular"/>
                <w:sz w:val="24"/>
                <w:szCs w:val="24"/>
              </w:rPr>
            </w:pPr>
            <w:r w:rsidDel="00000000" w:rsidR="00000000" w:rsidRPr="00000000">
              <w:rPr>
                <w:rFonts w:ascii="Dax-Regular" w:cs="Dax-Regular" w:eastAsia="Dax-Regular" w:hAnsi="Dax-Regular"/>
                <w:sz w:val="24"/>
                <w:szCs w:val="24"/>
                <w:rtl w:val="0"/>
              </w:rPr>
              <w:t xml:space="preserve">Lista enlazada (LINKED_LIST)</w:t>
            </w:r>
          </w:p>
        </w:tc>
      </w:tr>
      <w:tr>
        <w:trPr>
          <w:cantSplit w:val="0"/>
          <w:tblHeader w:val="0"/>
        </w:trPr>
        <w:tc>
          <w:tcPr/>
          <w:p w:rsidR="00000000" w:rsidDel="00000000" w:rsidP="00000000" w:rsidRDefault="00000000" w:rsidRPr="00000000" w14:paraId="00000040">
            <w:pPr>
              <w:tabs>
                <w:tab w:val="right" w:pos="2121"/>
              </w:tabs>
              <w:jc w:val="center"/>
              <w:rPr>
                <w:rFonts w:ascii="Dax-Regular" w:cs="Dax-Regular" w:eastAsia="Dax-Regular" w:hAnsi="Dax-Regular"/>
                <w:i w:val="1"/>
              </w:rPr>
            </w:pPr>
            <w:r w:rsidDel="00000000" w:rsidR="00000000" w:rsidRPr="00000000">
              <w:rPr>
                <w:rFonts w:ascii="Dax-Regular" w:cs="Dax-Regular" w:eastAsia="Dax-Regular" w:hAnsi="Dax-Regular"/>
                <w:b w:val="0"/>
                <w:i w:val="1"/>
                <w:rtl w:val="0"/>
              </w:rPr>
              <w:t xml:space="preserve">Insertion Sort</w:t>
            </w:r>
            <w:r w:rsidDel="00000000" w:rsidR="00000000" w:rsidRPr="00000000">
              <w:rPr>
                <w:rtl w:val="0"/>
              </w:rPr>
            </w:r>
          </w:p>
        </w:tc>
        <w:tc>
          <w:tcPr/>
          <w:p w:rsidR="00000000" w:rsidDel="00000000" w:rsidP="00000000" w:rsidRDefault="00000000" w:rsidRPr="00000000" w14:paraId="00000041">
            <w:pPr>
              <w:jc w:val="both"/>
              <w:rPr>
                <w:rFonts w:ascii="Dax-Regular" w:cs="Dax-Regular" w:eastAsia="Dax-Regular" w:hAnsi="Dax-Regular"/>
              </w:rPr>
            </w:pPr>
            <w:r w:rsidDel="00000000" w:rsidR="00000000" w:rsidRPr="00000000">
              <w:rPr>
                <w:rtl w:val="0"/>
              </w:rPr>
            </w:r>
          </w:p>
        </w:tc>
        <w:tc>
          <w:tcPr/>
          <w:p w:rsidR="00000000" w:rsidDel="00000000" w:rsidP="00000000" w:rsidRDefault="00000000" w:rsidRPr="00000000" w14:paraId="00000042">
            <w:pPr>
              <w:jc w:val="both"/>
              <w:rPr>
                <w:rFonts w:ascii="Dax-Regular" w:cs="Dax-Regular" w:eastAsia="Dax-Regular" w:hAnsi="Dax-Regular"/>
              </w:rPr>
            </w:pPr>
            <w:r w:rsidDel="00000000" w:rsidR="00000000" w:rsidRPr="00000000">
              <w:rPr>
                <w:rtl w:val="0"/>
              </w:rPr>
            </w:r>
          </w:p>
        </w:tc>
      </w:tr>
      <w:tr>
        <w:trPr>
          <w:cantSplit w:val="0"/>
          <w:tblHeader w:val="0"/>
        </w:trPr>
        <w:tc>
          <w:tcPr/>
          <w:p w:rsidR="00000000" w:rsidDel="00000000" w:rsidP="00000000" w:rsidRDefault="00000000" w:rsidRPr="00000000" w14:paraId="00000043">
            <w:pPr>
              <w:tabs>
                <w:tab w:val="right" w:pos="2121"/>
              </w:tabs>
              <w:jc w:val="center"/>
              <w:rPr>
                <w:rFonts w:ascii="Dax-Regular" w:cs="Dax-Regular" w:eastAsia="Dax-Regular" w:hAnsi="Dax-Regular"/>
                <w:i w:val="1"/>
              </w:rPr>
            </w:pPr>
            <w:r w:rsidDel="00000000" w:rsidR="00000000" w:rsidRPr="00000000">
              <w:rPr>
                <w:rFonts w:ascii="Dax-Regular" w:cs="Dax-Regular" w:eastAsia="Dax-Regular" w:hAnsi="Dax-Regular"/>
                <w:b w:val="0"/>
                <w:i w:val="1"/>
                <w:rtl w:val="0"/>
              </w:rPr>
              <w:t xml:space="preserve">Shell Sort</w:t>
            </w:r>
            <w:r w:rsidDel="00000000" w:rsidR="00000000" w:rsidRPr="00000000">
              <w:rPr>
                <w:rtl w:val="0"/>
              </w:rPr>
            </w:r>
          </w:p>
        </w:tc>
        <w:tc>
          <w:tcPr/>
          <w:p w:rsidR="00000000" w:rsidDel="00000000" w:rsidP="00000000" w:rsidRDefault="00000000" w:rsidRPr="00000000" w14:paraId="00000044">
            <w:pPr>
              <w:jc w:val="both"/>
              <w:rPr>
                <w:rFonts w:ascii="Dax-Regular" w:cs="Dax-Regular" w:eastAsia="Dax-Regular" w:hAnsi="Dax-Regular"/>
              </w:rPr>
            </w:pPr>
            <w:r w:rsidDel="00000000" w:rsidR="00000000" w:rsidRPr="00000000">
              <w:rPr>
                <w:rtl w:val="0"/>
              </w:rPr>
            </w:r>
          </w:p>
        </w:tc>
        <w:tc>
          <w:tcPr/>
          <w:p w:rsidR="00000000" w:rsidDel="00000000" w:rsidP="00000000" w:rsidRDefault="00000000" w:rsidRPr="00000000" w14:paraId="00000045">
            <w:pPr>
              <w:jc w:val="both"/>
              <w:rPr>
                <w:rFonts w:ascii="Dax-Regular" w:cs="Dax-Regular" w:eastAsia="Dax-Regular" w:hAnsi="Dax-Regular"/>
              </w:rPr>
            </w:pPr>
            <w:r w:rsidDel="00000000" w:rsidR="00000000" w:rsidRPr="00000000">
              <w:rPr>
                <w:rtl w:val="0"/>
              </w:rPr>
            </w:r>
          </w:p>
        </w:tc>
      </w:tr>
      <w:tr>
        <w:trPr>
          <w:cantSplit w:val="0"/>
          <w:tblHeader w:val="0"/>
        </w:trPr>
        <w:tc>
          <w:tcPr/>
          <w:p w:rsidR="00000000" w:rsidDel="00000000" w:rsidP="00000000" w:rsidRDefault="00000000" w:rsidRPr="00000000" w14:paraId="00000046">
            <w:pPr>
              <w:jc w:val="center"/>
              <w:rPr>
                <w:rFonts w:ascii="Dax-Regular" w:cs="Dax-Regular" w:eastAsia="Dax-Regular" w:hAnsi="Dax-Regular"/>
                <w:i w:val="1"/>
              </w:rPr>
            </w:pPr>
            <w:r w:rsidDel="00000000" w:rsidR="00000000" w:rsidRPr="00000000">
              <w:rPr>
                <w:rFonts w:ascii="Dax-Regular" w:cs="Dax-Regular" w:eastAsia="Dax-Regular" w:hAnsi="Dax-Regular"/>
                <w:b w:val="0"/>
                <w:i w:val="1"/>
                <w:rtl w:val="0"/>
              </w:rPr>
              <w:t xml:space="preserve">Merge Sort</w:t>
            </w:r>
            <w:r w:rsidDel="00000000" w:rsidR="00000000" w:rsidRPr="00000000">
              <w:rPr>
                <w:rtl w:val="0"/>
              </w:rPr>
            </w:r>
          </w:p>
        </w:tc>
        <w:tc>
          <w:tcPr/>
          <w:p w:rsidR="00000000" w:rsidDel="00000000" w:rsidP="00000000" w:rsidRDefault="00000000" w:rsidRPr="00000000" w14:paraId="00000047">
            <w:pPr>
              <w:jc w:val="both"/>
              <w:rPr>
                <w:rFonts w:ascii="Dax-Regular" w:cs="Dax-Regular" w:eastAsia="Dax-Regular" w:hAnsi="Dax-Regular"/>
              </w:rPr>
            </w:pPr>
            <w:r w:rsidDel="00000000" w:rsidR="00000000" w:rsidRPr="00000000">
              <w:rPr>
                <w:rtl w:val="0"/>
              </w:rPr>
            </w:r>
          </w:p>
        </w:tc>
        <w:tc>
          <w:tcPr/>
          <w:p w:rsidR="00000000" w:rsidDel="00000000" w:rsidP="00000000" w:rsidRDefault="00000000" w:rsidRPr="00000000" w14:paraId="00000048">
            <w:pPr>
              <w:keepNext w:val="1"/>
              <w:jc w:val="both"/>
              <w:rPr>
                <w:rFonts w:ascii="Dax-Regular" w:cs="Dax-Regular" w:eastAsia="Dax-Regular" w:hAnsi="Dax-Regular"/>
              </w:rPr>
            </w:pPr>
            <w:r w:rsidDel="00000000" w:rsidR="00000000" w:rsidRPr="00000000">
              <w:rPr>
                <w:rtl w:val="0"/>
              </w:rPr>
            </w:r>
          </w:p>
        </w:tc>
      </w:tr>
      <w:tr>
        <w:trPr>
          <w:cantSplit w:val="0"/>
          <w:tblHeader w:val="0"/>
        </w:trPr>
        <w:tc>
          <w:tcPr/>
          <w:p w:rsidR="00000000" w:rsidDel="00000000" w:rsidP="00000000" w:rsidRDefault="00000000" w:rsidRPr="00000000" w14:paraId="00000049">
            <w:pPr>
              <w:jc w:val="center"/>
              <w:rPr>
                <w:rFonts w:ascii="Dax-Regular" w:cs="Dax-Regular" w:eastAsia="Dax-Regular" w:hAnsi="Dax-Regular"/>
                <w:i w:val="1"/>
              </w:rPr>
            </w:pPr>
            <w:r w:rsidDel="00000000" w:rsidR="00000000" w:rsidRPr="00000000">
              <w:rPr>
                <w:rFonts w:ascii="Dax-Regular" w:cs="Dax-Regular" w:eastAsia="Dax-Regular" w:hAnsi="Dax-Regular"/>
                <w:b w:val="0"/>
                <w:i w:val="1"/>
                <w:rtl w:val="0"/>
              </w:rPr>
              <w:t xml:space="preserve">Quick Sort</w:t>
            </w:r>
            <w:r w:rsidDel="00000000" w:rsidR="00000000" w:rsidRPr="00000000">
              <w:rPr>
                <w:rtl w:val="0"/>
              </w:rPr>
            </w:r>
          </w:p>
        </w:tc>
        <w:tc>
          <w:tcPr/>
          <w:p w:rsidR="00000000" w:rsidDel="00000000" w:rsidP="00000000" w:rsidRDefault="00000000" w:rsidRPr="00000000" w14:paraId="0000004A">
            <w:pPr>
              <w:jc w:val="both"/>
              <w:rPr>
                <w:rFonts w:ascii="Dax-Regular" w:cs="Dax-Regular" w:eastAsia="Dax-Regular" w:hAnsi="Dax-Regular"/>
              </w:rPr>
            </w:pPr>
            <w:r w:rsidDel="00000000" w:rsidR="00000000" w:rsidRPr="00000000">
              <w:rPr>
                <w:rtl w:val="0"/>
              </w:rPr>
            </w:r>
          </w:p>
        </w:tc>
        <w:tc>
          <w:tcPr/>
          <w:p w:rsidR="00000000" w:rsidDel="00000000" w:rsidP="00000000" w:rsidRDefault="00000000" w:rsidRPr="00000000" w14:paraId="0000004B">
            <w:pPr>
              <w:keepNext w:val="1"/>
              <w:jc w:val="both"/>
              <w:rPr>
                <w:rFonts w:ascii="Dax-Regular" w:cs="Dax-Regular" w:eastAsia="Dax-Regular" w:hAnsi="Dax-Regular"/>
              </w:rPr>
            </w:pP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00" w:line="240" w:lineRule="auto"/>
        <w:jc w:val="center"/>
        <w:rPr>
          <w:rFonts w:ascii="Dax-Regular" w:cs="Dax-Regular" w:eastAsia="Dax-Regular" w:hAnsi="Dax-Regular"/>
          <w:i w:val="1"/>
          <w:color w:val="44546a"/>
          <w:sz w:val="18"/>
          <w:szCs w:val="18"/>
        </w:rPr>
      </w:pPr>
      <w:r w:rsidDel="00000000" w:rsidR="00000000" w:rsidRPr="00000000">
        <w:rPr>
          <w:i w:val="1"/>
          <w:color w:val="44546a"/>
          <w:sz w:val="18"/>
          <w:szCs w:val="18"/>
          <w:rtl w:val="0"/>
        </w:rPr>
        <w:t xml:space="preserve">Tabla 4. Comparación de eficiencia de acuerdo con los algoritmos de ordenamientos y estructuras de datos utilizadas.</w:t>
      </w:r>
      <w:r w:rsidDel="00000000" w:rsidR="00000000" w:rsidRPr="00000000">
        <w:rPr>
          <w:rtl w:val="0"/>
        </w:rPr>
      </w:r>
    </w:p>
    <w:p w:rsidR="00000000" w:rsidDel="00000000" w:rsidP="00000000" w:rsidRDefault="00000000" w:rsidRPr="00000000" w14:paraId="0000004D">
      <w:pPr>
        <w:pStyle w:val="Heading1"/>
        <w:rPr>
          <w:b w:val="1"/>
        </w:rPr>
      </w:pPr>
      <w:r w:rsidDel="00000000" w:rsidR="00000000" w:rsidRPr="00000000">
        <w:rPr>
          <w:b w:val="1"/>
          <w:rtl w:val="0"/>
        </w:rPr>
        <w:t xml:space="preserve">Maquina 2</w:t>
      </w:r>
    </w:p>
    <w:p w:rsidR="00000000" w:rsidDel="00000000" w:rsidP="00000000" w:rsidRDefault="00000000" w:rsidRPr="00000000" w14:paraId="0000004E">
      <w:pPr>
        <w:pStyle w:val="Heading2"/>
        <w:rPr>
          <w:b w:val="1"/>
        </w:rPr>
      </w:pPr>
      <w:r w:rsidDel="00000000" w:rsidR="00000000" w:rsidRPr="00000000">
        <w:rPr>
          <w:b w:val="1"/>
          <w:rtl w:val="0"/>
        </w:rPr>
        <w:t xml:space="preserve">Resultados</w:t>
      </w:r>
    </w:p>
    <w:tbl>
      <w:tblPr>
        <w:tblStyle w:val="Table5"/>
        <w:tblW w:w="9360.0" w:type="dxa"/>
        <w:jc w:val="left"/>
        <w:tblInd w:w="0.0" w:type="dxa"/>
        <w:tblBorders>
          <w:top w:color="c9c9c9" w:space="0" w:sz="4" w:val="single"/>
          <w:bottom w:color="c9c9c9" w:space="0" w:sz="4" w:val="single"/>
          <w:insideH w:color="c9c9c9" w:space="0" w:sz="4" w:val="single"/>
          <w:insideV w:color="c9c9c9" w:space="0" w:sz="4" w:val="single"/>
        </w:tblBorders>
        <w:tblLayout w:type="fixed"/>
        <w:tblLook w:val="0400"/>
      </w:tblPr>
      <w:tblGrid>
        <w:gridCol w:w="2067"/>
        <w:gridCol w:w="2349"/>
        <w:gridCol w:w="1457"/>
        <w:gridCol w:w="1095"/>
        <w:gridCol w:w="1150"/>
        <w:gridCol w:w="1242"/>
        <w:tblGridChange w:id="0">
          <w:tblGrid>
            <w:gridCol w:w="2067"/>
            <w:gridCol w:w="2349"/>
            <w:gridCol w:w="1457"/>
            <w:gridCol w:w="1095"/>
            <w:gridCol w:w="1150"/>
            <w:gridCol w:w="1242"/>
          </w:tblGrid>
        </w:tblGridChange>
      </w:tblGrid>
      <w:tr>
        <w:trPr>
          <w:cantSplit w:val="0"/>
          <w:trHeight w:val="197" w:hRule="atLeast"/>
          <w:tblHeader w:val="0"/>
        </w:trPr>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4F">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Porcentaje de la muestra [pct]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0">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Tamaño de la muestra (ARRAYLIST)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1">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Insertion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2">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Shell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3">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Quick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4">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Merge Sort [ms]</w:t>
            </w:r>
          </w:p>
        </w:tc>
      </w:tr>
      <w:tr>
        <w:trPr>
          <w:cantSplit w:val="0"/>
          <w:trHeight w:val="37" w:hRule="atLeast"/>
          <w:tblHeader w:val="0"/>
        </w:trPr>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55">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small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56">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294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57">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484.375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58">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93.75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59">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78.125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5A">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62.5</w:t>
            </w:r>
            <w:r w:rsidDel="00000000" w:rsidR="00000000" w:rsidRPr="00000000">
              <w:rPr>
                <w:rtl w:val="0"/>
              </w:rPr>
            </w:r>
          </w:p>
        </w:tc>
      </w:tr>
      <w:tr>
        <w:trPr>
          <w:cantSplit w:val="0"/>
          <w:trHeight w:val="47"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B">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C">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6656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D">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220703.125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E">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2562.5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F">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7093.75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0">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1625.0</w:t>
            </w:r>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00" w:line="240" w:lineRule="auto"/>
        <w:jc w:val="center"/>
        <w:rPr>
          <w:i w:val="1"/>
          <w:color w:val="44546a"/>
          <w:sz w:val="18"/>
          <w:szCs w:val="18"/>
        </w:rPr>
      </w:pPr>
      <w:r w:rsidDel="00000000" w:rsidR="00000000" w:rsidRPr="00000000">
        <w:rPr>
          <w:i w:val="1"/>
          <w:color w:val="44546a"/>
          <w:sz w:val="18"/>
          <w:szCs w:val="18"/>
          <w:rtl w:val="0"/>
        </w:rPr>
        <w:t xml:space="preserve">Tabla 2. Comparación de tiempos de ejecución para los ordenamientos en la representación arreglo.</w:t>
      </w:r>
    </w:p>
    <w:tbl>
      <w:tblPr>
        <w:tblStyle w:val="Table6"/>
        <w:tblW w:w="9358.999999999998" w:type="dxa"/>
        <w:jc w:val="left"/>
        <w:tblInd w:w="0.0" w:type="dxa"/>
        <w:tblBorders>
          <w:top w:color="c9c9c9" w:space="0" w:sz="4" w:val="single"/>
          <w:bottom w:color="c9c9c9" w:space="0" w:sz="4" w:val="single"/>
          <w:insideH w:color="c9c9c9" w:space="0" w:sz="4" w:val="single"/>
          <w:insideV w:color="c9c9c9" w:space="0" w:sz="4" w:val="single"/>
        </w:tblBorders>
        <w:tblLayout w:type="fixed"/>
        <w:tblLook w:val="0400"/>
      </w:tblPr>
      <w:tblGrid>
        <w:gridCol w:w="2032"/>
        <w:gridCol w:w="2451"/>
        <w:gridCol w:w="1440"/>
        <w:gridCol w:w="1078"/>
        <w:gridCol w:w="1133"/>
        <w:gridCol w:w="1225"/>
        <w:tblGridChange w:id="0">
          <w:tblGrid>
            <w:gridCol w:w="2032"/>
            <w:gridCol w:w="2451"/>
            <w:gridCol w:w="1440"/>
            <w:gridCol w:w="1078"/>
            <w:gridCol w:w="1133"/>
            <w:gridCol w:w="1225"/>
          </w:tblGrid>
        </w:tblGridChange>
      </w:tblGrid>
      <w:tr>
        <w:trPr>
          <w:cantSplit w:val="0"/>
          <w:trHeight w:val="547" w:hRule="atLeast"/>
          <w:tblHeader w:val="0"/>
        </w:trPr>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2">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Porcentaje de la muestra [pct]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3">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Tamaño de la muestra (LINKED_LIST)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4">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Insertion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5">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Shell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6">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Quick Sort [ms]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7">
            <w:pPr>
              <w:spacing w:after="0" w:line="240" w:lineRule="auto"/>
              <w:jc w:val="center"/>
              <w:rPr>
                <w:rFonts w:ascii="Dax-Regular" w:cs="Dax-Regular" w:eastAsia="Dax-Regular" w:hAnsi="Dax-Regular"/>
                <w:b w:val="1"/>
                <w:color w:val="000000"/>
              </w:rPr>
            </w:pPr>
            <w:r w:rsidDel="00000000" w:rsidR="00000000" w:rsidRPr="00000000">
              <w:rPr>
                <w:rFonts w:ascii="Dax-Regular" w:cs="Dax-Regular" w:eastAsia="Dax-Regular" w:hAnsi="Dax-Regular"/>
                <w:b w:val="1"/>
                <w:color w:val="000000"/>
                <w:rtl w:val="0"/>
              </w:rPr>
              <w:t xml:space="preserve">Merge Sort [ms]</w:t>
            </w:r>
          </w:p>
        </w:tc>
      </w:tr>
      <w:tr>
        <w:trPr>
          <w:cantSplit w:val="0"/>
          <w:trHeight w:val="37" w:hRule="atLeast"/>
          <w:tblHeader w:val="0"/>
        </w:trPr>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68">
            <w:pPr>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small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69">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294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6A">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1890.625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6B">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203.125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6C">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218.75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6D">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93.75</w:t>
            </w:r>
            <w:r w:rsidDel="00000000" w:rsidR="00000000" w:rsidRPr="00000000">
              <w:rPr>
                <w:rtl w:val="0"/>
              </w:rPr>
            </w:r>
          </w:p>
        </w:tc>
      </w:tr>
      <w:tr>
        <w:trPr>
          <w:cantSplit w:val="0"/>
          <w:trHeight w:val="47"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E">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color w:val="000000"/>
                <w:rtl w:val="0"/>
              </w:rPr>
              <w:t xml:space="preserve">10.00%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F">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6656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0">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1">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4652.35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2">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4323.22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3">
            <w:pPr>
              <w:spacing w:after="0" w:line="240" w:lineRule="auto"/>
              <w:jc w:val="center"/>
              <w:rPr>
                <w:rFonts w:ascii="Dax-Regular" w:cs="Dax-Regular" w:eastAsia="Dax-Regular" w:hAnsi="Dax-Regular"/>
                <w:color w:val="000000"/>
              </w:rPr>
            </w:pPr>
            <w:r w:rsidDel="00000000" w:rsidR="00000000" w:rsidRPr="00000000">
              <w:rPr>
                <w:rFonts w:ascii="Dax-Regular" w:cs="Dax-Regular" w:eastAsia="Dax-Regular" w:hAnsi="Dax-Regular"/>
                <w:rtl w:val="0"/>
              </w:rPr>
              <w:t xml:space="preserve">3102.15</w:t>
            </w: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00" w:line="240" w:lineRule="auto"/>
        <w:ind w:left="360" w:firstLine="0"/>
        <w:rPr>
          <w:i w:val="1"/>
          <w:color w:val="44546a"/>
          <w:sz w:val="18"/>
          <w:szCs w:val="18"/>
        </w:rPr>
      </w:pPr>
      <w:r w:rsidDel="00000000" w:rsidR="00000000" w:rsidRPr="00000000">
        <w:rPr>
          <w:i w:val="1"/>
          <w:color w:val="44546a"/>
          <w:sz w:val="18"/>
          <w:szCs w:val="18"/>
          <w:rtl w:val="0"/>
        </w:rPr>
        <w:t xml:space="preserve">Tabla 3. Comparación de tiempos de ejecución para los ordenamientos en la representación lista enlazada.</w:t>
      </w:r>
    </w:p>
    <w:tbl>
      <w:tblPr>
        <w:tblStyle w:val="Table7"/>
        <w:tblW w:w="6730.0" w:type="dxa"/>
        <w:jc w:val="center"/>
        <w:tblBorders>
          <w:top w:color="c9c9c9" w:space="0" w:sz="4" w:val="single"/>
          <w:bottom w:color="c9c9c9" w:space="0" w:sz="4" w:val="single"/>
          <w:insideH w:color="c9c9c9" w:space="0" w:sz="4" w:val="single"/>
          <w:insideV w:color="c9c9c9" w:space="0" w:sz="4" w:val="single"/>
        </w:tblBorders>
        <w:tblLayout w:type="fixed"/>
        <w:tblLook w:val="04A0"/>
      </w:tblPr>
      <w:tblGrid>
        <w:gridCol w:w="1439"/>
        <w:gridCol w:w="2226"/>
        <w:gridCol w:w="3065"/>
        <w:tblGridChange w:id="0">
          <w:tblGrid>
            <w:gridCol w:w="1439"/>
            <w:gridCol w:w="2226"/>
            <w:gridCol w:w="3065"/>
          </w:tblGrid>
        </w:tblGridChange>
      </w:tblGrid>
      <w:tr>
        <w:trPr>
          <w:cantSplit w:val="0"/>
          <w:tblHeader w:val="0"/>
        </w:trPr>
        <w:tc>
          <w:tcPr/>
          <w:p w:rsidR="00000000" w:rsidDel="00000000" w:rsidP="00000000" w:rsidRDefault="00000000" w:rsidRPr="00000000" w14:paraId="00000075">
            <w:pPr>
              <w:jc w:val="both"/>
              <w:rPr>
                <w:rFonts w:ascii="Dax-Regular" w:cs="Dax-Regular" w:eastAsia="Dax-Regular" w:hAnsi="Dax-Regular"/>
                <w:sz w:val="24"/>
                <w:szCs w:val="24"/>
              </w:rPr>
            </w:pPr>
            <w:r w:rsidDel="00000000" w:rsidR="00000000" w:rsidRPr="00000000">
              <w:rPr>
                <w:rFonts w:ascii="Dax-Regular" w:cs="Dax-Regular" w:eastAsia="Dax-Regular" w:hAnsi="Dax-Regular"/>
                <w:sz w:val="24"/>
                <w:szCs w:val="24"/>
                <w:rtl w:val="0"/>
              </w:rPr>
              <w:t xml:space="preserve">Algoritmo</w:t>
            </w:r>
          </w:p>
        </w:tc>
        <w:tc>
          <w:tcPr/>
          <w:p w:rsidR="00000000" w:rsidDel="00000000" w:rsidP="00000000" w:rsidRDefault="00000000" w:rsidRPr="00000000" w14:paraId="00000076">
            <w:pPr>
              <w:jc w:val="center"/>
              <w:rPr>
                <w:rFonts w:ascii="Dax-Regular" w:cs="Dax-Regular" w:eastAsia="Dax-Regular" w:hAnsi="Dax-Regular"/>
                <w:sz w:val="24"/>
                <w:szCs w:val="24"/>
              </w:rPr>
            </w:pPr>
            <w:r w:rsidDel="00000000" w:rsidR="00000000" w:rsidRPr="00000000">
              <w:rPr>
                <w:rFonts w:ascii="Dax-Regular" w:cs="Dax-Regular" w:eastAsia="Dax-Regular" w:hAnsi="Dax-Regular"/>
                <w:sz w:val="24"/>
                <w:szCs w:val="24"/>
                <w:rtl w:val="0"/>
              </w:rPr>
              <w:t xml:space="preserve">Arreglo (ARRAYLIST)</w:t>
            </w:r>
          </w:p>
        </w:tc>
        <w:tc>
          <w:tcPr/>
          <w:p w:rsidR="00000000" w:rsidDel="00000000" w:rsidP="00000000" w:rsidRDefault="00000000" w:rsidRPr="00000000" w14:paraId="00000077">
            <w:pPr>
              <w:jc w:val="center"/>
              <w:rPr>
                <w:rFonts w:ascii="Dax-Regular" w:cs="Dax-Regular" w:eastAsia="Dax-Regular" w:hAnsi="Dax-Regular"/>
                <w:sz w:val="24"/>
                <w:szCs w:val="24"/>
              </w:rPr>
            </w:pPr>
            <w:r w:rsidDel="00000000" w:rsidR="00000000" w:rsidRPr="00000000">
              <w:rPr>
                <w:rFonts w:ascii="Dax-Regular" w:cs="Dax-Regular" w:eastAsia="Dax-Regular" w:hAnsi="Dax-Regular"/>
                <w:sz w:val="24"/>
                <w:szCs w:val="24"/>
                <w:rtl w:val="0"/>
              </w:rPr>
              <w:t xml:space="preserve">Lista enlazada (LINKED_LIST)</w:t>
            </w:r>
          </w:p>
        </w:tc>
      </w:tr>
      <w:tr>
        <w:trPr>
          <w:cantSplit w:val="0"/>
          <w:tblHeader w:val="0"/>
        </w:trPr>
        <w:tc>
          <w:tcPr/>
          <w:p w:rsidR="00000000" w:rsidDel="00000000" w:rsidP="00000000" w:rsidRDefault="00000000" w:rsidRPr="00000000" w14:paraId="00000078">
            <w:pPr>
              <w:tabs>
                <w:tab w:val="right" w:pos="2121"/>
              </w:tabs>
              <w:jc w:val="center"/>
              <w:rPr>
                <w:rFonts w:ascii="Dax-Regular" w:cs="Dax-Regular" w:eastAsia="Dax-Regular" w:hAnsi="Dax-Regular"/>
                <w:i w:val="1"/>
              </w:rPr>
            </w:pPr>
            <w:r w:rsidDel="00000000" w:rsidR="00000000" w:rsidRPr="00000000">
              <w:rPr>
                <w:rFonts w:ascii="Dax-Regular" w:cs="Dax-Regular" w:eastAsia="Dax-Regular" w:hAnsi="Dax-Regular"/>
                <w:b w:val="0"/>
                <w:i w:val="1"/>
                <w:rtl w:val="0"/>
              </w:rPr>
              <w:t xml:space="preserve">Insertion Sort</w:t>
            </w:r>
            <w:r w:rsidDel="00000000" w:rsidR="00000000" w:rsidRPr="00000000">
              <w:rPr>
                <w:rtl w:val="0"/>
              </w:rPr>
            </w:r>
          </w:p>
        </w:tc>
        <w:tc>
          <w:tcPr/>
          <w:p w:rsidR="00000000" w:rsidDel="00000000" w:rsidP="00000000" w:rsidRDefault="00000000" w:rsidRPr="00000000" w14:paraId="00000079">
            <w:pPr>
              <w:jc w:val="both"/>
              <w:rPr>
                <w:rFonts w:ascii="Dax-Regular" w:cs="Dax-Regular" w:eastAsia="Dax-Regular" w:hAnsi="Dax-Regular"/>
              </w:rPr>
            </w:pPr>
            <w:r w:rsidDel="00000000" w:rsidR="00000000" w:rsidRPr="00000000">
              <w:rPr>
                <w:rFonts w:ascii="Dax-Regular" w:cs="Dax-Regular" w:eastAsia="Dax-Regular" w:hAnsi="Dax-Regular"/>
                <w:rtl w:val="0"/>
              </w:rPr>
              <w:t xml:space="preserve">Más eficiente</w:t>
            </w:r>
          </w:p>
        </w:tc>
        <w:tc>
          <w:tcPr/>
          <w:p w:rsidR="00000000" w:rsidDel="00000000" w:rsidP="00000000" w:rsidRDefault="00000000" w:rsidRPr="00000000" w14:paraId="0000007A">
            <w:pPr>
              <w:jc w:val="both"/>
              <w:rPr>
                <w:rFonts w:ascii="Dax-Regular" w:cs="Dax-Regular" w:eastAsia="Dax-Regular" w:hAnsi="Dax-Regular"/>
              </w:rPr>
            </w:pPr>
            <w:r w:rsidDel="00000000" w:rsidR="00000000" w:rsidRPr="00000000">
              <w:rPr>
                <w:rFonts w:ascii="Dax-Regular" w:cs="Dax-Regular" w:eastAsia="Dax-Regular" w:hAnsi="Dax-Regular"/>
                <w:rtl w:val="0"/>
              </w:rPr>
              <w:t xml:space="preserve">Menos eficiente</w:t>
            </w:r>
          </w:p>
        </w:tc>
      </w:tr>
      <w:tr>
        <w:trPr>
          <w:cantSplit w:val="0"/>
          <w:tblHeader w:val="0"/>
        </w:trPr>
        <w:tc>
          <w:tcPr/>
          <w:p w:rsidR="00000000" w:rsidDel="00000000" w:rsidP="00000000" w:rsidRDefault="00000000" w:rsidRPr="00000000" w14:paraId="0000007B">
            <w:pPr>
              <w:tabs>
                <w:tab w:val="right" w:pos="2121"/>
              </w:tabs>
              <w:jc w:val="center"/>
              <w:rPr>
                <w:rFonts w:ascii="Dax-Regular" w:cs="Dax-Regular" w:eastAsia="Dax-Regular" w:hAnsi="Dax-Regular"/>
                <w:i w:val="1"/>
              </w:rPr>
            </w:pPr>
            <w:r w:rsidDel="00000000" w:rsidR="00000000" w:rsidRPr="00000000">
              <w:rPr>
                <w:rFonts w:ascii="Dax-Regular" w:cs="Dax-Regular" w:eastAsia="Dax-Regular" w:hAnsi="Dax-Regular"/>
                <w:b w:val="0"/>
                <w:i w:val="1"/>
                <w:rtl w:val="0"/>
              </w:rPr>
              <w:t xml:space="preserve">Shell Sort</w:t>
            </w:r>
            <w:r w:rsidDel="00000000" w:rsidR="00000000" w:rsidRPr="00000000">
              <w:rPr>
                <w:rtl w:val="0"/>
              </w:rPr>
            </w:r>
          </w:p>
        </w:tc>
        <w:tc>
          <w:tcPr/>
          <w:p w:rsidR="00000000" w:rsidDel="00000000" w:rsidP="00000000" w:rsidRDefault="00000000" w:rsidRPr="00000000" w14:paraId="0000007C">
            <w:pPr>
              <w:jc w:val="both"/>
              <w:rPr>
                <w:rFonts w:ascii="Dax-Regular" w:cs="Dax-Regular" w:eastAsia="Dax-Regular" w:hAnsi="Dax-Regular"/>
              </w:rPr>
            </w:pPr>
            <w:r w:rsidDel="00000000" w:rsidR="00000000" w:rsidRPr="00000000">
              <w:rPr>
                <w:rFonts w:ascii="Dax-Regular" w:cs="Dax-Regular" w:eastAsia="Dax-Regular" w:hAnsi="Dax-Regular"/>
                <w:rtl w:val="0"/>
              </w:rPr>
              <w:t xml:space="preserve">Más eficiente</w:t>
            </w:r>
          </w:p>
        </w:tc>
        <w:tc>
          <w:tcPr/>
          <w:p w:rsidR="00000000" w:rsidDel="00000000" w:rsidP="00000000" w:rsidRDefault="00000000" w:rsidRPr="00000000" w14:paraId="0000007D">
            <w:pPr>
              <w:jc w:val="both"/>
              <w:rPr>
                <w:rFonts w:ascii="Dax-Regular" w:cs="Dax-Regular" w:eastAsia="Dax-Regular" w:hAnsi="Dax-Regular"/>
              </w:rPr>
            </w:pPr>
            <w:r w:rsidDel="00000000" w:rsidR="00000000" w:rsidRPr="00000000">
              <w:rPr>
                <w:rFonts w:ascii="Dax-Regular" w:cs="Dax-Regular" w:eastAsia="Dax-Regular" w:hAnsi="Dax-Regular"/>
                <w:rtl w:val="0"/>
              </w:rPr>
              <w:t xml:space="preserve">Menos eficiente</w:t>
            </w:r>
          </w:p>
        </w:tc>
      </w:tr>
      <w:tr>
        <w:trPr>
          <w:cantSplit w:val="0"/>
          <w:tblHeader w:val="0"/>
        </w:trPr>
        <w:tc>
          <w:tcPr/>
          <w:p w:rsidR="00000000" w:rsidDel="00000000" w:rsidP="00000000" w:rsidRDefault="00000000" w:rsidRPr="00000000" w14:paraId="0000007E">
            <w:pPr>
              <w:jc w:val="center"/>
              <w:rPr>
                <w:rFonts w:ascii="Dax-Regular" w:cs="Dax-Regular" w:eastAsia="Dax-Regular" w:hAnsi="Dax-Regular"/>
                <w:i w:val="1"/>
              </w:rPr>
            </w:pPr>
            <w:r w:rsidDel="00000000" w:rsidR="00000000" w:rsidRPr="00000000">
              <w:rPr>
                <w:rFonts w:ascii="Dax-Regular" w:cs="Dax-Regular" w:eastAsia="Dax-Regular" w:hAnsi="Dax-Regular"/>
                <w:b w:val="0"/>
                <w:i w:val="1"/>
                <w:rtl w:val="0"/>
              </w:rPr>
              <w:t xml:space="preserve">Merge Sort</w:t>
            </w:r>
            <w:r w:rsidDel="00000000" w:rsidR="00000000" w:rsidRPr="00000000">
              <w:rPr>
                <w:rtl w:val="0"/>
              </w:rPr>
            </w:r>
          </w:p>
        </w:tc>
        <w:tc>
          <w:tcPr/>
          <w:p w:rsidR="00000000" w:rsidDel="00000000" w:rsidP="00000000" w:rsidRDefault="00000000" w:rsidRPr="00000000" w14:paraId="0000007F">
            <w:pPr>
              <w:jc w:val="both"/>
              <w:rPr>
                <w:rFonts w:ascii="Dax-Regular" w:cs="Dax-Regular" w:eastAsia="Dax-Regular" w:hAnsi="Dax-Regular"/>
              </w:rPr>
            </w:pPr>
            <w:r w:rsidDel="00000000" w:rsidR="00000000" w:rsidRPr="00000000">
              <w:rPr>
                <w:rFonts w:ascii="Dax-Regular" w:cs="Dax-Regular" w:eastAsia="Dax-Regular" w:hAnsi="Dax-Regular"/>
                <w:rtl w:val="0"/>
              </w:rPr>
              <w:t xml:space="preserve">Más eficiente</w:t>
            </w:r>
          </w:p>
        </w:tc>
        <w:tc>
          <w:tcPr/>
          <w:p w:rsidR="00000000" w:rsidDel="00000000" w:rsidP="00000000" w:rsidRDefault="00000000" w:rsidRPr="00000000" w14:paraId="00000080">
            <w:pPr>
              <w:jc w:val="both"/>
              <w:rPr>
                <w:rFonts w:ascii="Dax-Regular" w:cs="Dax-Regular" w:eastAsia="Dax-Regular" w:hAnsi="Dax-Regular"/>
              </w:rPr>
            </w:pPr>
            <w:r w:rsidDel="00000000" w:rsidR="00000000" w:rsidRPr="00000000">
              <w:rPr>
                <w:rFonts w:ascii="Dax-Regular" w:cs="Dax-Regular" w:eastAsia="Dax-Regular" w:hAnsi="Dax-Regular"/>
                <w:rtl w:val="0"/>
              </w:rPr>
              <w:t xml:space="preserve">Menos eficiente</w:t>
            </w:r>
          </w:p>
        </w:tc>
      </w:tr>
      <w:tr>
        <w:trPr>
          <w:cantSplit w:val="0"/>
          <w:tblHeader w:val="0"/>
        </w:trPr>
        <w:tc>
          <w:tcPr/>
          <w:p w:rsidR="00000000" w:rsidDel="00000000" w:rsidP="00000000" w:rsidRDefault="00000000" w:rsidRPr="00000000" w14:paraId="00000081">
            <w:pPr>
              <w:jc w:val="center"/>
              <w:rPr>
                <w:rFonts w:ascii="Dax-Regular" w:cs="Dax-Regular" w:eastAsia="Dax-Regular" w:hAnsi="Dax-Regular"/>
                <w:i w:val="1"/>
              </w:rPr>
            </w:pPr>
            <w:r w:rsidDel="00000000" w:rsidR="00000000" w:rsidRPr="00000000">
              <w:rPr>
                <w:rFonts w:ascii="Dax-Regular" w:cs="Dax-Regular" w:eastAsia="Dax-Regular" w:hAnsi="Dax-Regular"/>
                <w:b w:val="0"/>
                <w:i w:val="1"/>
                <w:rtl w:val="0"/>
              </w:rPr>
              <w:t xml:space="preserve">Quick Sort</w:t>
            </w:r>
            <w:r w:rsidDel="00000000" w:rsidR="00000000" w:rsidRPr="00000000">
              <w:rPr>
                <w:rtl w:val="0"/>
              </w:rPr>
            </w:r>
          </w:p>
        </w:tc>
        <w:tc>
          <w:tcPr/>
          <w:p w:rsidR="00000000" w:rsidDel="00000000" w:rsidP="00000000" w:rsidRDefault="00000000" w:rsidRPr="00000000" w14:paraId="00000082">
            <w:pPr>
              <w:jc w:val="both"/>
              <w:rPr>
                <w:rFonts w:ascii="Dax-Regular" w:cs="Dax-Regular" w:eastAsia="Dax-Regular" w:hAnsi="Dax-Regular"/>
              </w:rPr>
            </w:pPr>
            <w:r w:rsidDel="00000000" w:rsidR="00000000" w:rsidRPr="00000000">
              <w:rPr>
                <w:rFonts w:ascii="Dax-Regular" w:cs="Dax-Regular" w:eastAsia="Dax-Regular" w:hAnsi="Dax-Regular"/>
                <w:rtl w:val="0"/>
              </w:rPr>
              <w:t xml:space="preserve">Más eficiente</w:t>
            </w:r>
          </w:p>
        </w:tc>
        <w:tc>
          <w:tcPr/>
          <w:p w:rsidR="00000000" w:rsidDel="00000000" w:rsidP="00000000" w:rsidRDefault="00000000" w:rsidRPr="00000000" w14:paraId="00000083">
            <w:pPr>
              <w:jc w:val="both"/>
              <w:rPr>
                <w:rFonts w:ascii="Dax-Regular" w:cs="Dax-Regular" w:eastAsia="Dax-Regular" w:hAnsi="Dax-Regular"/>
              </w:rPr>
            </w:pPr>
            <w:r w:rsidDel="00000000" w:rsidR="00000000" w:rsidRPr="00000000">
              <w:rPr>
                <w:rFonts w:ascii="Dax-Regular" w:cs="Dax-Regular" w:eastAsia="Dax-Regular" w:hAnsi="Dax-Regular"/>
                <w:rtl w:val="0"/>
              </w:rPr>
              <w:t xml:space="preserve">Menos eficiente</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00" w:line="240" w:lineRule="auto"/>
        <w:jc w:val="center"/>
        <w:rPr>
          <w:rFonts w:ascii="Dax-Regular" w:cs="Dax-Regular" w:eastAsia="Dax-Regular" w:hAnsi="Dax-Regular"/>
          <w:i w:val="1"/>
          <w:color w:val="44546a"/>
          <w:sz w:val="18"/>
          <w:szCs w:val="18"/>
        </w:rPr>
      </w:pPr>
      <w:r w:rsidDel="00000000" w:rsidR="00000000" w:rsidRPr="00000000">
        <w:rPr>
          <w:i w:val="1"/>
          <w:color w:val="44546a"/>
          <w:sz w:val="18"/>
          <w:szCs w:val="18"/>
          <w:rtl w:val="0"/>
        </w:rPr>
        <w:t xml:space="preserve">Tabla 4. Comparación de eficiencia de acuerdo con los algoritmos de ordenamientos y estructuras de datos utilizadas.</w:t>
      </w:r>
      <w:r w:rsidDel="00000000" w:rsidR="00000000" w:rsidRPr="00000000">
        <w:rPr>
          <w:rtl w:val="0"/>
        </w:rPr>
      </w:r>
    </w:p>
    <w:p w:rsidR="00000000" w:rsidDel="00000000" w:rsidP="00000000" w:rsidRDefault="00000000" w:rsidRPr="00000000" w14:paraId="00000085">
      <w:pPr>
        <w:pStyle w:val="Heading1"/>
        <w:rPr>
          <w:b w:val="1"/>
        </w:rPr>
      </w:pPr>
      <w:r w:rsidDel="00000000" w:rsidR="00000000" w:rsidRPr="00000000">
        <w:rPr>
          <w:b w:val="1"/>
          <w:rtl w:val="0"/>
        </w:rPr>
        <w:t xml:space="preserve">Preguntas de análisis</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pacing w:after="0" w:lineRule="auto"/>
        <w:ind w:left="360" w:hanging="360"/>
        <w:jc w:val="both"/>
        <w:rPr>
          <w:color w:val="000000"/>
        </w:rPr>
      </w:pPr>
      <w:r w:rsidDel="00000000" w:rsidR="00000000" w:rsidRPr="00000000">
        <w:rPr>
          <w:rFonts w:ascii="Dax-Regular" w:cs="Dax-Regular" w:eastAsia="Dax-Regular" w:hAnsi="Dax-Regular"/>
          <w:color w:val="000000"/>
          <w:rtl w:val="0"/>
        </w:rPr>
        <w:t xml:space="preserve">¿El comportamiento de los algoritmos es acorde a lo enunciado teóricamente?</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Fonts w:ascii="Dax-Regular" w:cs="Dax-Regular" w:eastAsia="Dax-Regular" w:hAnsi="Dax-Regular"/>
          <w:rtl w:val="0"/>
        </w:rPr>
        <w:t xml:space="preserve">Los algoritmos se comportan como esperado en el sentido de que los que presentan mayor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pacing w:after="0" w:lineRule="auto"/>
        <w:ind w:left="360" w:hanging="360"/>
        <w:jc w:val="both"/>
        <w:rPr>
          <w:color w:val="000000"/>
        </w:rPr>
      </w:pPr>
      <w:r w:rsidDel="00000000" w:rsidR="00000000" w:rsidRPr="00000000">
        <w:rPr>
          <w:rFonts w:ascii="Dax-Regular" w:cs="Dax-Regular" w:eastAsia="Dax-Regular" w:hAnsi="Dax-Regular"/>
          <w:color w:val="000000"/>
          <w:rtl w:val="0"/>
        </w:rPr>
        <w:t xml:space="preserve">¿Existe alguna diferencia entre los resultados obtenidos al ejecutar las pruebas en diferentes máquinas?</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Fonts w:ascii="Dax-Regular" w:cs="Dax-Regular" w:eastAsia="Dax-Regular" w:hAnsi="Dax-Regular"/>
          <w:rtl w:val="0"/>
        </w:rPr>
        <w:t xml:space="preserve">Existe una diferencia notable entre los resultados obtenidos al ejecutar las pruebas en diferentes máquinas. La máquina 1 fue bastante más veloz que la máquina 2. Esto se puede deber a la diferencia en  la memoria RAM de las máquinas.</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pacing w:after="0" w:lineRule="auto"/>
        <w:ind w:left="360" w:hanging="360"/>
        <w:jc w:val="both"/>
        <w:rPr>
          <w:color w:val="000000"/>
        </w:rPr>
      </w:pPr>
      <w:r w:rsidDel="00000000" w:rsidR="00000000" w:rsidRPr="00000000">
        <w:rPr>
          <w:rFonts w:ascii="Dax-Regular" w:cs="Dax-Regular" w:eastAsia="Dax-Regular" w:hAnsi="Dax-Regular"/>
          <w:color w:val="000000"/>
          <w:rtl w:val="0"/>
        </w:rPr>
        <w:t xml:space="preserve">De existir diferencias, ¿a qué creen que se deben?</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Fonts w:ascii="Dax-Regular" w:cs="Dax-Regular" w:eastAsia="Dax-Regular" w:hAnsi="Dax-Regular"/>
          <w:rtl w:val="0"/>
        </w:rPr>
        <w:t xml:space="preserve">Es probable que las diferencias existentes en los resultados obtenidos al ejecutar las pruebas en diferentes máquinas se deban a la memoria RAM de cada máquina. También pueden estar relacionadas con los procesos adicionales que en cada máquina estaban teniendo lugar mientras se hacían lasd pruebas. Se evidencia que una máquina con mayor memoria RAM responde de mejor manera a las pruebas.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pacing w:after="0" w:lineRule="auto"/>
        <w:ind w:left="360" w:hanging="360"/>
        <w:jc w:val="both"/>
        <w:rPr>
          <w:color w:val="000000"/>
        </w:rPr>
      </w:pPr>
      <w:r w:rsidDel="00000000" w:rsidR="00000000" w:rsidRPr="00000000">
        <w:rPr>
          <w:rFonts w:ascii="Dax-Regular" w:cs="Dax-Regular" w:eastAsia="Dax-Regular" w:hAnsi="Dax-Regular"/>
          <w:color w:val="000000"/>
          <w:rtl w:val="0"/>
        </w:rPr>
        <w:t xml:space="preserve">¿Cuál Estructura de Datos funciona mejor si solo se tiene en cuenta los tiempos de ejecución de los algoritmos?</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Fonts w:ascii="Dax-Regular" w:cs="Dax-Regular" w:eastAsia="Dax-Regular" w:hAnsi="Dax-Regular"/>
          <w:rtl w:val="0"/>
        </w:rPr>
        <w:t xml:space="preserve">Teniendo en cuenta únicamente los tiempos de ejecución de los algoritmos, funciona mejor el arreglo.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pacing w:after="0" w:lineRule="auto"/>
        <w:ind w:left="360" w:hanging="360"/>
        <w:jc w:val="both"/>
        <w:rPr>
          <w:color w:val="000000"/>
        </w:rPr>
      </w:pPr>
      <w:r w:rsidDel="00000000" w:rsidR="00000000" w:rsidRPr="00000000">
        <w:rPr>
          <w:rFonts w:ascii="Dax-Regular" w:cs="Dax-Regular" w:eastAsia="Dax-Regular" w:hAnsi="Dax-Regular"/>
          <w:color w:val="000000"/>
          <w:rtl w:val="0"/>
        </w:rPr>
        <w:t xml:space="preserve">Teniendo en cuenta las pruebas de tiempo de ejecución por todos los algoritmos de ordenamiento estudiados (iterativos y recursivos), proponga un ranking de los mismo de mayor eficiencia a menor eficiencia en tiempo para ordenar la mayor cantidad de obras de arte.</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Fonts w:ascii="Dax-Regular" w:cs="Dax-Regular" w:eastAsia="Dax-Regular" w:hAnsi="Dax-Regular"/>
          <w:rtl w:val="0"/>
        </w:rPr>
        <w:t xml:space="preserve">Se propone el siguiente ranking:</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Dax-Regular" w:cs="Dax-Regular" w:eastAsia="Dax-Regular" w:hAnsi="Dax-Regular"/>
          <w:u w:val="none"/>
        </w:rPr>
      </w:pPr>
      <w:r w:rsidDel="00000000" w:rsidR="00000000" w:rsidRPr="00000000">
        <w:rPr>
          <w:rFonts w:ascii="Dax-Regular" w:cs="Dax-Regular" w:eastAsia="Dax-Regular" w:hAnsi="Dax-Regular"/>
          <w:rtl w:val="0"/>
        </w:rPr>
        <w:t xml:space="preserve">Merge Sort</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Dax-Regular" w:cs="Dax-Regular" w:eastAsia="Dax-Regular" w:hAnsi="Dax-Regular"/>
          <w:u w:val="no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Fonts w:ascii="Dax-Regular" w:cs="Dax-Regular" w:eastAsia="Dax-Regular" w:hAnsi="Dax-Regular"/>
          <w:rtl w:val="0"/>
        </w:rPr>
        <w:t xml:space="preserve">3.</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Fonts w:ascii="Dax-Regular" w:cs="Dax-Regular" w:eastAsia="Dax-Regular" w:hAnsi="Dax-Regular"/>
          <w:rtl w:val="0"/>
        </w:rPr>
        <w:t xml:space="preserve">4.</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Rule="auto"/>
        <w:jc w:val="both"/>
        <w:rPr>
          <w:rFonts w:ascii="Dax-Regular" w:cs="Dax-Regular" w:eastAsia="Dax-Regular" w:hAnsi="Dax-Regular"/>
        </w:rPr>
      </w:pPr>
      <w:r w:rsidDel="00000000" w:rsidR="00000000" w:rsidRPr="00000000">
        <w:rPr>
          <w:rFonts w:ascii="Dax-Regular" w:cs="Dax-Regular" w:eastAsia="Dax-Regular" w:hAnsi="Dax-Regular"/>
          <w:rtl w:val="0"/>
        </w:rPr>
        <w:t xml:space="preserve">5.</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Dax-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A57EBE"/>
    <w:rPr>
      <w:noProof w:val="1"/>
    </w:rPr>
  </w:style>
  <w:style w:type="paragraph" w:styleId="Ttulo1">
    <w:name w:val="heading 1"/>
    <w:basedOn w:val="Normal"/>
    <w:next w:val="Normal"/>
    <w:link w:val="Ttulo1Car"/>
    <w:uiPriority w:val="9"/>
    <w:qFormat w:val="1"/>
    <w:rsid w:val="001826C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1826C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BA3B38"/>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BA3B38"/>
    <w:rPr>
      <w:rFonts w:asciiTheme="majorHAnsi" w:cstheme="majorBidi" w:eastAsiaTheme="majorEastAsia" w:hAnsiTheme="majorHAnsi"/>
      <w:noProof w:val="1"/>
      <w:spacing w:val="-10"/>
      <w:kern w:val="28"/>
      <w:sz w:val="56"/>
      <w:szCs w:val="56"/>
    </w:rPr>
  </w:style>
  <w:style w:type="paragraph" w:styleId="Prrafodelista">
    <w:name w:val="List Paragraph"/>
    <w:basedOn w:val="Normal"/>
    <w:uiPriority w:val="34"/>
    <w:qFormat w:val="1"/>
    <w:rsid w:val="00667C88"/>
    <w:pPr>
      <w:ind w:left="720"/>
      <w:contextualSpacing w:val="1"/>
    </w:pPr>
    <w:rPr>
      <w:noProof w:val="0"/>
    </w:rPr>
  </w:style>
  <w:style w:type="paragraph" w:styleId="Descripcin">
    <w:name w:val="caption"/>
    <w:basedOn w:val="Normal"/>
    <w:next w:val="Normal"/>
    <w:uiPriority w:val="35"/>
    <w:unhideWhenUsed w:val="1"/>
    <w:qFormat w:val="1"/>
    <w:rsid w:val="005C50D1"/>
    <w:pPr>
      <w:spacing w:after="200" w:line="240" w:lineRule="auto"/>
    </w:pPr>
    <w:rPr>
      <w:i w:val="1"/>
      <w:iCs w:val="1"/>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character" w:styleId="Ttulo1Car" w:customStyle="1">
    <w:name w:val="Título 1 Car"/>
    <w:basedOn w:val="Fuentedeprrafopredeter"/>
    <w:link w:val="Ttulo1"/>
    <w:uiPriority w:val="9"/>
    <w:rsid w:val="001826C9"/>
    <w:rPr>
      <w:rFonts w:asciiTheme="majorHAnsi" w:cstheme="majorBidi" w:eastAsiaTheme="majorEastAsia" w:hAnsiTheme="majorHAnsi"/>
      <w:noProof w:val="1"/>
      <w:color w:val="2f5496" w:themeColor="accent1" w:themeShade="0000BF"/>
      <w:sz w:val="32"/>
      <w:szCs w:val="32"/>
    </w:rPr>
  </w:style>
  <w:style w:type="character" w:styleId="Ttulo2Car" w:customStyle="1">
    <w:name w:val="Título 2 Car"/>
    <w:basedOn w:val="Fuentedeprrafopredeter"/>
    <w:link w:val="Ttulo2"/>
    <w:uiPriority w:val="9"/>
    <w:rsid w:val="001826C9"/>
    <w:rPr>
      <w:rFonts w:asciiTheme="majorHAnsi" w:cstheme="majorBidi" w:eastAsiaTheme="majorEastAsia" w:hAnsiTheme="majorHAnsi"/>
      <w:noProof w:val="1"/>
      <w:color w:val="2f5496" w:themeColor="accent1" w:themeShade="0000BF"/>
      <w:sz w:val="26"/>
      <w:szCs w:val="2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pPr>
      <w:spacing w:after="0" w:line="240" w:lineRule="auto"/>
    </w:pPr>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tblPr>
      <w:tblStyleRowBandSize w:val="1"/>
      <w:tblStyleColBandSize w:val="1"/>
      <w:tblCellMar>
        <w:left w:w="115.0" w:type="dxa"/>
        <w:right w:w="115.0" w:type="dxa"/>
      </w:tblCellMar>
    </w:tblPr>
  </w:style>
  <w:style w:type="table" w:styleId="a2" w:customStyle="1">
    <w:basedOn w:val="Tablanormal"/>
    <w:pPr>
      <w:spacing w:after="0" w:line="240" w:lineRule="auto"/>
    </w:pPr>
    <w:tblPr>
      <w:tblStyleRowBandSize w:val="1"/>
      <w:tblStyleColBandSize w:val="1"/>
    </w:tblPr>
    <w:tblStylePr w:type="firstRow">
      <w:rPr>
        <w:b w:val="1"/>
      </w:rPr>
      <w:tblPr/>
      <w:tcPr>
        <w:tcBorders>
          <w:top w:space="0" w:sz="0" w:val="nil"/>
          <w:bottom w:color="c9c9c9" w:space="0" w:sz="12" w:val="single"/>
          <w:insideH w:space="0" w:sz="0" w:val="nil"/>
          <w:insideV w:space="0" w:sz="0" w:val="nil"/>
        </w:tcBorders>
        <w:shd w:color="auto" w:fill="ffffff" w:val="clear"/>
      </w:tcPr>
    </w:tblStylePr>
    <w:tblStylePr w:type="lastRow">
      <w:rPr>
        <w:b w:val="1"/>
      </w:rPr>
      <w:tblPr/>
      <w:tcPr>
        <w:tcBorders>
          <w:top w:color="c9c9c9"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anormal"/>
    <w:tblPr>
      <w:tblStyleRowBandSize w:val="1"/>
      <w:tblStyleColBandSize w:val="1"/>
      <w:tblCellMar>
        <w:left w:w="115.0" w:type="dxa"/>
        <w:right w:w="115.0" w:type="dxa"/>
      </w:tblCellMar>
    </w:tblPr>
  </w:style>
  <w:style w:type="table" w:styleId="a4" w:customStyle="1">
    <w:basedOn w:val="Tablanormal"/>
    <w:tblPr>
      <w:tblStyleRowBandSize w:val="1"/>
      <w:tblStyleColBandSize w:val="1"/>
      <w:tblCellMar>
        <w:left w:w="115.0" w:type="dxa"/>
        <w:right w:w="115.0" w:type="dxa"/>
      </w:tblCellMar>
    </w:tblPr>
  </w:style>
  <w:style w:type="table" w:styleId="a5" w:customStyle="1">
    <w:basedOn w:val="Tablanormal"/>
    <w:pPr>
      <w:spacing w:after="0" w:line="240" w:lineRule="auto"/>
    </w:pPr>
    <w:tblPr>
      <w:tblStyleRowBandSize w:val="1"/>
      <w:tblStyleColBandSize w:val="1"/>
    </w:tblPr>
    <w:tblStylePr w:type="firstRow">
      <w:rPr>
        <w:b w:val="1"/>
      </w:rPr>
      <w:tblPr/>
      <w:tcPr>
        <w:tcBorders>
          <w:top w:space="0" w:sz="0" w:val="nil"/>
          <w:bottom w:color="c9c9c9" w:space="0" w:sz="12" w:val="single"/>
          <w:insideH w:space="0" w:sz="0" w:val="nil"/>
          <w:insideV w:space="0" w:sz="0" w:val="nil"/>
        </w:tcBorders>
        <w:shd w:color="auto" w:fill="ffffff" w:val="clear"/>
      </w:tcPr>
    </w:tblStylePr>
    <w:tblStylePr w:type="lastRow">
      <w:rPr>
        <w:b w:val="1"/>
      </w:rPr>
      <w:tblPr/>
      <w:tcPr>
        <w:tcBorders>
          <w:top w:color="c9c9c9"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npC9B8rp2qPYdB1sWTzsRrHEBQ==">AMUW2mWCI5DsJGY99sONORsavQDlZYEFr6bcdnY7VbZaza8sHgjN/Vjc82WpEq4ZVxj/eQQ15gt/ZYX3ZVB44EQIT5KbfYo/4E4nR5xMN+IY0cjxTgi6PDIvmtjAHLs7NIH+3Bwl1aW3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2021-02-10T17:06:00Z</dcterms:created>
  <dc:creator>Santiago Felipe Arteaga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