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C81B73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CC7D0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C81B73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DA51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C81B73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0A2A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D20A2D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C81B73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611E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C81B73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C81B73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1589BCCF" w:rsidR="009D0237" w:rsidRDefault="009B2C73" w:rsidP="009D0237">
      <w:pPr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(#llaves-a)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+#llaves(o)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6798EAA8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706F2125" w14:textId="7D1F656F" w:rsidR="00FA71DE" w:rsidRPr="00FA71DE" w:rsidRDefault="00FA71DE" w:rsidP="000E2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requerimiento 6 se creó una función que recibe los parámetros ingresados en el requerimiento 5. </w:t>
      </w:r>
      <w:r w:rsidR="000E2BE6">
        <w:rPr>
          <w:rFonts w:ascii="Times New Roman" w:hAnsi="Times New Roman" w:cs="Times New Roman"/>
          <w:sz w:val="24"/>
          <w:szCs w:val="24"/>
        </w:rPr>
        <w:t xml:space="preserve">Se crea el mapa de folium con los parámetros.  </w:t>
      </w:r>
      <w:r>
        <w:rPr>
          <w:rFonts w:ascii="Times New Roman" w:hAnsi="Times New Roman" w:cs="Times New Roman"/>
          <w:sz w:val="24"/>
          <w:szCs w:val="24"/>
        </w:rPr>
        <w:t>Posteriormente se utiliza la librería de pandas para crear un dataframe de la lista de avistamientos retornados en el requerimiento 5</w:t>
      </w:r>
      <w:r w:rsidR="000E2BE6">
        <w:rPr>
          <w:rFonts w:ascii="Times New Roman" w:hAnsi="Times New Roman" w:cs="Times New Roman"/>
          <w:sz w:val="24"/>
          <w:szCs w:val="24"/>
        </w:rPr>
        <w:t xml:space="preserve">, para esto se crea un csv que guarda esa información. Luego se utiliza el método </w:t>
      </w:r>
      <w:proofErr w:type="gramStart"/>
      <w:r w:rsidR="000E2BE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="000E2BE6">
        <w:rPr>
          <w:rFonts w:ascii="Times New Roman" w:hAnsi="Times New Roman" w:cs="Times New Roman"/>
          <w:sz w:val="24"/>
          <w:szCs w:val="24"/>
        </w:rPr>
        <w:t>) de pandas para aplicar una funcion al dataframe y se crea una funcion anónima(lambda)</w:t>
      </w:r>
      <w:r w:rsidR="0052044D">
        <w:rPr>
          <w:rFonts w:ascii="Times New Roman" w:hAnsi="Times New Roman" w:cs="Times New Roman"/>
          <w:sz w:val="24"/>
          <w:szCs w:val="24"/>
        </w:rPr>
        <w:t xml:space="preserve"> 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 utilizando el método </w:t>
      </w:r>
      <w:r w:rsidR="00C81B73">
        <w:rPr>
          <w:rFonts w:ascii="Times New Roman" w:hAnsi="Times New Roman" w:cs="Times New Roman"/>
          <w:sz w:val="24"/>
          <w:szCs w:val="24"/>
        </w:rPr>
        <w:t xml:space="preserve">folium.marker()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8030F"/>
    <w:rsid w:val="001815EB"/>
    <w:rsid w:val="001B66FE"/>
    <w:rsid w:val="002F08F2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879C4"/>
    <w:rsid w:val="007A1042"/>
    <w:rsid w:val="007A60BC"/>
    <w:rsid w:val="007F4D6C"/>
    <w:rsid w:val="00872E67"/>
    <w:rsid w:val="008B09F1"/>
    <w:rsid w:val="0094369F"/>
    <w:rsid w:val="009559B4"/>
    <w:rsid w:val="00967335"/>
    <w:rsid w:val="009B2C73"/>
    <w:rsid w:val="009D0237"/>
    <w:rsid w:val="00A27C83"/>
    <w:rsid w:val="00AD6136"/>
    <w:rsid w:val="00AE00C0"/>
    <w:rsid w:val="00B72913"/>
    <w:rsid w:val="00BA3F53"/>
    <w:rsid w:val="00C02DF0"/>
    <w:rsid w:val="00C81B73"/>
    <w:rsid w:val="00C8512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DB1B94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3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17</cp:revision>
  <dcterms:created xsi:type="dcterms:W3CDTF">2021-10-26T23:22:00Z</dcterms:created>
  <dcterms:modified xsi:type="dcterms:W3CDTF">2021-11-11T03:11:00Z</dcterms:modified>
</cp:coreProperties>
</file>