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504C6B4" w:rsidR="00667C88" w:rsidRPr="00787C53" w:rsidRDefault="00871CE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Antonio Martínez Salazar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 w:rsidRPr="00871CEB">
        <w:rPr>
          <w:noProof w:val="0"/>
          <w:lang w:val="es-CO"/>
        </w:rPr>
        <w:t>201921009</w:t>
      </w:r>
    </w:p>
    <w:p w14:paraId="673598DC" w14:textId="089430DE" w:rsidR="00667C88" w:rsidRPr="00787C53" w:rsidRDefault="00871CE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Andrés Serrano Conti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201731766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54467D2" w14:textId="17FD2405" w:rsidR="00B744F1" w:rsidRDefault="00B744F1" w:rsidP="00B744F1">
      <w:pPr>
        <w:pStyle w:val="Prrafodelista"/>
        <w:numPr>
          <w:ilvl w:val="0"/>
          <w:numId w:val="17"/>
        </w:numPr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instrucción se usa para cambiar el límite de recursión de Python?</w:t>
      </w:r>
    </w:p>
    <w:p w14:paraId="03B8560B" w14:textId="31282C65" w:rsidR="00B744F1" w:rsidRPr="001F4D7D" w:rsidRDefault="00871CEB" w:rsidP="00871CEB">
      <w:pPr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Para cambiar el límite de recursión de python se utiliza la función de la librería </w:t>
      </w:r>
      <w:r w:rsidR="001F4D7D">
        <w:rPr>
          <w:rFonts w:ascii="Dax-Regular" w:hAnsi="Dax-Regular"/>
          <w:lang w:val="es-419"/>
        </w:rPr>
        <w:t xml:space="preserve">sys </w:t>
      </w:r>
      <w:r w:rsidR="001F4D7D" w:rsidRPr="001F4D7D">
        <w:rPr>
          <w:rFonts w:ascii="Dax-Regular" w:hAnsi="Dax-Regular"/>
          <w:lang w:val="es-419"/>
        </w:rPr>
        <w:t>setrecursionlimit</w:t>
      </w:r>
      <w:r w:rsidR="001F4D7D">
        <w:rPr>
          <w:rFonts w:ascii="Dax-Regular" w:hAnsi="Dax-Regular"/>
          <w:lang w:val="es-419"/>
        </w:rPr>
        <w:t>, la cual recibe por parámetro el nuevo límite de recursión que se desea.</w:t>
      </w:r>
    </w:p>
    <w:p w14:paraId="5CAAA974" w14:textId="60DFB028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¿Por qué considera que se debe hacer este cambio?</w:t>
      </w:r>
    </w:p>
    <w:p w14:paraId="72A7A16F" w14:textId="6D3BF827" w:rsidR="00B744F1" w:rsidRDefault="00B744F1" w:rsidP="00B744F1">
      <w:pPr>
        <w:pStyle w:val="Prrafodelista"/>
        <w:rPr>
          <w:rFonts w:ascii="Dax-Regular" w:hAnsi="Dax-Regular"/>
          <w:lang w:val="es-419"/>
        </w:rPr>
      </w:pPr>
    </w:p>
    <w:p w14:paraId="30ABEBBA" w14:textId="0494E0E4" w:rsidR="001F4D7D" w:rsidRPr="00B744F1" w:rsidRDefault="001F4D7D" w:rsidP="00F11471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Este cambio se debe hacer dado que para poder recorrer </w:t>
      </w:r>
      <w:r w:rsidR="00F11471">
        <w:rPr>
          <w:rFonts w:ascii="Dax-Regular" w:hAnsi="Dax-Regular"/>
          <w:lang w:val="es-419"/>
        </w:rPr>
        <w:t>un grafo, lo cual es necesario para realizar cualquier operación que se requiera, se necesita realizar una recursión</w:t>
      </w:r>
      <w:r w:rsidR="00E601AA">
        <w:rPr>
          <w:rFonts w:ascii="Dax-Regular" w:hAnsi="Dax-Regular"/>
          <w:lang w:val="es-419"/>
        </w:rPr>
        <w:t>. Por otro lado, dado que para realizar estas recursiones se debe realizar la función recursiva al menos una vez para cada vértice del grafo, y que en el catálogo más grande aparecen 14000 rutas, se necesita al menos un límite de recursión de 14000.</w:t>
      </w:r>
    </w:p>
    <w:p w14:paraId="45AF56F4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75A0C38" w14:textId="44C2D952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valor inicial que tiene Python cómo límite de recursión?</w:t>
      </w:r>
    </w:p>
    <w:p w14:paraId="0217E66D" w14:textId="1D9F655D" w:rsidR="00F11471" w:rsidRDefault="00F11471" w:rsidP="00F11471">
      <w:pPr>
        <w:spacing w:after="0"/>
        <w:jc w:val="both"/>
        <w:rPr>
          <w:rFonts w:ascii="Dax-Regular" w:hAnsi="Dax-Regular"/>
          <w:lang w:val="es-419"/>
        </w:rPr>
      </w:pPr>
    </w:p>
    <w:p w14:paraId="0700626D" w14:textId="5BAE1E7F" w:rsidR="00F11471" w:rsidRPr="00F11471" w:rsidRDefault="00F11471" w:rsidP="00F11471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1000.</w:t>
      </w:r>
    </w:p>
    <w:p w14:paraId="062F4DF5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F099904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44937B76" w14:textId="5099C6FF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6740C57" w14:textId="1B4ADEBD" w:rsidR="00515083" w:rsidRDefault="0051508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224FAA31" w14:textId="608DC2BA" w:rsidR="00515083" w:rsidRDefault="0051508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Tiempo ejecución opción 4:</w:t>
      </w:r>
    </w:p>
    <w:p w14:paraId="3974362F" w14:textId="3A4F7008" w:rsidR="00515083" w:rsidRDefault="0051508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1957"/>
        <w:gridCol w:w="2214"/>
        <w:gridCol w:w="2265"/>
      </w:tblGrid>
      <w:tr w:rsidR="00515083" w14:paraId="2FE2F99C" w14:textId="77777777" w:rsidTr="00515083">
        <w:tc>
          <w:tcPr>
            <w:tcW w:w="2194" w:type="dxa"/>
          </w:tcPr>
          <w:p w14:paraId="682B5405" w14:textId="3F090809" w:rsidR="00515083" w:rsidRPr="00515083" w:rsidRDefault="00515083" w:rsidP="00515083">
            <w:pPr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Archivo</w:t>
            </w:r>
          </w:p>
        </w:tc>
        <w:tc>
          <w:tcPr>
            <w:tcW w:w="1957" w:type="dxa"/>
          </w:tcPr>
          <w:p w14:paraId="469638FB" w14:textId="2B0DB308" w:rsidR="00515083" w:rsidRDefault="00515083" w:rsidP="00515083">
            <w:pPr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Número vértices</w:t>
            </w:r>
          </w:p>
        </w:tc>
        <w:tc>
          <w:tcPr>
            <w:tcW w:w="2214" w:type="dxa"/>
          </w:tcPr>
          <w:p w14:paraId="61433BED" w14:textId="11D8D5FE" w:rsidR="00515083" w:rsidRPr="00515083" w:rsidRDefault="00515083" w:rsidP="00515083">
            <w:pPr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Número arcos</w:t>
            </w:r>
          </w:p>
        </w:tc>
        <w:tc>
          <w:tcPr>
            <w:tcW w:w="2265" w:type="dxa"/>
          </w:tcPr>
          <w:p w14:paraId="6B5ED374" w14:textId="365E79BB" w:rsidR="00515083" w:rsidRPr="00515083" w:rsidRDefault="00515083" w:rsidP="00515083">
            <w:pPr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Tiempo de ejecución</w:t>
            </w:r>
          </w:p>
        </w:tc>
      </w:tr>
      <w:tr w:rsidR="00515083" w14:paraId="3BCCFC41" w14:textId="77777777" w:rsidTr="00515083">
        <w:tc>
          <w:tcPr>
            <w:tcW w:w="2194" w:type="dxa"/>
          </w:tcPr>
          <w:p w14:paraId="318EA1E0" w14:textId="7D1116C3" w:rsidR="00515083" w:rsidRDefault="00515083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1957" w:type="dxa"/>
          </w:tcPr>
          <w:p w14:paraId="145CD61B" w14:textId="76932F6A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2214" w:type="dxa"/>
          </w:tcPr>
          <w:p w14:paraId="47E4DDCD" w14:textId="387FA3A2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265" w:type="dxa"/>
          </w:tcPr>
          <w:p w14:paraId="321DC9A1" w14:textId="7F4B4FB2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CB289E">
              <w:rPr>
                <w:rFonts w:ascii="Dax-Regular" w:hAnsi="Dax-Regular"/>
                <w:lang w:val="es-419"/>
              </w:rPr>
              <w:t>35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CB289E">
              <w:rPr>
                <w:rFonts w:ascii="Dax-Regular" w:hAnsi="Dax-Regular"/>
                <w:lang w:val="es-419"/>
              </w:rPr>
              <w:t>71664099999998 ms</w:t>
            </w:r>
          </w:p>
        </w:tc>
      </w:tr>
      <w:tr w:rsidR="00515083" w14:paraId="52291025" w14:textId="77777777" w:rsidTr="00515083">
        <w:tc>
          <w:tcPr>
            <w:tcW w:w="2194" w:type="dxa"/>
          </w:tcPr>
          <w:p w14:paraId="41F6307D" w14:textId="4467011E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</w:t>
            </w:r>
          </w:p>
        </w:tc>
        <w:tc>
          <w:tcPr>
            <w:tcW w:w="1957" w:type="dxa"/>
          </w:tcPr>
          <w:p w14:paraId="1F54B514" w14:textId="0E42184D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214" w:type="dxa"/>
          </w:tcPr>
          <w:p w14:paraId="1CAF1450" w14:textId="13C04A90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265" w:type="dxa"/>
          </w:tcPr>
          <w:p w14:paraId="03AAFFEE" w14:textId="254ECDB5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CB289E">
              <w:rPr>
                <w:rFonts w:ascii="Dax-Regular" w:hAnsi="Dax-Regular"/>
                <w:lang w:val="es-419"/>
              </w:rPr>
              <w:t>44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CB289E">
              <w:rPr>
                <w:rFonts w:ascii="Dax-Regular" w:hAnsi="Dax-Regular"/>
                <w:lang w:val="es-419"/>
              </w:rPr>
              <w:t>64948800000093 ms</w:t>
            </w:r>
          </w:p>
        </w:tc>
      </w:tr>
      <w:tr w:rsidR="00515083" w14:paraId="0AB96A9F" w14:textId="77777777" w:rsidTr="00515083">
        <w:tc>
          <w:tcPr>
            <w:tcW w:w="2194" w:type="dxa"/>
          </w:tcPr>
          <w:p w14:paraId="0C5D4E9C" w14:textId="239A3373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1957" w:type="dxa"/>
          </w:tcPr>
          <w:p w14:paraId="75FB48B2" w14:textId="74079AE0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2214" w:type="dxa"/>
          </w:tcPr>
          <w:p w14:paraId="729D711D" w14:textId="3730397B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265" w:type="dxa"/>
          </w:tcPr>
          <w:p w14:paraId="1D095974" w14:textId="4DBB1DBC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CB289E">
              <w:rPr>
                <w:rFonts w:ascii="Dax-Regular" w:hAnsi="Dax-Regular"/>
                <w:lang w:val="es-419"/>
              </w:rPr>
              <w:t>89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CB289E">
              <w:rPr>
                <w:rFonts w:ascii="Dax-Regular" w:hAnsi="Dax-Regular"/>
                <w:lang w:val="es-419"/>
              </w:rPr>
              <w:t>49479799999972 ms</w:t>
            </w:r>
          </w:p>
        </w:tc>
      </w:tr>
      <w:tr w:rsidR="00515083" w14:paraId="6E59EBB0" w14:textId="77777777" w:rsidTr="00515083">
        <w:tc>
          <w:tcPr>
            <w:tcW w:w="2194" w:type="dxa"/>
          </w:tcPr>
          <w:p w14:paraId="063C0113" w14:textId="7E8AAD4F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1957" w:type="dxa"/>
          </w:tcPr>
          <w:p w14:paraId="3A343EBD" w14:textId="35E02950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2214" w:type="dxa"/>
          </w:tcPr>
          <w:p w14:paraId="4701E8EE" w14:textId="377712E9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265" w:type="dxa"/>
          </w:tcPr>
          <w:p w14:paraId="2F51C0B0" w14:textId="5DE823DC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CB289E">
              <w:rPr>
                <w:rFonts w:ascii="Dax-Regular" w:hAnsi="Dax-Regular"/>
                <w:lang w:val="es-419"/>
              </w:rPr>
              <w:t>382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CB289E">
              <w:rPr>
                <w:rFonts w:ascii="Dax-Regular" w:hAnsi="Dax-Regular"/>
                <w:lang w:val="es-419"/>
              </w:rPr>
              <w:t>79976700000043 ms</w:t>
            </w:r>
          </w:p>
        </w:tc>
      </w:tr>
      <w:tr w:rsidR="00515083" w14:paraId="2E16F593" w14:textId="77777777" w:rsidTr="00515083">
        <w:tc>
          <w:tcPr>
            <w:tcW w:w="2194" w:type="dxa"/>
          </w:tcPr>
          <w:p w14:paraId="0AB3B148" w14:textId="5C92FBDA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1957" w:type="dxa"/>
          </w:tcPr>
          <w:p w14:paraId="1BCF5107" w14:textId="63A3EE1D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CB289E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2214" w:type="dxa"/>
          </w:tcPr>
          <w:p w14:paraId="2AA4D1D4" w14:textId="65480F33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CB289E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265" w:type="dxa"/>
          </w:tcPr>
          <w:p w14:paraId="10126E1D" w14:textId="069E1C96" w:rsidR="00515083" w:rsidRDefault="00CB289E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CB289E">
              <w:rPr>
                <w:rFonts w:ascii="Dax-Regular" w:hAnsi="Dax-Regular"/>
                <w:lang w:val="es-419"/>
              </w:rPr>
              <w:t>1361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CB289E">
              <w:rPr>
                <w:rFonts w:ascii="Dax-Regular" w:hAnsi="Dax-Regular"/>
                <w:lang w:val="es-419"/>
              </w:rPr>
              <w:t>9510230000014 ms</w:t>
            </w:r>
          </w:p>
        </w:tc>
      </w:tr>
      <w:tr w:rsidR="00515083" w14:paraId="408080E5" w14:textId="77777777" w:rsidTr="00515083">
        <w:tc>
          <w:tcPr>
            <w:tcW w:w="2194" w:type="dxa"/>
          </w:tcPr>
          <w:p w14:paraId="41D7D43B" w14:textId="7E811BA8" w:rsidR="00515083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1957" w:type="dxa"/>
          </w:tcPr>
          <w:p w14:paraId="510B28DB" w14:textId="4C9489F8" w:rsidR="00515083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2214" w:type="dxa"/>
          </w:tcPr>
          <w:p w14:paraId="0FF5AE62" w14:textId="0BFCBF3A" w:rsidR="00515083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265" w:type="dxa"/>
          </w:tcPr>
          <w:p w14:paraId="5F2F9BFF" w14:textId="0193E3F7" w:rsidR="00515083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2284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056284">
              <w:rPr>
                <w:rFonts w:ascii="Dax-Regular" w:hAnsi="Dax-Regular"/>
                <w:lang w:val="es-419"/>
              </w:rPr>
              <w:t>8283279999996 ms</w:t>
            </w:r>
          </w:p>
        </w:tc>
      </w:tr>
      <w:tr w:rsidR="00515083" w14:paraId="18038E06" w14:textId="77777777" w:rsidTr="00515083">
        <w:tc>
          <w:tcPr>
            <w:tcW w:w="2194" w:type="dxa"/>
          </w:tcPr>
          <w:p w14:paraId="1CDDA351" w14:textId="53D8F254" w:rsidR="00515083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1957" w:type="dxa"/>
          </w:tcPr>
          <w:p w14:paraId="77B3297C" w14:textId="5AF221B2" w:rsidR="00515083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2214" w:type="dxa"/>
          </w:tcPr>
          <w:p w14:paraId="7DCF10E5" w14:textId="7A1AFAFD" w:rsidR="00515083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265" w:type="dxa"/>
          </w:tcPr>
          <w:p w14:paraId="0BC8236C" w14:textId="280DA164" w:rsidR="00515083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5320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056284">
              <w:rPr>
                <w:rFonts w:ascii="Dax-Regular" w:hAnsi="Dax-Regular"/>
                <w:lang w:val="es-419"/>
              </w:rPr>
              <w:t>138376000003 ms</w:t>
            </w:r>
          </w:p>
        </w:tc>
      </w:tr>
      <w:tr w:rsidR="00056284" w14:paraId="220B7B77" w14:textId="77777777" w:rsidTr="00515083">
        <w:tc>
          <w:tcPr>
            <w:tcW w:w="2194" w:type="dxa"/>
          </w:tcPr>
          <w:p w14:paraId="537846C5" w14:textId="09466ADE" w:rsidR="00056284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1957" w:type="dxa"/>
          </w:tcPr>
          <w:p w14:paraId="483FE3E2" w14:textId="29D9B110" w:rsidR="00056284" w:rsidRPr="00056284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2214" w:type="dxa"/>
          </w:tcPr>
          <w:p w14:paraId="561639A8" w14:textId="2F033B55" w:rsidR="00056284" w:rsidRPr="00056284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265" w:type="dxa"/>
          </w:tcPr>
          <w:p w14:paraId="2DAEB2BB" w14:textId="3601CBB0" w:rsidR="00056284" w:rsidRPr="00056284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18537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056284">
              <w:rPr>
                <w:rFonts w:ascii="Dax-Regular" w:hAnsi="Dax-Regular"/>
                <w:lang w:val="es-419"/>
              </w:rPr>
              <w:t>11794 ms</w:t>
            </w:r>
          </w:p>
        </w:tc>
      </w:tr>
      <w:tr w:rsidR="00056284" w14:paraId="04F8DE76" w14:textId="77777777" w:rsidTr="00515083">
        <w:tc>
          <w:tcPr>
            <w:tcW w:w="2194" w:type="dxa"/>
          </w:tcPr>
          <w:p w14:paraId="4182DE0D" w14:textId="017C9EB8" w:rsidR="00056284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14000</w:t>
            </w:r>
          </w:p>
        </w:tc>
        <w:tc>
          <w:tcPr>
            <w:tcW w:w="1957" w:type="dxa"/>
          </w:tcPr>
          <w:p w14:paraId="548D68F8" w14:textId="66A1C710" w:rsidR="00056284" w:rsidRPr="00056284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214" w:type="dxa"/>
          </w:tcPr>
          <w:p w14:paraId="5000E08A" w14:textId="23DD4FAE" w:rsidR="00056284" w:rsidRPr="00056284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265" w:type="dxa"/>
          </w:tcPr>
          <w:p w14:paraId="4CB2DDEE" w14:textId="384C5F3D" w:rsidR="00056284" w:rsidRPr="00056284" w:rsidRDefault="00056284" w:rsidP="00515083">
            <w:pPr>
              <w:jc w:val="center"/>
              <w:rPr>
                <w:rFonts w:ascii="Dax-Regular" w:hAnsi="Dax-Regular"/>
                <w:lang w:val="es-419"/>
              </w:rPr>
            </w:pPr>
            <w:r w:rsidRPr="00056284">
              <w:rPr>
                <w:rFonts w:ascii="Dax-Regular" w:hAnsi="Dax-Regular"/>
                <w:lang w:val="es-419"/>
              </w:rPr>
              <w:t>29871</w:t>
            </w:r>
            <w:r w:rsidR="008B3155">
              <w:rPr>
                <w:rFonts w:ascii="Dax-Regular" w:hAnsi="Dax-Regular"/>
                <w:lang w:val="es-419"/>
              </w:rPr>
              <w:t>,</w:t>
            </w:r>
            <w:r w:rsidRPr="00056284">
              <w:rPr>
                <w:rFonts w:ascii="Dax-Regular" w:hAnsi="Dax-Regular"/>
                <w:lang w:val="es-419"/>
              </w:rPr>
              <w:t>291048000003 ms</w:t>
            </w:r>
          </w:p>
        </w:tc>
      </w:tr>
    </w:tbl>
    <w:p w14:paraId="1489BD46" w14:textId="58CF1389" w:rsidR="00515083" w:rsidRDefault="0051508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1B2D5772" w14:textId="33A1E51F" w:rsidR="008B3155" w:rsidRDefault="006E2D6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6E2D63">
        <w:rPr>
          <w:rFonts w:ascii="Dax-Regular" w:hAnsi="Dax-Regular"/>
          <w:lang w:val="es-419"/>
        </w:rPr>
        <w:drawing>
          <wp:inline distT="0" distB="0" distL="0" distR="0" wp14:anchorId="7D1627D0" wp14:editId="56025C75">
            <wp:extent cx="4584700" cy="2755900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B053" w14:textId="747C46BA" w:rsidR="006E2D63" w:rsidRDefault="006E2D6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5EB240F5" w14:textId="7840E9E9" w:rsidR="006E2D63" w:rsidRDefault="006E2D6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Según la gráfica, se puede observar que el tiempo crece de forma casi lineal con respecto a los vértices.</w:t>
      </w:r>
    </w:p>
    <w:p w14:paraId="6D5A79BE" w14:textId="33997650" w:rsidR="006E2D63" w:rsidRDefault="006E2D6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6E2D63">
        <w:rPr>
          <w:rFonts w:ascii="Dax-Regular" w:hAnsi="Dax-Regular"/>
          <w:lang w:val="es-419"/>
        </w:rPr>
        <w:drawing>
          <wp:inline distT="0" distB="0" distL="0" distR="0" wp14:anchorId="3B97EFCC" wp14:editId="4ED745B1">
            <wp:extent cx="4584700" cy="2755900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9AD4" w14:textId="5F8B0BBF" w:rsidR="006E2D63" w:rsidRDefault="006E2D63" w:rsidP="00515083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2B2FAEE1" w14:textId="74139412" w:rsidR="006E2D63" w:rsidRPr="00515083" w:rsidRDefault="006E2D63" w:rsidP="00E15635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relación lineal se hace más evidente para la gráfica de tiempo vs arcos.</w:t>
      </w:r>
    </w:p>
    <w:p w14:paraId="1948D9E5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07A9AAE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68F443C4" w14:textId="5E8440DA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¿El grafo definido es denso o disperso?, ¿El grafo es dirigido o no dirigido?, ¿El grafo está fuertemente conectado?</w:t>
      </w:r>
    </w:p>
    <w:p w14:paraId="12B8C39D" w14:textId="55351E66" w:rsidR="00E601AA" w:rsidRDefault="00E601AA" w:rsidP="00E601A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1DC0A04" w14:textId="797E2A67" w:rsidR="00E601AA" w:rsidRDefault="004E60A5" w:rsidP="00E601A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El grafo es denso, dado que las estaciones están muy conectadas entre si, es dirigido y está fuertemente conectado al existir caminos entre todas las paradas.</w:t>
      </w:r>
    </w:p>
    <w:p w14:paraId="039329BE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EC2DD42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7DD8B79A" w14:textId="782DA986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tamaño inicial del grafo?</w:t>
      </w:r>
    </w:p>
    <w:p w14:paraId="0ACD807B" w14:textId="2EDDDFD1" w:rsidR="004E60A5" w:rsidRDefault="004E60A5" w:rsidP="004E60A5">
      <w:pPr>
        <w:spacing w:after="0"/>
        <w:jc w:val="both"/>
        <w:rPr>
          <w:rFonts w:ascii="Dax-Regular" w:hAnsi="Dax-Regular"/>
          <w:lang w:val="es-419"/>
        </w:rPr>
      </w:pPr>
    </w:p>
    <w:p w14:paraId="10E01C56" w14:textId="7EAF05E1" w:rsidR="004E60A5" w:rsidRPr="004E60A5" w:rsidRDefault="004E60A5" w:rsidP="004E60A5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del grafo es 14000.</w:t>
      </w:r>
    </w:p>
    <w:p w14:paraId="4535E4AE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12773D9E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50953825" w14:textId="00592CFF" w:rsidR="004E60A5" w:rsidRDefault="00B744F1" w:rsidP="004E60A5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Estructura de datos utilizada?</w:t>
      </w:r>
    </w:p>
    <w:p w14:paraId="781FE882" w14:textId="7B27B411" w:rsidR="004E60A5" w:rsidRDefault="004E60A5" w:rsidP="004E60A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D33ED88" w14:textId="023E6348" w:rsidR="004E60A5" w:rsidRPr="004E60A5" w:rsidRDefault="004E60A5" w:rsidP="004E60A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se utiliza es </w:t>
      </w:r>
      <w:r w:rsidR="00C86A08">
        <w:rPr>
          <w:rFonts w:ascii="Dax-Regular" w:hAnsi="Dax-Regular"/>
          <w:lang w:val="es-419"/>
        </w:rPr>
        <w:t>la lista de adyacencias.</w:t>
      </w:r>
    </w:p>
    <w:p w14:paraId="4A1E212A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38DDAF1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1FAAE2DA" w14:textId="29F71F9C" w:rsidR="0063268C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función de comparación utilizada?</w:t>
      </w:r>
    </w:p>
    <w:p w14:paraId="3BB44D25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3D5B3C81" w14:textId="3428D2F9" w:rsidR="0063268C" w:rsidRPr="0063268C" w:rsidRDefault="00C86A08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función de comparación utilizada compara las paradas mediante el criterio del ID.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5E1E" w14:textId="77777777" w:rsidR="00721C90" w:rsidRDefault="00721C90" w:rsidP="00B744F1">
      <w:pPr>
        <w:spacing w:after="0" w:line="240" w:lineRule="auto"/>
      </w:pPr>
      <w:r>
        <w:separator/>
      </w:r>
    </w:p>
  </w:endnote>
  <w:endnote w:type="continuationSeparator" w:id="0">
    <w:p w14:paraId="0464530F" w14:textId="77777777" w:rsidR="00721C90" w:rsidRDefault="00721C90" w:rsidP="00B7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2D76" w14:textId="77777777" w:rsidR="00721C90" w:rsidRDefault="00721C90" w:rsidP="00B744F1">
      <w:pPr>
        <w:spacing w:after="0" w:line="240" w:lineRule="auto"/>
      </w:pPr>
      <w:r>
        <w:separator/>
      </w:r>
    </w:p>
  </w:footnote>
  <w:footnote w:type="continuationSeparator" w:id="0">
    <w:p w14:paraId="18062C08" w14:textId="77777777" w:rsidR="00721C90" w:rsidRDefault="00721C90" w:rsidP="00B7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4"/>
  </w:num>
  <w:num w:numId="5">
    <w:abstractNumId w:val="16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5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6284"/>
    <w:rsid w:val="00076EA8"/>
    <w:rsid w:val="00091AF9"/>
    <w:rsid w:val="000B34DE"/>
    <w:rsid w:val="0013546A"/>
    <w:rsid w:val="00195AD3"/>
    <w:rsid w:val="001F4D7D"/>
    <w:rsid w:val="00236F3A"/>
    <w:rsid w:val="0031411C"/>
    <w:rsid w:val="003469C3"/>
    <w:rsid w:val="003B5453"/>
    <w:rsid w:val="003B6C26"/>
    <w:rsid w:val="003C0715"/>
    <w:rsid w:val="0042114A"/>
    <w:rsid w:val="0043769A"/>
    <w:rsid w:val="004E60A5"/>
    <w:rsid w:val="004F2388"/>
    <w:rsid w:val="00515083"/>
    <w:rsid w:val="00567F1D"/>
    <w:rsid w:val="00631E66"/>
    <w:rsid w:val="0063268C"/>
    <w:rsid w:val="00642A5E"/>
    <w:rsid w:val="00667C88"/>
    <w:rsid w:val="006B4BA3"/>
    <w:rsid w:val="006E2D63"/>
    <w:rsid w:val="006F2592"/>
    <w:rsid w:val="00721C90"/>
    <w:rsid w:val="00783B87"/>
    <w:rsid w:val="00787C53"/>
    <w:rsid w:val="00806FA9"/>
    <w:rsid w:val="008516F2"/>
    <w:rsid w:val="00871CEB"/>
    <w:rsid w:val="008B3155"/>
    <w:rsid w:val="008B7948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86A08"/>
    <w:rsid w:val="00CB289E"/>
    <w:rsid w:val="00D36265"/>
    <w:rsid w:val="00D85575"/>
    <w:rsid w:val="00DA415C"/>
    <w:rsid w:val="00E15635"/>
    <w:rsid w:val="00E37A60"/>
    <w:rsid w:val="00E50E9B"/>
    <w:rsid w:val="00E601AA"/>
    <w:rsid w:val="00EE4322"/>
    <w:rsid w:val="00F1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  <w:style w:type="table" w:styleId="Tablaconcuadrcula">
    <w:name w:val="Table Grid"/>
    <w:basedOn w:val="Tablanormal"/>
    <w:uiPriority w:val="39"/>
    <w:rsid w:val="0051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056184-446C-4B0D-B6C7-E92CB3E19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25CA8A-144C-AC46-B2C0-F3B3508B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Serrano Conti</cp:lastModifiedBy>
  <cp:revision>2</cp:revision>
  <dcterms:created xsi:type="dcterms:W3CDTF">2022-05-05T02:38:00Z</dcterms:created>
  <dcterms:modified xsi:type="dcterms:W3CDTF">2022-05-05T02:38:00Z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