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pPr>
        <w:jc w:val="center"/>
      </w:pPr>
      <w:r>
        <w:rPr>
          <w:rFonts w:ascii="Arial" w:hAnsi="Arial" w:eastAsia="微软雅黑"/>
          <w:b/>
          <w:color w:val="808080"/>
          <w:sz w:val="32"/>
        </w:rPr>
        <w:t>安全事件响应计划</w:t>
      </w:r>
    </w:p>
    <w:p>
      <w:pPr>
        <w:jc w:val="center"/>
      </w:pPr>
      <w:r>
        <w:rPr>
          <w:rFonts w:ascii="Arial" w:hAnsi="Arial" w:eastAsia="微软雅黑"/>
          <w:b w:val="0"/>
          <w:i/>
          <w:color w:val="808080"/>
          <w:sz w:val="24"/>
        </w:rPr>
        <w:t>AI接待Agent系统专用版 V2.0</w:t>
      </w:r>
    </w:p>
    <w:p/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微软雅黑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IRP-AI-RECEPTION-002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V2.0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SOW_AI_Reception_Agent_V2.0_Legal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[YYYY年MM月DD日]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下次审查日期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[YYYY年MM月DD日]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文档所有者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信息安全官（ISO）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批准人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首席合规官（CCO）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1. 目的与适用范围</w:t>
      </w:r>
    </w:p>
    <w:p>
      <w:pPr/>
      <w:r>
        <w:rPr>
          <w:rFonts w:ascii="Arial" w:hAnsi="Arial" w:eastAsia="微软雅黑"/>
          <w:b/>
          <w:i w:val="0"/>
          <w:sz w:val="21"/>
        </w:rPr>
        <w:t>1.1 目的</w:t>
      </w:r>
    </w:p>
    <w:p>
      <w:pPr/>
      <w:r>
        <w:rPr>
          <w:rFonts w:ascii="Arial" w:hAnsi="Arial" w:eastAsia="微软雅黑"/>
          <w:b w:val="0"/>
          <w:i w:val="0"/>
          <w:sz w:val="21"/>
        </w:rPr>
        <w:t>本计划为AI接待Agent系统（以下简称"本系统"）建立标准化、可执行的安全事件响应框架，确保在发生安全事件时能够：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在法定时限内完成检测、遏制、通知和恢复，最小化PHI泄露风险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严格遵循HIPAA违规通知规则（45 CFR §164.400-414）及州级法规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保护患者隐私权益，维护医疗机构声誉和运营连续性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为后续合规审计、保险理赔和法律诉讼提供完整证据链</w:t>
      </w:r>
    </w:p>
    <w:p>
      <w:pPr/>
      <w:r>
        <w:rPr>
          <w:rFonts w:ascii="Arial" w:hAnsi="Arial" w:eastAsia="微软雅黑"/>
          <w:b/>
          <w:i w:val="0"/>
          <w:sz w:val="21"/>
        </w:rPr>
        <w:t>1.2 适用范围</w:t>
      </w:r>
    </w:p>
    <w:p>
      <w:pPr/>
      <w:r>
        <w:rPr>
          <w:rFonts w:ascii="Arial" w:hAnsi="Arial" w:eastAsia="微软雅黑"/>
          <w:b w:val="0"/>
          <w:i w:val="0"/>
          <w:sz w:val="21"/>
        </w:rPr>
        <w:t>本计划覆盖本系统全部组件及数据流：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前端交互层：前台App（iPad）、AI电话服务（Twilio语音通道）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核心处理层：患者匹配引擎、预约管理、保险OCR、AI Agent（LLM/ASR/TTS）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数据层：本地数据库、对象存储、缓存、EMR同步数据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管理层：后台管理系统、Staff操作审计、权限控制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第三方服务：Twilio、LLM提供商、ASR/TTS服务、OCR服务、云基础设施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网络与终端：诊所网络、iPad设备、Staff工作站、监控设备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2. 安全事件定义与分级</w:t>
      </w:r>
    </w:p>
    <w:p>
      <w:pPr/>
      <w:r>
        <w:rPr>
          <w:rFonts w:ascii="Arial" w:hAnsi="Arial" w:eastAsia="微软雅黑"/>
          <w:b/>
          <w:i w:val="0"/>
          <w:sz w:val="21"/>
        </w:rPr>
        <w:t>2.1 安全事件定义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微软雅黑"/>
                <w:b/>
                <w:sz w:val="21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/>
                <w:sz w:val="21"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安全事件（Security Incident）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任何试图或成功危害信息系统保密性、完整性或可用性的事件，包括未经授权的访问、使用、披露、修改、破坏或干扰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PHI泄露（Breach）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PHI的获取、访问、使用或披露未经HIPAA隐私规则授权，且危及该信息的安全性或隐私性（适用违规通知规则）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疑似事件（Suspected Incident）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存在异常指标但尚未确认是否构成安全事件的情况，需进一步调查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未遂事件（Attempted Incident）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攻击或违规行为被成功阻止，未造成实际损害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事件响应团队（IRT）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由多部门代表组成的跨职能团队，负责协调和执行事件响应活动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2.2 事件严重程度分级矩阵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级别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判定标准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典型场景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响应启动时限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遏制目标时限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紧急/灾难性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大规模PHI泄露（≥500人）或核心系统完全不可用，直接影响患者安全或生命安全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勒索软件加密全部数据、AI系统被篡改输出错误医疗建议、数据库被完全拖库、紧急症状识别功能被禁用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15分钟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1小时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高危/严重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确认PHI泄露（&lt;500人）或核心功能严重受损，可能导致重大合规违规或业务中断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未授权访问患者数据库、EMR同步失败导致预约数据丢失、保险卡图片批量泄露、Staff账户被盗用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30分钟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4小时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中危/一般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疑似安全事件或非核心系统功能受损，存在潜在风险但影响有限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异常登录尝试激增、个别iPad设备丢失/被盗、OCR服务异常导致数据暴露、非工作时间大量数据查询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2小时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24小时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P3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低危/轻微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安全告警或轻微异常，未确认实际泄露或损害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密码错误次数超限、单条告警规则触发、日志异常波动、非敏感配置变更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24小时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下次维护窗口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2.3 升级与降级规则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自动升级：满足以下任一条件，事件自动升一级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影响患者人数超过初始评估的50%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确认涉及核心PHI（姓名+DOB+诊断信息组合）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第三方服务商确认同类事件影响其他客户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媒体或监管机构主动询问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手动升级：事件指挥官可根据实际情况随时升级事件级别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降级：须经事件指挥官和合规负责人共同确认，且所有即时威胁已消除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3. 事件响应组织架构</w:t>
      </w:r>
    </w:p>
    <w:p>
      <w:pPr/>
      <w:r>
        <w:rPr>
          <w:rFonts w:ascii="Arial" w:hAnsi="Arial" w:eastAsia="微软雅黑"/>
          <w:b/>
          <w:i w:val="0"/>
          <w:sz w:val="21"/>
        </w:rPr>
        <w:t>3.1 核心响应团队（Core IRT）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职责描述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首要任务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备用人员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事件指挥官</w:t>
              <w:br/>
              <w:t>（Incident Commander）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全面负责事件响应的指挥、协调和决策；对外代表组织发声；决定事件升级/降级/关闭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启动响应、组建团队、制定策略、资源调配、对外沟通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[姓名/联系方式]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技术负责人</w:t>
              <w:br/>
              <w:t>（Technical Lead）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负责技术层面的遏制、根除和恢复；协调内外部技术资源；保留技术证据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隔离受影响系统、分析攻击路径、实施修复、验证恢复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[姓名/联系方式]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合规与隐私官</w:t>
              <w:br/>
              <w:t>（Compliance/Privacy Officer）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评估合规影响、确定通知义务、准备监管报告、监督患者权利保障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判定是否构成PHI泄露、计算受影响人数、准备HHS通知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[姓名/联系方式]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通信负责人</w:t>
              <w:br/>
              <w:t>（Communications Lead）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管理内外部沟通、起草通知文稿、应对媒体查询、维护组织声誉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准备患者通知、媒体声明、内部公告、FAQ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[姓名/联系方式]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法务代表</w:t>
              <w:br/>
              <w:t>（Legal Counsel）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评估法律风险、管理诉讼暴露、配合执法调查、审查对外声明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法律风险评估、执法联络、诉讼准备、合同责任分析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[姓名/联系方式]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业务代表</w:t>
              <w:br/>
              <w:t>（Business Lead）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评估业务影响、启动替代流程、协调业务恢复、保障患者服务连续性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启动人工兜底流程、调整预约安排、协调Staff资源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[姓名/联系方式]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3.2 扩展支持团队（Extended Team）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支持内容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联系机制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外部安全专家/CSIRT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P0/P1事件或复杂攻击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深度取证、恶意软件分析、攻击溯源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24小时热线：[电话]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数字取证公司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需法律级证据保全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磁盘/内存镜像、链式 custody 文档、专家证词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预签约联系人：[电话]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网络保险公司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确认安全事件且保单覆盖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理赔指导、推荐服务商、费用预付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保单热线：[电话]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外部法律顾问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监管调查、集体诉讼风险、重大合规违规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诉讼辩护、和解谈判、监管应对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律所24小时热线：[电话]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执法机构（FBI/地方警察）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刑事犯罪嫌疑（如勒索软件、内部盗窃）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刑事调查、情报共享、嫌疑人追踪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FBI Cyber Division：[电话]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第三方服务商应急团队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涉及Twilio/LLM/OCR/云服务商安全事件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联合调查、服务恢复、责任界定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按BAA约定联系人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4. 事件响应生命周期详解</w:t>
      </w:r>
    </w:p>
    <w:p>
      <w:pPr/>
      <w:r>
        <w:rPr>
          <w:rFonts w:ascii="Arial" w:hAnsi="Arial" w:eastAsia="微软雅黑"/>
          <w:b/>
          <w:i w:val="0"/>
          <w:sz w:val="21"/>
        </w:rPr>
        <w:t>4.1 阶段一：检测与报告（Detection &amp; Reporting）</w:t>
      </w:r>
    </w:p>
    <w:p>
      <w:pPr/>
      <w:r>
        <w:rPr>
          <w:rFonts w:ascii="Arial" w:hAnsi="Arial" w:eastAsia="微软雅黑"/>
          <w:b/>
          <w:i w:val="0"/>
          <w:sz w:val="21"/>
        </w:rPr>
        <w:t>4.1.1 检测来源矩阵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检测来源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检测能力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典型告警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响应动作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SIEM/日志分析平台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实时监控、关联分析、异常检测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异常登录、批量数据访问、权限提升、非工作时间操作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自动生成工单，P2/P3自动派发；P0/P1立即电话通知ISO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IDS/IPS/防火墙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网络层威胁检测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恶意IP通信、C2连接、数据外泄、端口扫描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自动阻断+告警，P1以上立即通知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端点检测（EDR）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终端行为监控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恶意软件、勒索软件行为、异常进程、USB接入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自动隔离终端+告警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云安全监控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云基础设施监控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异常API调用、存储桶公开、配置漂移、高额账单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自动告警+建议修复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员工报告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人工发现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可疑邮件、设备丢失、异常行为、患者投诉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统一入口提交，2小时内确认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第三方通知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供应商/合作伙伴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服务商安全事件、BAA违约、数据暴露通知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按BAA时限响应，立即评估影响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患者/公众报告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外部反馈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身份盗用、诈骗电话、信息错误、隐私投诉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记录并24小时内初步回复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4.1.2 事件报告模板（初始报告）</w:t>
      </w:r>
    </w:p>
    <w:p>
      <w:pPr/>
      <w:r>
        <w:rPr>
          <w:rFonts w:ascii="Arial" w:hAnsi="Arial" w:eastAsia="微软雅黑"/>
          <w:b w:val="0"/>
          <w:i w:val="0"/>
          <w:sz w:val="21"/>
        </w:rPr>
        <w:t>报告人：[姓名]  报告时间：[YYYY-MM-DD HH:MM]  报告渠道：[热线/邮件/系统]</w:t>
      </w:r>
    </w:p>
    <w:p>
      <w:pPr/>
      <w:r>
        <w:rPr>
          <w:rFonts w:ascii="Arial" w:hAnsi="Arial" w:eastAsia="微软雅黑"/>
          <w:b w:val="0"/>
          <w:i w:val="0"/>
          <w:sz w:val="21"/>
        </w:rPr>
        <w:t>事件概述：[一句话描述]</w:t>
      </w:r>
    </w:p>
    <w:p>
      <w:pPr/>
      <w:r>
        <w:rPr>
          <w:rFonts w:ascii="Arial" w:hAnsi="Arial" w:eastAsia="微软雅黑"/>
          <w:b w:val="0"/>
          <w:i w:val="0"/>
          <w:sz w:val="21"/>
        </w:rPr>
        <w:t>发现时间：[YYYY-MM-DD HH:MM]  发现方式：[自动告警/人工发现/第三方通知]</w:t>
      </w:r>
    </w:p>
    <w:p>
      <w:pPr/>
      <w:r>
        <w:rPr>
          <w:rFonts w:ascii="Arial" w:hAnsi="Arial" w:eastAsia="微软雅黑"/>
          <w:b w:val="0"/>
          <w:i w:val="0"/>
          <w:sz w:val="21"/>
        </w:rPr>
        <w:t>影响系统：[列出受影响组件]  影响数据：[是否涉及PHI/涉及类型]</w:t>
      </w:r>
    </w:p>
    <w:p>
      <w:pPr/>
      <w:r>
        <w:rPr>
          <w:rFonts w:ascii="Arial" w:hAnsi="Arial" w:eastAsia="微软雅黑"/>
          <w:b w:val="0"/>
          <w:i w:val="0"/>
          <w:sz w:val="21"/>
        </w:rPr>
        <w:t>初步严重程度：[P0/P1/P2/P3/待评估]  已采取措施：[已执行的应急操作]</w:t>
      </w:r>
    </w:p>
    <w:p>
      <w:pPr/>
      <w:r>
        <w:rPr>
          <w:rFonts w:ascii="Arial" w:hAnsi="Arial" w:eastAsia="微软雅黑"/>
          <w:b w:val="0"/>
          <w:i w:val="0"/>
          <w:sz w:val="21"/>
        </w:rPr>
        <w:t>需要支持：[技术/合规/通信/法务/业务]</w:t>
      </w:r>
    </w:p>
    <w:p/>
    <w:p>
      <w:pPr/>
      <w:r>
        <w:rPr>
          <w:rFonts w:ascii="Arial" w:hAnsi="Arial" w:eastAsia="微软雅黑"/>
          <w:b/>
          <w:i w:val="0"/>
          <w:sz w:val="21"/>
        </w:rPr>
        <w:t>4.2 阶段二：评估与分类（Assessment &amp; Classification）</w:t>
      </w:r>
    </w:p>
    <w:p>
      <w:pPr/>
      <w:r>
        <w:rPr>
          <w:rFonts w:ascii="Arial" w:hAnsi="Arial" w:eastAsia="微软雅黑"/>
          <w:b w:val="0"/>
          <w:i w:val="0"/>
          <w:sz w:val="21"/>
        </w:rPr>
        <w:t>评估清单（必须在响应启动后30分钟内完成）：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确认事件真实性（排除误报）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确定事件类型（未授权访问/数据泄露/系统入侵/恶意软件/DDoS/内部威胁/物理安全/其他）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评估影响范围（受影响患者数量、涉及PHI类型、受影响系统组件）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判定严重程度（P0/P1/P2/P3）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确定是否需要启动违规通知程序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识别是否需要外部支持（取证/法律/保险/执法）</w:t>
      </w:r>
    </w:p>
    <w:p/>
    <w:p>
      <w:pPr/>
      <w:r>
        <w:rPr>
          <w:rFonts w:ascii="Arial" w:hAnsi="Arial" w:eastAsia="微软雅黑"/>
          <w:b/>
          <w:i w:val="0"/>
          <w:sz w:val="21"/>
        </w:rPr>
        <w:t>4.3 阶段三：遏制（Containment）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遏制策略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具体操作步骤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关键注意事项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网络隔离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系统被入侵、恶意软件传播、数据外泄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1)识别受影响网段 2)ACL/防火墙阻断 3)VLAN隔离 4)云服务安全组限制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保留网络设备日志，记录隔离时间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系统停机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核心系统被控制、数据完整性受损、勒索软件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1)有序关闭服务 2)断开存储连接 3)冻结虚拟机状态 4)防止自动重启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优先保障患者安全相关系统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账户控制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账户盗用、内部威胁、凭证泄露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1)禁用受影响账户 2)撤销所有活跃会话/Token 3)强制密码重置 4)启用MFA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通知账户持有人（如非嫌疑人）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数据保护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数据库暴露、备份受威胁、即将被加密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1)紧急备份至隔离存储 2)验证备份完整性 3)暂停同步作业 4)快照保护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确保备份本身未被感染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第三方隔离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第三方服务商事件影响本系统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1)暂停API调用 2)撤销服务账户权限 3)切换备用服务商 4)评估已传输数据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按BAA要求通知并记录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物理控制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设备丢失/被盗、未授权物理访问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1)远程擦除设备 2)禁用设备证书 3)变更物理访问码 4)调取监控录像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保留执法报案编号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4.4 阶段四：根除（Eradication）</w:t>
      </w:r>
    </w:p>
    <w:p>
      <w:pPr/>
      <w:r>
        <w:rPr>
          <w:rFonts w:ascii="Arial" w:hAnsi="Arial" w:eastAsia="微软雅黑"/>
          <w:b/>
          <w:i w:val="0"/>
          <w:sz w:val="21"/>
        </w:rPr>
        <w:t>4.4.1 根除检查清单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清除所有恶意软件、后门、Webshell、未授权账户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修补所有被利用的安全漏洞（系统补丁、配置修复、代码修复）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重置所有可能暴露的凭证（密码、API Key、证书、Token）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更新所有安全规则（防火墙、WAF、IDS、DLP策略）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验证第三方服务商安全性（要求提供事件报告、验证修复措施）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清除攻击者在云环境中的持久化机制（异常IAM策略、计划任务、存储对象）</w:t>
      </w:r>
    </w:p>
    <w:p/>
    <w:p>
      <w:pPr/>
      <w:r>
        <w:rPr>
          <w:rFonts w:ascii="Arial" w:hAnsi="Arial" w:eastAsia="微软雅黑"/>
          <w:b/>
          <w:i w:val="0"/>
          <w:sz w:val="21"/>
        </w:rPr>
        <w:t>4.4.2 AI系统专项根除措施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回滚AI模型至已知安全的最后一个版本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审查并清理被篡改的Prompt模板和系统指令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验证LLM/ASR/TTS服务商未保留或滥用对话数据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重新校准患者匹配算法，排除被污染数据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□ 验证保险OCR模型未被注入恶意训练样本</w:t>
      </w:r>
    </w:p>
    <w:p/>
    <w:p>
      <w:pPr/>
      <w:r>
        <w:rPr>
          <w:rFonts w:ascii="Arial" w:hAnsi="Arial" w:eastAsia="微软雅黑"/>
          <w:b/>
          <w:i w:val="0"/>
          <w:sz w:val="21"/>
        </w:rPr>
        <w:t>4.5 阶段五：恢复（Recovery）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恢复阶段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验证内容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准入标准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阶段1：技术验证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系统完整性扫描、漏洞扫描、渗透测试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无高危漏洞、无恶意软件残留、配置符合基线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阶段2：功能验证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核心业务流程端到端测试（预约、匹配、同步、电话）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所有功能正常、数据一致性验证通过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业务代表+技术负责人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阶段3：安全验证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日志审查、权限复核、监控告警测试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无异常活动、监控覆盖完整、告警正常触发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ISO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阶段4：有限恢复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向部分用户/诊所开放，密切监控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24小时无异常、用户反馈正常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业务代表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阶段5：全面恢复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向全部用户开放，恢复正常运营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72小时无异常、性能指标达标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事件指挥官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5. 通知与沟通管理</w:t>
      </w:r>
    </w:p>
    <w:p>
      <w:pPr/>
      <w:r>
        <w:rPr>
          <w:rFonts w:ascii="Arial" w:hAnsi="Arial" w:eastAsia="微软雅黑"/>
          <w:b/>
          <w:i w:val="0"/>
          <w:sz w:val="21"/>
        </w:rPr>
        <w:t>5.1 内部沟通计划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沟通对象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时限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沟通内容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沟通方式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事件指挥官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所有事件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立即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事件初始信息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电话/即时通讯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核心IRT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P2及以上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30分钟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事件详情、初步评估、响应分工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紧急会议/加密群聊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高级管理层（CEO/CIO/CCO）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P1及以上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P1:1小时; P0:30分钟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事件影响、业务中断、已采取措施、资源需求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简报/电话会议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董事会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P0或重大合规违规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4小时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重大事件概况、应对策略、潜在影响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紧急会议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全体员工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影响日常操作或需配合行动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视需要，不早于外部通知前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事件概况、员工注意事项、禁止行为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内部公告（不含敏感细节）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受影响诊所/Staff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影响其业务操作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恢复前24小时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服务恢复时间、临时操作流程、注意事项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邮件/系统通知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5.2 HIPAA违规通知流程</w:t>
      </w:r>
    </w:p>
    <w:p>
      <w:pPr/>
      <w:r>
        <w:rPr>
          <w:rFonts w:ascii="Arial" w:hAnsi="Arial" w:eastAsia="微软雅黑"/>
          <w:b w:val="0"/>
          <w:i w:val="0"/>
          <w:sz w:val="21"/>
        </w:rPr>
        <w:t>判定流程：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Step 1：确认是否构成"Breach"（未经允许的获取/访问/使用/披露 + 危及安全或隐私）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Step 2：评估风险（Low Probability of Compromise评估：涉及数据类型、接收方身份、是否实际查看/使用、风险缓解程度）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Step 3：确定受影响个人数量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Step 4：确定通知义务和时限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通知对象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法定时限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通知内容要求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实际执行标准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受影响个人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确认PHI泄露且不构成例外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首次发现后60天内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事件描述、涉及信息类型、已采取措施、自我保护建议、联系方式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优先在30天内完成，采用邮件+信件双渠道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HHS/OCR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泄露≥500人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立即（不迟于60天）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事件详情、涉及人数、信息类型、缓解措施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发现后48小时内启动报告准备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HHS/OCR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泄露&lt;500人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年度汇总（不迟于次年3月1日）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按年度汇总提交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 xml:space="preserve"> prominent media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泄露≥500人（同一州/辖区）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立即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事件概况、影响范围、应对措施、联系方式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由通信负责人统一发布，避免信息不一致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州检察长/监管机构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州法律要求（部分州更严格）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按州法律（部分州要求72小时内）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按州法律要求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合规官确认各州具体要求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执法机构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刑事犯罪嫌疑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立即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事件详情、证据、嫌疑人信息、配合需求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法务代表主导，技术配合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第三方服务商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涉及分包商且按BAA要求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按BAA约定（通常24小时内）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事件描述、涉及数据、所需协助、责任界定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技术负责人发出，法务审核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网络安全保险公司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保单覆盖范围内的事件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按保单约定（通常72小时内）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事件详情、初步损失评估、已采取措施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法务代表主导理赔流程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6. 专项场景响应手册</w:t>
      </w:r>
    </w:p>
    <w:p>
      <w:pPr/>
      <w:r>
        <w:rPr>
          <w:rFonts w:ascii="Arial" w:hAnsi="Arial" w:eastAsia="微软雅黑"/>
          <w:b/>
          <w:i w:val="0"/>
          <w:sz w:val="21"/>
        </w:rPr>
        <w:t>6.1 勒索软件攻击响应手册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时间线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行动项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关键决策点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T+0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检测到加密行为或勒索信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自动监控/员工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立即隔离，不要关闭电源（保留内存证据）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T+15分钟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事件指挥官启动P0响应，召集IRT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ISO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决定是否报警、是否联系外部取证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T+30分钟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隔离所有受影响系统，阻断横向移动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技术负责人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评估是否需要全网隔离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T+1小时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评估备份可用性，确认最后清洁备份时间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技术负责人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决定是否从备份恢复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T+2小时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法务评估赎金支付法律风险，保险评估理赔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法务+保险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明确禁止支付赎金（除非CEO+董事会+法务特别批准）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T+4小时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启动清洁恢复环境，开始数据恢复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技术负责人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验证恢复环境未被感染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T+24小时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核心系统恢复，启动功能验证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业务+技术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逐步开放服务，加强监控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T+72小时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全面恢复，启动事后审查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事件指挥官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评估是否构成PHI泄露（加密=泄露）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T+7天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完成HHS通知（如≥500人）或准备年度汇总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合规官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完成所有法定通知义务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6.2 AI系统安全事件响应手册</w:t>
      </w:r>
    </w:p>
    <w:p>
      <w:pPr/>
      <w:r>
        <w:rPr>
          <w:rFonts w:ascii="Arial" w:hAnsi="Arial" w:eastAsia="微软雅黑"/>
          <w:b/>
          <w:i w:val="0"/>
          <w:sz w:val="21"/>
        </w:rPr>
        <w:t>场景A：Prompt Injection / 越狱攻击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1. 检测到异常输出（如AI泄露系统指令、生成有害内容）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2. 立即暂停该会话，记录完整对话上下文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3. 分析攻击Prompt特征，更新输入过滤规则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4. 审查该会话是否涉及PHI泄露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5. 如确认泄露，启动违规通知评估</w:t>
      </w:r>
    </w:p>
    <w:p/>
    <w:p>
      <w:pPr/>
      <w:r>
        <w:rPr>
          <w:rFonts w:ascii="Arial" w:hAnsi="Arial" w:eastAsia="微软雅黑"/>
          <w:b/>
          <w:i w:val="0"/>
          <w:sz w:val="21"/>
        </w:rPr>
        <w:t>场景B：AI模型被篡改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1. 检测到模型输出异常（如患者匹配错误率激增、预约建议明显错误）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2. 立即切换至人工模式，暂停AI服务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3. 比对模型哈希值，确认是否被篡改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4. 回滚至上一个已知安全的模型版本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5. 审查所有受影响会话，评估错误建议对患者的影响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6. 通知可能受影响的患者（如AI提供了错误医疗建议）</w:t>
      </w:r>
    </w:p>
    <w:p/>
    <w:p>
      <w:pPr/>
      <w:r>
        <w:rPr>
          <w:rFonts w:ascii="Arial" w:hAnsi="Arial" w:eastAsia="微软雅黑"/>
          <w:b/>
          <w:i w:val="0"/>
          <w:sz w:val="21"/>
        </w:rPr>
        <w:t>场景C：训练数据污染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1. 检测到模型行为异常（如偏见输出、特定模式错误）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2. 隔离受影响模型，停止自动更新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3. 审计训练数据来源，识别污染样本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4. 清洗训练数据，重新训练/微调模型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5. 验证新模型安全性后部署</w:t>
      </w:r>
    </w:p>
    <w:p/>
    <w:p>
      <w:pPr/>
      <w:r>
        <w:rPr>
          <w:rFonts w:ascii="Arial" w:hAnsi="Arial" w:eastAsia="微软雅黑"/>
          <w:b/>
          <w:i w:val="0"/>
          <w:sz w:val="21"/>
        </w:rPr>
        <w:t>6.3 第三方服务商安全事件响应手册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服务商类型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典型事件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即时措施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后续跟进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Twilio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通话录音泄露、号码劫持、服务中断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暂停电话服务、切换备用通信渠道、审查录音访问日志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要求Twilio提供事件报告、评估BAA违约、切换服务商评估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LLM提供商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模型训练数据泄露、Prompt数据保留、API密钥泄露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轮换API密钥、审查Prompt日志、暂停AI功能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确认数据删除、审查BAA条款、评估替代方案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ASR/TTS服务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语音数据泄露、转写准确性问题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暂停语音功能、切换文本交互、审查数据传输日志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确认数据处理方式、评估服务可靠性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OCR服务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保险卡图片泄露、识别结果泄露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暂停OCR功能、切换人工录入、审查图片传输日志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确认图片删除、评估替代方案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云服务商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存储桶公开、配置错误、内部威胁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检查所有存储桶ACL、轮换访问密钥、启用额外监控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要求提供根因分析、评估架构改进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7. 证据保全与取证管理</w:t>
      </w:r>
    </w:p>
    <w:p>
      <w:pPr/>
      <w:r>
        <w:rPr>
          <w:rFonts w:ascii="Arial" w:hAnsi="Arial" w:eastAsia="微软雅黑"/>
          <w:b/>
          <w:i w:val="0"/>
          <w:sz w:val="21"/>
        </w:rPr>
        <w:t>7.1 证据保全原则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及时性（Timeliness）：在遏制过程中同步保全证据，避免证据灭失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完整性（Integrity）：使用SHA-256哈希验证证据完整性，任何操作均记录日志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链式 custody（Chain of Custody）：记录证据从采集到呈堂的每个环节（时间、人员、操作、存储位置）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保密性（Confidentiality）：限制证据访问权限，加密存储，防止二次泄露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合法性（Legality）：取证过程符合法律规定，避免非法证据排除</w:t>
      </w:r>
    </w:p>
    <w:p/>
    <w:p>
      <w:pPr/>
      <w:r>
        <w:rPr>
          <w:rFonts w:ascii="Arial" w:hAnsi="Arial" w:eastAsia="微软雅黑"/>
          <w:b/>
          <w:i w:val="0"/>
          <w:sz w:val="21"/>
        </w:rPr>
        <w:t>7.2 证据类型与保全方法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证据类型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保全方法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存储要求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保留期限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销毁方式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系统日志（应用/系统/安全）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实时导出至WORM存储，计算哈希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只读、异地、加密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6年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到期后加密擦除+销毁证明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网络流量（pcap）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抓包存储，按会话分割，计算哈希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加密、访问控制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至事件解决后2年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内存镜像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使用LiME/Velociraptor等工具提取，冻结状态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加密、冷存储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至事件解决后2年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磁盘镜像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位对位复制（dd/FTK），计算哈希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加密、物理隔离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至事件解决后2年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物理销毁或加密擦除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恶意软件样本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隔离存储于沙箱环境，标记危险等级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隔离网络、访问控制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至事件解决后2年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通信记录（邮件/聊天/通话）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导出原始格式，保留元数据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加密、访问控制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6年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加密擦除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物理证据（监控/门禁/访客记录）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原始录像导出，保留时间戳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只读、加密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6年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到期后安全删除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AI相关证据（Prompt/输出/模型版本）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导出完整上下文，记录模型版本哈希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加密、访问控制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至事件解决后2年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7.3 链式 Custody 记录模板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微软雅黑"/>
                <w:b/>
                <w:sz w:val="21"/>
              </w:rPr>
              <w:t>记录项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/>
                <w:sz w:val="21"/>
              </w:rPr>
              <w:t>内容要求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证据编号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唯一标识符（如EV-2024-001）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证据名称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简明描述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证据类型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日志/流量/镜像/样本/通信/物理/其他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采集时间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精确到秒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采集人员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姓名、职务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采集方法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使用的工具和技术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原始位置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采集前的存储位置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存储位置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采集后的存储位置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哈希值（SHA-256）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完整性校验值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移交记录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每次移交的时间、移交人、接收人、目的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访问记录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每次访问的时间、人员、操作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完好/已分析/已呈堂/待销毁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8. 事后分析与持续改进</w:t>
      </w:r>
    </w:p>
    <w:p>
      <w:pPr/>
      <w:r>
        <w:rPr>
          <w:rFonts w:ascii="Arial" w:hAnsi="Arial" w:eastAsia="微软雅黑"/>
          <w:b/>
          <w:i w:val="0"/>
          <w:sz w:val="21"/>
        </w:rPr>
        <w:t>8.1 事后审查会议（Post-Incident Review, PIR）</w:t>
      </w:r>
    </w:p>
    <w:p>
      <w:pPr/>
      <w:r>
        <w:rPr>
          <w:rFonts w:ascii="Arial" w:hAnsi="Arial" w:eastAsia="微软雅黑"/>
          <w:b w:val="0"/>
          <w:i w:val="0"/>
          <w:sz w:val="21"/>
        </w:rPr>
        <w:t>召开时限：事件关闭后[5]个工作日内</w:t>
      </w:r>
    </w:p>
    <w:p>
      <w:pPr/>
      <w:r>
        <w:rPr>
          <w:rFonts w:ascii="Arial" w:hAnsi="Arial" w:eastAsia="微软雅黑"/>
          <w:b w:val="0"/>
          <w:i w:val="0"/>
          <w:sz w:val="21"/>
        </w:rPr>
        <w:t>参与者：核心IRT全体成员、相关扩展团队成员、高级管理层代表（P0/P1）</w:t>
      </w:r>
    </w:p>
    <w:p>
      <w:pPr/>
      <w:r>
        <w:rPr>
          <w:rFonts w:ascii="Arial" w:hAnsi="Arial" w:eastAsia="微软雅黑"/>
          <w:b w:val="0"/>
          <w:i w:val="0"/>
          <w:sz w:val="21"/>
        </w:rPr>
        <w:t>会议纪律：无问责（Blameless），聚焦系统性改进</w:t>
      </w:r>
    </w:p>
    <w:p/>
    <w:p>
      <w:pPr/>
      <w:r>
        <w:rPr>
          <w:rFonts w:ascii="Arial" w:hAnsi="Arial" w:eastAsia="微软雅黑"/>
          <w:b w:val="0"/>
          <w:i w:val="0"/>
          <w:sz w:val="21"/>
        </w:rPr>
        <w:t>PIR议程模板：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1. 事件时间线复盘（精确到分钟的检测-响应-遏制-恢复全过程）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2. 响应效果评估（各阶段耗时vs目标、决策质量、协作效率）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3. 根本原因分析（5 Whys、鱼骨图、FTA故障树分析）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4. 损失量化评估（患者影响人数、业务中断时长、直接财务损失、声誉影响、合规处罚风险）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5. 改进措施制定（技术、流程、人员、架构四个维度）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6. 经验教训文档化（纳入知识库，用于培训和演练）</w:t>
      </w:r>
    </w:p>
    <w:p/>
    <w:p>
      <w:pPr/>
      <w:r>
        <w:rPr>
          <w:rFonts w:ascii="Arial" w:hAnsi="Arial" w:eastAsia="微软雅黑"/>
          <w:b/>
          <w:i w:val="0"/>
          <w:sz w:val="21"/>
        </w:rPr>
        <w:t>8.2 改进措施跟踪矩阵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改进维度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示例措施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优先级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负责人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目标完成日期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验收标准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技术控制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部署EDR、增强DLP规则、实施零信任架构、升级加密算法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技术负责人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[日期]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通过渗透测试验证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流程优化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修订响应流程、优化通知模板、完善升级规则、缩短审批链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ISO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[日期]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桌面演练验证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人员能力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针对性培训、红队演练、跨部门协作演练、外部专家培训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培训负责人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[日期]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演练评估达标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架构韧性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增强冗余、改进备份策略、优化灾备架构、实施混沌工程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架构师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[日期]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RTO/RPO达标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合规强化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更新政策文档、增强审计覆盖、完善BAA条款、引入自动化合规检查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合规官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[日期]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审计无重大发现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监控告警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增强检测规则、减少误报、引入UEBA、实施威胁情报集成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SOC负责人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[日期]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MTTD缩短50%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8.3 经验教训知识库</w:t>
      </w:r>
    </w:p>
    <w:p>
      <w:pPr/>
      <w:r>
        <w:rPr>
          <w:rFonts w:ascii="Arial" w:hAnsi="Arial" w:eastAsia="微软雅黑"/>
          <w:b w:val="0"/>
          <w:i w:val="0"/>
          <w:sz w:val="21"/>
        </w:rPr>
        <w:t>每起事件应产出以下文档并纳入知识库：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《事件总结报告》：事件概述、时间线、影响评估、响应过程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《根本原因分析报告》：技术分析、管理分析、系统性因素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《改进措施跟踪表》：措施清单、负责人、进度、验收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《案例教学材料》：脱敏后的案例，用于培训和演练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9. 演练计划与文档维护</w:t>
      </w:r>
    </w:p>
    <w:p>
      <w:pPr/>
      <w:r>
        <w:rPr>
          <w:rFonts w:ascii="Arial" w:hAnsi="Arial" w:eastAsia="微软雅黑"/>
          <w:b/>
          <w:i w:val="0"/>
          <w:sz w:val="21"/>
        </w:rPr>
        <w:t>9.1 演练计划矩阵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演练类型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频率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参与者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场景设计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评估标准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产出物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桌面演练</w:t>
              <w:br/>
              <w:t>（Tabletop Exercise）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每半年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核心IRT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勒索软件、第三方泄露、AI篡改、内部威胁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决策质量、流程熟悉度、协作效率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演练报告、改进清单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技术演练</w:t>
              <w:br/>
              <w:t>（Technical Drill）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每季度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技术团队+SOC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系统恢复、取证操作、日志分析、应急工具使用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恢复时间、取证完整性、工具可用性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技术评估报告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全面演练</w:t>
              <w:br/>
              <w:t>（Full-Scale Exercise）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每年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全员+外部资源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模拟真实P0事件，测试完整响应流程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MTTD、MTTR、通知时限、业务恢复时间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全面评估报告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突击演练</w:t>
              <w:br/>
              <w:t>（No-Notice Drill）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每年1-2次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核心IRT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无预警模拟事件，测试响应速度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响应启动时间、初始评估质量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突击评估报告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第三方联合演练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每年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IRT+关键供应商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Twilio/LLM/云服务商联合响应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协作效率、信息共享、责任界定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联合演练报告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9.2 计划维护要求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维护活动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频率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内容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触发更新条件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全面审查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每年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ISO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审查计划完整性、更新流程、修订模板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法规变更、重大事件后、组织架构调整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联系人更新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每季度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ISO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更新IRT成员、外部资源联系信息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人员变动、供应商变更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工具验证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每半年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技术负责人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验证响应工具可用性、更新许可证、测试备用系统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工具升级、许可证到期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法规跟踪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持续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合规官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监控HIPAA/OCR/州法规更新，评估影响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法规发布、执法趋势变化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案例更新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每起事件后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ISO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将事件经验纳入案例库和培训材料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任何P1及以上事件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10. 附录</w:t>
      </w:r>
    </w:p>
    <w:p>
      <w:pPr/>
      <w:r>
        <w:rPr>
          <w:rFonts w:ascii="Arial" w:hAnsi="Arial" w:eastAsia="微软雅黑"/>
          <w:b/>
          <w:i w:val="0"/>
          <w:sz w:val="21"/>
        </w:rPr>
        <w:t>附录A：快速参考卡（Quick Reference Card）</w:t>
      </w:r>
    </w:p>
    <w:p>
      <w:pPr/>
      <w:r>
        <w:rPr>
          <w:rFonts w:ascii="Arial" w:hAnsi="Arial" w:eastAsia="微软雅黑"/>
          <w:b w:val="0"/>
          <w:i w:val="0"/>
          <w:sz w:val="21"/>
        </w:rPr>
        <w:t>（建议打印并分发给核心IRT成员，包含：事件热线、关键联系人、分级标准、即时遏制措施清单）</w:t>
      </w:r>
    </w:p>
    <w:p/>
    <w:p>
      <w:pPr/>
      <w:r>
        <w:rPr>
          <w:rFonts w:ascii="Arial" w:hAnsi="Arial" w:eastAsia="微软雅黑"/>
          <w:b/>
          <w:i w:val="0"/>
          <w:sz w:val="21"/>
        </w:rPr>
        <w:t>附录B：通知模板库</w:t>
      </w:r>
    </w:p>
    <w:p>
      <w:pPr/>
      <w:r>
        <w:rPr>
          <w:rFonts w:ascii="Arial" w:hAnsi="Arial" w:eastAsia="微软雅黑"/>
          <w:b w:val="0"/>
          <w:i w:val="0"/>
          <w:sz w:val="21"/>
        </w:rPr>
        <w:t>B-1：内部事件启动通知模板</w:t>
      </w:r>
    </w:p>
    <w:p>
      <w:pPr/>
      <w:r>
        <w:rPr>
          <w:rFonts w:ascii="Arial" w:hAnsi="Arial" w:eastAsia="微软雅黑"/>
          <w:b w:val="0"/>
          <w:i w:val="0"/>
          <w:sz w:val="21"/>
        </w:rPr>
        <w:t>B-2：HHS/OCR违规报告模板（Breach Report Tool）</w:t>
      </w:r>
    </w:p>
    <w:p>
      <w:pPr/>
      <w:r>
        <w:rPr>
          <w:rFonts w:ascii="Arial" w:hAnsi="Arial" w:eastAsia="微软雅黑"/>
          <w:b w:val="0"/>
          <w:i w:val="0"/>
          <w:sz w:val="21"/>
        </w:rPr>
        <w:t>B-3：受影响个人通知信模板（英文/西班牙文/中文等多语言）</w:t>
      </w:r>
    </w:p>
    <w:p>
      <w:pPr/>
      <w:r>
        <w:rPr>
          <w:rFonts w:ascii="Arial" w:hAnsi="Arial" w:eastAsia="微软雅黑"/>
          <w:b w:val="0"/>
          <w:i w:val="0"/>
          <w:sz w:val="21"/>
        </w:rPr>
        <w:t>B-4：媒体声明模板</w:t>
      </w:r>
    </w:p>
    <w:p>
      <w:pPr/>
      <w:r>
        <w:rPr>
          <w:rFonts w:ascii="Arial" w:hAnsi="Arial" w:eastAsia="微软雅黑"/>
          <w:b w:val="0"/>
          <w:i w:val="0"/>
          <w:sz w:val="21"/>
        </w:rPr>
        <w:t>B-5：第三方服务商事件通知模板</w:t>
      </w:r>
    </w:p>
    <w:p>
      <w:pPr/>
      <w:r>
        <w:rPr>
          <w:rFonts w:ascii="Arial" w:hAnsi="Arial" w:eastAsia="微软雅黑"/>
          <w:b w:val="0"/>
          <w:i w:val="0"/>
          <w:sz w:val="21"/>
        </w:rPr>
        <w:t>B-6：执法机构报案材料模板</w:t>
      </w:r>
    </w:p>
    <w:p>
      <w:pPr/>
      <w:r>
        <w:rPr>
          <w:rFonts w:ascii="Arial" w:hAnsi="Arial" w:eastAsia="微软雅黑"/>
          <w:b w:val="0"/>
          <w:i w:val="0"/>
          <w:sz w:val="21"/>
        </w:rPr>
        <w:t>B-7：董事会简报模板</w:t>
      </w:r>
    </w:p>
    <w:p/>
    <w:p>
      <w:pPr/>
      <w:r>
        <w:rPr>
          <w:rFonts w:ascii="Arial" w:hAnsi="Arial" w:eastAsia="微软雅黑"/>
          <w:b/>
          <w:i w:val="0"/>
          <w:sz w:val="21"/>
        </w:rPr>
        <w:t>附录C：工具与资源清单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工具/资源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访问方式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SIEM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Splunk / Microsoft Sentinel / Elastic SIEM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日志聚合、关联分析、威胁检测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[URL/内部地址]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EDR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CrowdStrike Falcon / Microsoft Defender for Endpoint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终端检测响应、远程取证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[管理控制台]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取证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Velociraptor / KAPE / FTK Imager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远程取证、内存/磁盘采集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[工具包位置]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网络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Wireshark / Zeek / Nmap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流量分析、网络扫描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[工具包位置]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云安全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AWS GuardDuty / Azure Sentinel / Prisma Cloud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云威胁检测、合规检查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[管理控制台]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协作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Microsoft Teams（加密频道）/ Slack（Gov版）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IRT协作、安全通信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[URL]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知识库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Confluence / SharePoint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事件记录、知识库、培训材料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[URL]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外部资源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CISA Alerts / FBI IC3 / HHS OCR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威胁情报、法规更新、报告渠道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[URLs]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附录D：法规与标准参考</w:t>
      </w:r>
    </w:p>
    <w:p>
      <w:pPr/>
      <w:r>
        <w:rPr>
          <w:rFonts w:ascii="Arial" w:hAnsi="Arial" w:eastAsia="微软雅黑"/>
          <w:b w:val="0"/>
          <w:i w:val="0"/>
          <w:sz w:val="21"/>
        </w:rPr>
        <w:t>HIPAA隐私规则：45 CFR §164.500 - §164.534</w:t>
      </w:r>
    </w:p>
    <w:p>
      <w:pPr/>
      <w:r>
        <w:rPr>
          <w:rFonts w:ascii="Arial" w:hAnsi="Arial" w:eastAsia="微软雅黑"/>
          <w:b w:val="0"/>
          <w:i w:val="0"/>
          <w:sz w:val="21"/>
        </w:rPr>
        <w:t>HIPAA安全规则：45 CFR §164.302 - §164.318</w:t>
      </w:r>
    </w:p>
    <w:p>
      <w:pPr/>
      <w:r>
        <w:rPr>
          <w:rFonts w:ascii="Arial" w:hAnsi="Arial" w:eastAsia="微软雅黑"/>
          <w:b w:val="0"/>
          <w:i w:val="0"/>
          <w:sz w:val="21"/>
        </w:rPr>
        <w:t>HIPAA违规通知规则：45 CFR §164.400 - §164.414</w:t>
      </w:r>
    </w:p>
    <w:p>
      <w:pPr/>
      <w:r>
        <w:rPr>
          <w:rFonts w:ascii="Arial" w:hAnsi="Arial" w:eastAsia="微软雅黑"/>
          <w:b w:val="0"/>
          <w:i w:val="0"/>
          <w:sz w:val="21"/>
        </w:rPr>
        <w:t>HITECH Act：Pub.L. 111-5, Title XIII</w:t>
      </w:r>
    </w:p>
    <w:p>
      <w:pPr/>
      <w:r>
        <w:rPr>
          <w:rFonts w:ascii="Arial" w:hAnsi="Arial" w:eastAsia="微软雅黑"/>
          <w:b w:val="0"/>
          <w:i w:val="0"/>
          <w:sz w:val="21"/>
        </w:rPr>
        <w:t>NIST SP 800-61 Rev. 2：Computer Security Incident Handling Guide</w:t>
      </w:r>
    </w:p>
    <w:p>
      <w:pPr/>
      <w:r>
        <w:rPr>
          <w:rFonts w:ascii="Arial" w:hAnsi="Arial" w:eastAsia="微软雅黑"/>
          <w:b w:val="0"/>
          <w:i w:val="0"/>
          <w:sz w:val="21"/>
        </w:rPr>
        <w:t>NIST SP 800-53 Rev. 5：Security and Privacy Controls</w:t>
      </w:r>
    </w:p>
    <w:p>
      <w:pPr/>
      <w:r>
        <w:rPr>
          <w:rFonts w:ascii="Arial" w:hAnsi="Arial" w:eastAsia="微软雅黑"/>
          <w:b w:val="0"/>
          <w:i w:val="0"/>
          <w:sz w:val="21"/>
        </w:rPr>
        <w:t>ISO/IEC 27035：Information Security Incident Management</w:t>
      </w:r>
    </w:p>
    <w:p>
      <w:pPr/>
      <w:r>
        <w:rPr>
          <w:rFonts w:ascii="Arial" w:hAnsi="Arial" w:eastAsia="微软雅黑"/>
          <w:b w:val="0"/>
          <w:i w:val="0"/>
          <w:sz w:val="21"/>
        </w:rPr>
        <w:t>CISA Cyber Incident Response Basics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