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Classification and Grading Standard</w:t>
      </w:r>
    </w:p>
    <w:p>
      <w:pPr>
        <w:jc w:val="center"/>
      </w:pPr>
      <w:r>
        <w:rPr>
          <w:rFonts w:ascii="Arial" w:hAnsi="Arial" w:eastAsia="微软雅黑"/>
          <w:b/>
          <w:color w:val="808080"/>
          <w:sz w:val="32"/>
        </w:rPr>
        <w:t>数据分类分级标准</w:t>
      </w:r>
    </w:p>
    <w:p>
      <w:pPr>
        <w:jc w:val="center"/>
      </w:pPr>
      <w:r>
        <w:rPr>
          <w:rFonts w:ascii="Arial" w:hAnsi="Arial" w:eastAsia="微软雅黑"/>
          <w:b w:val="0"/>
          <w:i/>
          <w:color w:val="808080"/>
          <w:sz w:val="24"/>
        </w:rPr>
        <w:t>AI接待Agent系统专用版 V2.0</w:t>
      </w:r>
    </w:p>
    <w:p/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微软雅黑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文档编号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DCS-AI-RECEPTION-002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V2.0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关联文档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SOW_AI_Reception_Agent_V2.0_Legal / BAA_Template_HIPAA_Compliant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生效日期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[YYYY年MM月DD日]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下次审查日期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[YYYY年MM月DD日]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文档所有者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首席数据官（CDO）/ 信息安全官（ISO）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批准人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b w:val="0"/>
                <w:sz w:val="21"/>
              </w:rPr>
              <w:t>首席合规官（CCO）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1. 目的与适用范围</w:t>
      </w:r>
    </w:p>
    <w:p>
      <w:pPr/>
      <w:r>
        <w:rPr>
          <w:rFonts w:ascii="Arial" w:hAnsi="Arial" w:eastAsia="微软雅黑"/>
          <w:b/>
          <w:i w:val="0"/>
          <w:sz w:val="21"/>
        </w:rPr>
        <w:t>1.1 目的</w:t>
      </w:r>
    </w:p>
    <w:p>
      <w:pPr/>
      <w:r>
        <w:rPr>
          <w:rFonts w:ascii="Arial" w:hAnsi="Arial" w:eastAsia="微软雅黑"/>
          <w:b w:val="0"/>
          <w:i w:val="0"/>
          <w:sz w:val="21"/>
        </w:rPr>
        <w:t>本标准为AI接待Agent系统建立科学、可执行的数据分类分级体系，旨在：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满足HIPAA隐私规则（45 CFR §164.500-534）和安全规则（45 CFR §164.302-318）对PHI全生命周期的保护要求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为差异化安全控制（访问控制、加密、审计、备份、销毁）提供明确的决策依据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支持数据最小必要原则的实施，限制不必要的PHI收集、使用和保留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为合规审计、风险评估、事件响应提供数据资产清单和保护基线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指导第三方服务商的数据处理要求和BAA谈判</w:t>
      </w:r>
    </w:p>
    <w:p>
      <w:pPr/>
      <w:r>
        <w:rPr>
          <w:rFonts w:ascii="Arial" w:hAnsi="Arial" w:eastAsia="微软雅黑"/>
          <w:b/>
          <w:i w:val="0"/>
          <w:sz w:val="21"/>
        </w:rPr>
        <w:t>1.2 适用范围</w:t>
      </w:r>
    </w:p>
    <w:p>
      <w:pPr/>
      <w:r>
        <w:rPr>
          <w:rFonts w:ascii="Arial" w:hAnsi="Arial" w:eastAsia="微软雅黑"/>
          <w:b w:val="0"/>
          <w:i w:val="0"/>
          <w:sz w:val="21"/>
        </w:rPr>
        <w:t>本标准适用于AI接待Agent系统涉及的全部数据，无论存储位置、处理状态或传输方向：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患者相关数据：身份信息、预约信息、就诊信息、保险信息、通信记录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系统运行数据：AI处理日志、模型输入输出、工具调用记录、系统配置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安全与审计数据：访问日志、操作审计、安全事件记录、监控数据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业务支撑数据：Provider信息、诊所设置、排期模板、统计报表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第三方交互数据：与Twilio/LLM/ASR/TTS/OCR/EMR交换的全部数据</w:t>
      </w:r>
    </w:p>
    <w:p/>
    <w:p>
      <w:pPr/>
      <w:r>
        <w:rPr>
          <w:rFonts w:ascii="Arial" w:hAnsi="Arial" w:eastAsia="微软雅黑"/>
          <w:b/>
          <w:i w:val="0"/>
          <w:sz w:val="21"/>
        </w:rPr>
        <w:t>1.3 适用人员</w:t>
      </w:r>
    </w:p>
    <w:p>
      <w:pPr/>
      <w:r>
        <w:rPr>
          <w:rFonts w:ascii="Arial" w:hAnsi="Arial" w:eastAsia="微软雅黑"/>
          <w:b w:val="0"/>
          <w:i w:val="0"/>
          <w:sz w:val="21"/>
        </w:rPr>
        <w:t>本标准适用于所有接触本系统数据的人员：正式员工、合同工、外包人员、第三方服务商人员、实习生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2. 术语与定义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 w:eastAsia="微软雅黑"/>
                <w:b/>
                <w:sz w:val="21"/>
              </w:rPr>
              <w:t>术语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/>
                <w:sz w:val="21"/>
              </w:rPr>
              <w:t>英文全称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/>
                <w:sz w:val="21"/>
              </w:rPr>
              <w:t>定义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数据分类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Data Classification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根据数据的业务属性、来源、用途等特征，将数据划分为不同类别的过程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数据分级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Data Grading / Data Classification Level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根据数据的敏感程度、价值、泄露影响等因素，评估并确定数据保护等级的系统化过程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受保护健康信息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Protected Health Information (PHI)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根据HIPAA定义，由医疗机构以任何媒介形式创建、接收、维护或传输的，可识别个人身份的健康信息。包括过去、现在或未来的身体/精神健康状况、提供的医疗服务、医疗费用的支付信息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个人可识别信息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Personally Identifiable Information (PII)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可用于识别特定个人身份的信息，包括但不限于姓名、SSN、生物识别符等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电子PHI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Electronic PHI (ePHI)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以电子形式创建、接收、维护或传输的PHI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De-identification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按照HIPAA §164.514(b)规定的方法，移除或修改PHI中的个人标识符，使信息不再能识别特定个人，且不存在实际重识别风险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有限数据集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Limited Data Set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根据HIPAA §164.514(e)，移除了直接标识符但保留了日期、地理位置等间接标识符的PHI，需签署数据使用协议（DUA）后方可使用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数据生命周期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Data Lifecycle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数据从创建/收集、存储、使用、共享、归档到销毁的全过程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数据所有者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Data Owner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对特定数据的业务价值、使用目的和合规责任负责的业务部门或指定人员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数据保管者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Data Custodian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负责数据的技术存储、安全保护、备份恢复和日常维护的IT部门或指定人员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数据使用者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Data User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经授权访问和使用数据以完成工作职责的任何人员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数据处理器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Data Processor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代表数据控制者处理数据的第三方实体（如LLM服务商、云服务商）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3. 数据分类体系</w:t>
      </w:r>
    </w:p>
    <w:p>
      <w:pPr/>
      <w:r>
        <w:rPr>
          <w:rFonts w:ascii="Arial" w:hAnsi="Arial" w:eastAsia="微软雅黑"/>
          <w:b/>
          <w:i w:val="0"/>
          <w:sz w:val="21"/>
        </w:rPr>
        <w:t>3.1 分类框架</w:t>
      </w:r>
    </w:p>
    <w:p>
      <w:pPr/>
      <w:r>
        <w:rPr>
          <w:rFonts w:ascii="Arial" w:hAnsi="Arial" w:eastAsia="微软雅黑"/>
          <w:b w:val="0"/>
          <w:i w:val="0"/>
          <w:sz w:val="21"/>
        </w:rPr>
        <w:t>本标准采用三维分类框架：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主体维度（Who）：患者数据、Staff数据、系统数据、业务数据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来源维度（Where）：EMR数据、用户输入数据、AI生成数据、第三方数据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用途维度（Why）：身份识别、预约管理、保险处理、通信交互、AI处理、系统运维、审计合规、业务分析</w:t>
      </w:r>
    </w:p>
    <w:p/>
    <w:p>
      <w:pPr/>
      <w:r>
        <w:rPr>
          <w:rFonts w:ascii="Arial" w:hAnsi="Arial" w:eastAsia="微软雅黑"/>
          <w:b/>
          <w:i w:val="0"/>
          <w:sz w:val="21"/>
        </w:rPr>
        <w:t>3.2 数据类别详细定义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分类代码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分类名称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定义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数据范围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数据所有者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主要法规依据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患者身份数据</w:t>
              <w:br/>
              <w:t>Patient Identity Data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用于识别或验证患者个人身份的全部信息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姓名、出生日期、性别、地址、手机号、邮箱、SSN/MRN（如收集）、紧急联系人信息、患者照片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患者服务部/运营部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§164.514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CAT-B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医疗预约数据</w:t>
              <w:br/>
              <w:t>Appointment Data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与患者就诊预约、签到、排期相关的全部信息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就诊原因、预约时间/地点、医生信息、预约状态、签到记录、取消/改约记录、等待时长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运营管理部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§164.502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CAT-C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保险财务数据</w:t>
              <w:br/>
              <w:t>Insurance &amp; Financial Data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与患者保险验证、费用支付相关的全部信息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保险卡图片、保险公司名称、Member ID、Group Number、Policy Number、保险计划类型、理赔状态、支付记录、自付金额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财务部/保险部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§164.500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CAT-D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通信交互数据</w:t>
              <w:br/>
              <w:t>Communication Data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系统与患者、Staff或第三方之间的全部通信记录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通话录音、语音转写文本、AI对话记录、短信/邮件内容、视频通话记录、通信元数据（时间、时长、号码）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客服部/技术部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+ 州法律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CAT-E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AI处理数据</w:t>
              <w:br/>
              <w:t>AI Processing Data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AI系统运行过程中产生、使用或处理的全部数据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LLM Prompt、模型输出、ASR转写结果、TTS合成文本、工具调用记录、置信度评分、模型版本信息、推理日志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技术部/AI团队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+ BAA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CAT-F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系统管理数据</w:t>
              <w:br/>
              <w:t>System Management Data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支撑系统运行、配置和管理的全部技术数据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用户账户/凭证、权限配置、API密钥、系统参数、网络配置、应用配置、缓存数据、会话令牌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技术部/运维部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§164.312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CAT-G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审计合规数据</w:t>
              <w:br/>
              <w:t>Audit &amp; Compliance Data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用于安全审计、合规监管和事件调查的全部记录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访问日志、操作审计日志、安全事件记录、合规检查报告、风险评估文档、培训记录、BAA文档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合规部/安全部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§164.312(b)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CAT-H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业务参考数据</w:t>
              <w:br/>
              <w:t>Business Reference Data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支撑业务运营和分析的全部基础数据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Provider信息（姓名、专长、执照）、诊所信息、服务目录、排期模板、统计报表（聚合）、运营指标、配置表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运营管理部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业务需求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4. 数据分级体系</w:t>
      </w:r>
    </w:p>
    <w:p>
      <w:pPr/>
      <w:r>
        <w:rPr>
          <w:rFonts w:ascii="Arial" w:hAnsi="Arial" w:eastAsia="微软雅黑"/>
          <w:b/>
          <w:i w:val="0"/>
          <w:sz w:val="21"/>
        </w:rPr>
        <w:t>4.1 分级评估模型</w:t>
      </w:r>
    </w:p>
    <w:p>
      <w:pPr/>
      <w:r>
        <w:rPr>
          <w:rFonts w:ascii="Arial" w:hAnsi="Arial" w:eastAsia="微软雅黑"/>
          <w:b w:val="0"/>
          <w:i w:val="0"/>
          <w:sz w:val="21"/>
        </w:rPr>
        <w:t>数据分级基于四维评估模型，综合评分确定保护等级：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评估维度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权重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评估要素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评分标准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敏感性</w:t>
              <w:br/>
              <w:t>(Sensitivity)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个人身份识别能力、隐私侵犯程度、健康信息敏感度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1-5分：1=公开信息，5=核心身份+健康信息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合规要求</w:t>
              <w:br/>
              <w:t>(Compliance)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HIPAA/州法/行业规范的强制保护要求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1-5分：1=无强制要求，5=严格法定要求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业务价值</w:t>
              <w:br/>
              <w:t>(Business Value)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数据对业务运营的关键性、不可替代性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1-5分：1=可替代，5=核心业务依赖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泄露影响</w:t>
              <w:br/>
              <w:t>(Impact of Breach)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泄露对患者、机构、第三方的潜在危害程度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1-5分：1=无实质影响，5=生命安全/重大财务/声誉灾难</w:t>
            </w:r>
          </w:p>
        </w:tc>
      </w:tr>
    </w:tbl>
    <w:p/>
    <w:p>
      <w:pPr/>
      <w:r>
        <w:rPr>
          <w:rFonts w:ascii="Arial" w:hAnsi="Arial" w:eastAsia="微软雅黑"/>
          <w:b w:val="0"/>
          <w:i w:val="0"/>
          <w:sz w:val="21"/>
        </w:rPr>
        <w:t>综合评分与等级映射：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L4（最高敏感级）：综合评分 4.5-5.0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L3（高敏感级）：综合评分 3.5-4.4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L2（中敏感级）：综合评分 2.5-3.4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L1（低敏感级）：综合评分 1.5-2.4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L0（公开级）：综合评分 1.0-1.4</w:t>
      </w:r>
    </w:p>
    <w:p/>
    <w:p>
      <w:pPr/>
      <w:r>
        <w:rPr>
          <w:rFonts w:ascii="Arial" w:hAnsi="Arial" w:eastAsia="微软雅黑"/>
          <w:b/>
          <w:i w:val="0"/>
          <w:sz w:val="21"/>
        </w:rPr>
        <w:t>4.2 保护等级定义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定义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泄露影响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典型数据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最高敏感级</w:t>
              <w:br/>
              <w:t>Critical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可直接识别个人身份的核心PHI，或组合后可精确识别个人的敏感信息集合。泄露将导致灾难性后果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监管重罚（年度上限$1.5M/类别）、集体诉讼、声誉毁灭性损害、患者安全威胁、刑事责任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患者姓名+DOB+SSN、完整保险卡信息、通话录音含医疗讨论、诊断信息、完整医疗记录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高敏感级</w:t>
              <w:br/>
              <w:t>High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间接识别个人身份或特定场景下可识别个人的PHI。泄露将导致重大合规和业务风险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监管处罚、患者投诉、业务中断、财务损失、媒体负面报道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预约记录（含就诊原因）、AI对话记录、语音转写文本、审计日志（含用户ID）、保险信息（去标识化前）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中敏感级</w:t>
              <w:br/>
              <w:t>Medium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完成去标识化处理的数据，或业务敏感但不含个人健康信息的数据。泄露将导致有限影响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竞争劣势、运营效率下降、客户信任受损、分析价值降低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去标识化后的对话数据、聚合统计报表、模型训练数据、Provider业务信息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低敏感级</w:t>
              <w:br/>
              <w:t>Low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内部公开或低敏感度的运营数据。泄露影响可忽略或极小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轻微运营不便、无实质损害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系统配置（非凭证）、公开服务信息、排期模板、非敏感运营指标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L0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公开级</w:t>
              <w:br/>
              <w:t>Public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已 intentionally 公开发布或依法公开的数据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无影响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网站公开信息、公开宣传材料、公开的服务目录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4.3 数据分级详细映射表</w:t>
      </w:r>
    </w:p>
    <w:p>
      <w:pPr/>
      <w:r>
        <w:rPr>
          <w:rFonts w:ascii="Arial" w:hAnsi="Arial" w:eastAsia="微软雅黑"/>
          <w:b w:val="0"/>
          <w:i w:val="0"/>
          <w:sz w:val="21"/>
        </w:rPr>
        <w:t>（以下映射为默认分级，实际分级应结合具体业务场景和评估模型确定）</w:t>
      </w:r>
    </w:p>
    <w:p/>
    <w:p>
      <w:pPr/>
      <w:r>
        <w:rPr>
          <w:rFonts w:ascii="Arial" w:hAnsi="Arial" w:eastAsia="微软雅黑"/>
          <w:b/>
          <w:i w:val="0"/>
          <w:sz w:val="21"/>
        </w:rPr>
        <w:t>CAT-A 患者身份数据分级映射：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数据项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默认等级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降级条件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升级触发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特殊说明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姓名（First/Last Name）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名人/公众人物保持L4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禁止在AI Prompt中直接使用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出生日期（DOB）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仅保留年份→L2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与姓名组合→L4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年份可用于年龄计算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性别（Gender）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单独存储→L2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与姓名+DOB组合→L4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手机号（Phone Number）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脱敏后4位→L2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用于患者匹配和通信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地址（Address）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仅保留州/城市→L2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完整地址用于紧急联系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邮箱（Email）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哈希处理后→L2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用于通知和账户关联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SSN（如收集）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禁止降级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最小必要原则：非必要不收集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MRN（医疗记录号）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禁止降级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EMR系统唯一标识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紧急联系人信息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含第三方PII，同等保护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患者照片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禁止降级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生物识别信息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CAT-B 医疗预约数据分级映射：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数据项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默认等级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降级条件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升级触发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特殊说明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就诊原因（Visit Reason）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聚合统计→L2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涉及敏感诊断（HIV/精神/药物滥用）→L4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敏感诊断需额外授权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预约时间/地点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与患者身份关联→L4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医生信息（Provider）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单独存储→L2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预约状态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聚合后→L2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与患者身份关联→L4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签到记录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聚合后→L2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与患者身份关联→L4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含时间戳和位置信息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等待时长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聚合后→L1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与患者身份关联→L3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运营指标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取消/改约原因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匿名化后→L2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涉及敏感信息→L4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CAT-C 保险财务数据分级映射：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数据项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默认等级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降级条件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升级触发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特殊说明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保险卡图片（原始）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OCR后安全销毁→N/A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保留期限：OCR完成后30天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Member ID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部分遮蔽→L3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保险唯一标识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Group Number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部分遮蔽→L3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Policy Number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部分遮蔽→L3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保险公司名称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保险计划类型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聚合后→L2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理赔信息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禁止降级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含费用和诊断关联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支付记录/自付金额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聚合后→L2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财务敏感信息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OCR识别结果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人工审核确认后→L2（用于统计）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审核前按L4保护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CAT-D 通信交互数据分级映射：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数据项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默认等级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降级条件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升级触发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特殊说明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通话录音（原始）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转写后删除→L3（转写文本）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涉及医疗建议→L4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录音前须告知患者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语音转写文本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含PHI讨论→L4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ASR输出同等保护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AI对话记录（含Prompt）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含PHI→L4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Prompt禁止含可识别信息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短信内容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含PHI→L4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邮件内容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含PHI→L4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通信元数据（时间/时长/号码）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聚合后→L2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不含内容仍可能识别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视频通话记录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如未来支持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CAT-E AI处理数据分级映射：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数据项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默认等级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降级条件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升级触发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特殊说明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LLM Prompt（原始）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含PHI→L4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须审查Prompt设计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LLM模型输出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含PHI→L3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输出可能意外包含PHI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ASR转写结果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等同CAT-D转写文本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TTS合成文本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含PHI→L3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通常不含敏感信息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工具调用记录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涉及PHI操作→L3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置信度评分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纯技术指标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模型版本/配置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业务敏感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推理日志（含输入输出）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含PHI→L4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保留期限6个月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训练数据（去标识化后）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含残留标识符→L4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严禁使用L3/L4数据训练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CAT-F 系统管理数据分级映射：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数据项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默认等级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降级条件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升级触发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特殊说明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用户账户/密码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禁止降级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凭证信息最高保护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API密钥/Token/证书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禁止降级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定期轮换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MFA密钥/备份码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禁止降级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权限配置/角色定义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系统参数（非敏感）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网络配置（含IP）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会话令牌/Refresh Token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过期后→L1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短期有效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缓存数据（含PHI）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清除后→N/A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按缓存策略及时清除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CAT-G 审计合规数据分级映射：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数据项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默认等级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降级条件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升级触发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特殊说明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访问日志（含用户ID+操作对象）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匿名化后→L2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涉及PHI访问→L4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保留6年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PHI访问审计（详细记录）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§164.312(b)要求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安全事件记录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涉及P0/P1→L4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合规检查报告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风险评估文档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培训记录（含PII）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去标识化后→L2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BAA/DUA文档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合同敏感信息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CAT-H 业务参考数据分级映射：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数据项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默认等级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降级条件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升级触发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特殊说明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Provider姓名/专长/执照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Provider联系方式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诊所信息（地址/电话）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公开信息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服务目录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公开信息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排期模板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统计报表（聚合，k≥5）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小样本可能识别→L3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k-匿名要求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运营指标（非敏感）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患者满意度评分（聚合）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5. 数据保护要求矩阵</w:t>
      </w:r>
    </w:p>
    <w:p>
      <w:pPr/>
      <w:r>
        <w:rPr>
          <w:rFonts w:ascii="Arial" w:hAnsi="Arial" w:eastAsia="微软雅黑"/>
          <w:b/>
          <w:i w:val="0"/>
          <w:sz w:val="21"/>
        </w:rPr>
        <w:t>5.1 通用保护要求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保护维度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L4最高敏感级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L3高敏感级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L2中敏感级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L1低敏感级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L0公开级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访问控制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最小权限+MFA+审批+双人控制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最小权限+MFA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基于角色访问控制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基本身份验证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无需认证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传输加密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TLS 1.3 + 端到端加密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TLS 1.3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TLS 1.2+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TLS 1.2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无要求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存储加密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AES-256-GCM + HSM/KMS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AES-256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AES-128+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可选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无要求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密钥管理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HSM + 90天轮换 + 双人控制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KMS + 180天轮换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KMS管理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系统管理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无要求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审计日志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全量+实时+不可篡改+告警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全量+定期审查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关键操作记录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基本日志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无要求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数据脱敏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严格禁止非授权访问原始数据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展示时动态脱敏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分析时脱敏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无需脱敏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无要求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备份策略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实时同步+异地加密+不可变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定期备份+异地加密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定期备份+加密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标准备份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标准备份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保留期限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法规要求（通常6年）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法规要求（通常6年）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业务需求（2-3年）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业务需求（1年）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业务需求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销毁方式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加密擦除+物理销毁+销毁证明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加密擦除+销毁证明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安全删除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标准删除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标准删除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人员限制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授权人员+背景调查+保密协议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授权人员+保密培训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内部人员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内部人员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无限制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物理安全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受限区域+监控+门禁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受限区域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标准办公区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标准办公区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无要求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第三方传输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BAA+端到端加密+审计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BAA+传输加密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DUA或标准合同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标准合同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无要求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5.2 AI系统特殊场景保护要求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场景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涉及等级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特殊要求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合规依据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责任角色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AI模型训练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L2（去标识化后）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①禁止使用L3/L4数据训练 ②训练前完成去标识化验证 ③训练数据隔离存储 ④模型输出审查防PHI泄露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§164.514(b)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第三方LLM服务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L2-L4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①L3/L4数据须完成去标识化或签署BAA ②Prompt不得包含可识别患者信息 ③禁止第三方保留数据用于训练 ④实施输出过滤和审查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§164.504(e) + BAA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第三方ASR/TTS服务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L3-L4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①语音数据加密传输 ②签署BAA ③禁止保留语音样本 ④转写结果按同等等级保护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§164.504(e) + BAA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通话录音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①录音前明确告知患者 ②获取同意（或符合州法单方同意） ③AES-256加密存储 ④严格访问控制 ⑤到期安全销毁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州法律 + HIPAA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保险卡OCR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L4→L3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①图片加密传输/存储 ②OCR后立即人工审核 ③审核后按政策销毁图片或降级 ④OCR结果按L3保护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HIPAA最小必要原则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EMR数据同步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L3-L4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①同步过程mTLS/OAuth加密 ②失败任务审计 ③验证目标系统安全性 ④禁止批量导出 ⑤字段级访问控制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HIPAA安全规则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审计日志分析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①分析环境隔离 ②分析师权限最小化 ③分析结果脱敏 ④禁止导出原始日志 ⑤分析日志单独审计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§164.312(b)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报表/统计输出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L1-L2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①聚合数据满足k-匿名（k≥5） ②小样本数据抑制或泛化 ③敏感统计量添加噪声（差分隐私） ④输出前人工审核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§164.514(b)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开发/测试环境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L1-L2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①禁止使用生产环境L3/L4数据 ②使用合成数据或完成去标识化 ③测试环境隔离 ④测试数据到期销毁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HIPAA安全规则</w:t>
            </w:r>
          </w:p>
        </w:tc>
        <w:tc>
          <w:tcPr>
            <w:tcW w:type="dxa" w:w="1728"/>
          </w:tcPr>
          <w:p/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6. 数据生命周期管理</w:t>
      </w:r>
    </w:p>
    <w:p>
      <w:pPr/>
      <w:r>
        <w:rPr>
          <w:rFonts w:ascii="Arial" w:hAnsi="Arial" w:eastAsia="微软雅黑"/>
          <w:b/>
          <w:i w:val="0"/>
          <w:sz w:val="21"/>
        </w:rPr>
        <w:t>6.1 生命周期阶段定义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定义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关键活动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保护重点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责任角色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创建/收集</w:t>
              <w:br/>
              <w:t>Create/Collect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数据首次生成或从外部获取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患者注册、预约创建、通话录音、保险卡上传、AI生成输出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最小必要原则、来源验证、即时加密、质量校验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业务部门 + 技术部门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存储</w:t>
              <w:br/>
              <w:t>Store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数据持久化保存于任何媒介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数据库存储、对象存储、缓存、备份、归档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分级加密、访问控制、完整性校验、备份策略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数据保管者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使用</w:t>
              <w:br/>
              <w:t>Use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数据被访问、处理、分析或展示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查询、展示、AI处理、统计分析、报告生成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脱敏展示、权限控制、操作审计、防止泄露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数据使用者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共享</w:t>
              <w:br/>
              <w:t>Share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数据在不同系统、部门或组织间传输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EMR同步、第三方API调用、报告分发、监管报送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BAA/DUA审查、去标识化、传输加密、共享授权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数据所有者 + 合规部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归档</w:t>
              <w:br/>
              <w:t>Archive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数据从活跃存储迁移至长期存储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历史数据迁移、合规归档、冷存储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加密归档、访问限制、保留期限管理、定期完整性验证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数据保管者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销毁</w:t>
              <w:br/>
              <w:t>Destroy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数据被永久删除且不可恢复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到期删除、合规清除、介质销毁、销毁证明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安全擦除、销毁证明、不可恢复性验证、记录保留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数据保管者 + 合规部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6.2 数据保留期限标准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数据类别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数据项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保留期限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到期处理方式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法规/政策依据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/>
                <w:sz w:val="21"/>
              </w:rPr>
              <w:t>例外情况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全部患者身份数据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患者关系终止后6年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加密擦除 + 销毁证明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§164.530(j)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法律诉讼中按法律要求延长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CAT-B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预约记录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6年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加密擦除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CAT-B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签到记录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3年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加密擦除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业务需求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CAT-C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保险卡原始图片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OCR完成后30天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安全删除 + 删除证明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最小必要原则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法律要求保留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CAT-C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OCR结果/保险信息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6年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加密擦除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CAT-D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通话录音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12-24个月（按甲方政策）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安全删除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州法律 + 业务需求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法律诉讼中按法律要求延长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CAT-D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语音转写文本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与录音同期或录音删除后30天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安全删除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业务需求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CAT-D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AI对话记录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12个月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加密擦除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业务需求 + 合规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CAT-D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短信/邮件记录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3年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加密擦除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业务需求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CAT-E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Prompt/输出/调用记录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6个月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安全删除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业务需求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CAT-E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模型版本/配置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模型退役后2年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安全删除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业务需求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CAT-F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系统日志（非安全）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1年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安全删除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业务需求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CAT-F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安全日志/审计日志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6年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加密归档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 §164.312(b)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CAT-G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访问审计日志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6年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加密归档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CAT-G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合规报告/风险评估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6年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加密归档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HIPAA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CAT-H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Provider信息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Provider关系终止后2年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安全删除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业务需求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CAT-H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统计报表（聚合）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5年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安全删除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业务需求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b w:val="0"/>
                <w:sz w:val="21"/>
              </w:rPr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6.3 数据销毁标准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销毁等级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适用数据等级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验证要求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/>
                <w:sz w:val="21"/>
              </w:rPr>
              <w:t>产出物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Level 3</w:t>
              <w:br/>
              <w:t>最高安全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加密擦除（Cryptographic Erasure）+ 物理销毁（如适用）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验证密钥销毁后数据不可解密、介质物理破坏证明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销毁证明书 + 介质销毁证书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Level 2</w:t>
              <w:br/>
              <w:t>标准安全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安全擦除（NIST SP 800-88 Clear/Purge级别）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验证数据不可恢复（抽样恢复测试）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销毁证明书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Level 1</w:t>
              <w:br/>
              <w:t>基本安全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L1-L2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标准删除 + 存储空间覆写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验证文件系统不可见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删除记录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Level 0</w:t>
              <w:br/>
              <w:t>常规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L0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标准删除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无需验证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微软雅黑"/>
                <w:b w:val="0"/>
                <w:sz w:val="21"/>
              </w:rPr>
              <w:t>无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7. 去标识化标准</w:t>
      </w:r>
    </w:p>
    <w:p>
      <w:pPr/>
      <w:r>
        <w:rPr>
          <w:rFonts w:ascii="Arial" w:hAnsi="Arial" w:eastAsia="微软雅黑"/>
          <w:b/>
          <w:i w:val="0"/>
          <w:sz w:val="21"/>
        </w:rPr>
        <w:t>7.1 Safe Harbor方法（45 CFR §164.514(b)(2)）</w:t>
      </w:r>
    </w:p>
    <w:p>
      <w:pPr/>
      <w:r>
        <w:rPr>
          <w:rFonts w:ascii="Arial" w:hAnsi="Arial" w:eastAsia="微软雅黑"/>
          <w:b w:val="0"/>
          <w:i w:val="0"/>
          <w:sz w:val="21"/>
        </w:rPr>
        <w:t>采用Safe Harbor方法时，必须移除以下18类标识符：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A. 姓名（Names）：全部姓名，包括别名、昵称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B. 地理细分（Geographic Subdivisions）：小于州的地理单位，如街道地址、城市、县、邮编（前3位除外，大人口地区可保留前3位）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C. 日期（Dates）：除年份外的所有日期（出生日期、就诊日期、入院日期、出院日期、死亡日期等）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D. 电话号码（Telephone Numbers）：所有电话号码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E. 传真号码（Fax Numbers）：所有传真号码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F. 电子邮件地址（Email Addresses）：所有电子邮件地址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G. 社会安全号码（SSN）：所有SSN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H. 医疗记录号（MRN）：所有医疗记录号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I. 健康计划受益人号码（Health Plan Beneficiary Numbers）：所有保险受益人号码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J. 账户号码（Account Numbers）：所有金融账户号码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K. 证书/执照号码（Certificate/License Numbers）：所有证书和执照号码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L. 车辆识别号（Vehicle Identifiers）：VIN、车牌号等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M. 设备标识符（Device Identifiers）：序列号、UDI等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N. 网址（Web URLs）：所有与个体相关的URL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O. IP地址（IP Addresses）：所有IP地址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P. 生物识别标识符（Biometric Identifiers）：指纹、声纹、虹膜、面部几何等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Q. 面部照片（Full-face Photos）：可识别个人的照片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R. 其他唯一识别号码（Any Other Unique Identifying Numbers）：任何其他可用于识别个人的唯一号码、特征或代码</w:t>
      </w:r>
    </w:p>
    <w:p/>
    <w:p>
      <w:pPr/>
      <w:r>
        <w:rPr>
          <w:rFonts w:ascii="Arial" w:hAnsi="Arial" w:eastAsia="微软雅黑"/>
          <w:b/>
          <w:i w:val="0"/>
          <w:sz w:val="21"/>
        </w:rPr>
        <w:t>7.2 去标识化实施流程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活动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产出物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1. 识别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识别数据集中的全部标识符（自动化扫描+人工审查）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数据保管者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标识符清单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2. 移除/泛化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移除直接标识符，对间接标识符进行泛化（如日期→年份，邮编→前3位）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数据保管者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去标识化数据集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3. 验证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自动化验证18类标识符移除完整性 + 人工抽样审查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数据保管者 + 合规部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验证报告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4. 重识别风险评估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评估剩余数据被重识别的风险（专家判定或统计方法）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隐私官/外部专家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风险评估报告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5. 批准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合规官/隐私官批准去标识化结果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合规官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批准记录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6. 记录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文档化去标识化方法、时间、人员、验证结果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数据保管者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去标识化记录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7. 标记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对去标识化数据进行明确标记，防止误用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数据保管者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数据标签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7.3 有限数据集（Limited Data Set）</w:t>
      </w:r>
    </w:p>
    <w:p>
      <w:pPr/>
      <w:r>
        <w:rPr>
          <w:rFonts w:ascii="Arial" w:hAnsi="Arial" w:eastAsia="微软雅黑"/>
          <w:b w:val="0"/>
          <w:i w:val="0"/>
          <w:sz w:val="21"/>
        </w:rPr>
        <w:t>有限数据集允许保留以下标识符（需签署DUA）：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日期（出生日期、就诊日期等）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地理位置（城市、州、完整邮编）</w:t>
      </w:r>
    </w:p>
    <w:p>
      <w:pPr>
        <w:pStyle w:val="ListBullet"/>
      </w:pPr>
      <w:r>
        <w:rPr>
          <w:rFonts w:ascii="Arial" w:hAnsi="Arial" w:eastAsia="微软雅黑"/>
          <w:b w:val="0"/>
          <w:i w:val="0"/>
          <w:sz w:val="21"/>
        </w:rPr>
        <w:t>年龄（如年龄&gt;89岁，需泛化为"90岁及以上"）</w:t>
      </w:r>
    </w:p>
    <w:p>
      <w:pPr/>
      <w:r>
        <w:rPr>
          <w:rFonts w:ascii="Arial" w:hAnsi="Arial" w:eastAsia="微软雅黑"/>
          <w:b w:val="0"/>
          <w:i w:val="0"/>
          <w:sz w:val="21"/>
        </w:rPr>
        <w:t>DUA要求：</w:t>
      </w:r>
    </w:p>
    <w:p>
      <w:pPr>
        <w:pStyle w:val="ListBullet2"/>
      </w:pPr>
      <w:r>
        <w:rPr>
          <w:rFonts w:ascii="Arial" w:hAnsi="Arial" w:eastAsia="微软雅黑"/>
          <w:b w:val="0"/>
          <w:i w:val="0"/>
          <w:sz w:val="21"/>
        </w:rPr>
        <w:t>明确数据使用目的和范围</w:t>
      </w:r>
    </w:p>
    <w:p>
      <w:pPr>
        <w:pStyle w:val="ListBullet2"/>
      </w:pPr>
      <w:r>
        <w:rPr>
          <w:rFonts w:ascii="Arial" w:hAnsi="Arial" w:eastAsia="微软雅黑"/>
          <w:b w:val="0"/>
          <w:i w:val="0"/>
          <w:sz w:val="21"/>
        </w:rPr>
        <w:t>禁止进一步识别个人身份</w:t>
      </w:r>
    </w:p>
    <w:p>
      <w:pPr>
        <w:pStyle w:val="ListBullet2"/>
      </w:pPr>
      <w:r>
        <w:rPr>
          <w:rFonts w:ascii="Arial" w:hAnsi="Arial" w:eastAsia="微软雅黑"/>
          <w:b w:val="0"/>
          <w:i w:val="0"/>
          <w:sz w:val="21"/>
        </w:rPr>
        <w:t>禁止将数据用于营销</w:t>
      </w:r>
    </w:p>
    <w:p>
      <w:pPr>
        <w:pStyle w:val="ListBullet2"/>
      </w:pPr>
      <w:r>
        <w:rPr>
          <w:rFonts w:ascii="Arial" w:hAnsi="Arial" w:eastAsia="微软雅黑"/>
          <w:b w:val="0"/>
          <w:i w:val="0"/>
          <w:sz w:val="21"/>
        </w:rPr>
        <w:t>报告任何未经授权的使用</w:t>
      </w:r>
    </w:p>
    <w:p>
      <w:pPr>
        <w:pStyle w:val="ListBullet2"/>
      </w:pPr>
      <w:r>
        <w:rPr>
          <w:rFonts w:ascii="Arial" w:hAnsi="Arial" w:eastAsia="微软雅黑"/>
          <w:b w:val="0"/>
          <w:i w:val="0"/>
          <w:sz w:val="21"/>
        </w:rPr>
        <w:t>数据到期或目的达成后返还/销毁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8. 数据治理角色与职责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职责描述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具体任务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考核指标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首席数据官</w:t>
              <w:br/>
              <w:t>（CDO）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数据战略与治理体系总负责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制定数据分类分级策略、审批例外申请、监督数据治理体系运行、推动数据价值实现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数据分类覆盖率、治理成熟度评分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首席合规官</w:t>
              <w:br/>
              <w:t>（CCO）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合规监管总负责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确保分类分级符合HIPAA等法规、审批去标识化方案、处理合规争议、应对监管检查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合规审计通过率、违规事件数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信息安全官</w:t>
              <w:br/>
              <w:t>（ISO）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技术安全总负责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制定技术保护措施、实施访问控制、监控数据安全、响应安全事件、管理安全工具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安全事件MTTD/MTTR、漏洞修复时效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隐私官</w:t>
              <w:br/>
              <w:t>（Privacy Officer）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隐私保护专责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处理患者隐私权利请求、评估隐私影响（PIA）、监督去标识化过程、管理NPP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隐私请求响应时效、PIA完成率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数据所有者</w:t>
              <w:br/>
              <w:t>（Data Owner）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业务责任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确定数据分类分级、审批数据使用申请、指定数据保管者、评估业务影响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数据资产清单准确率、审批时效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数据保管者</w:t>
              <w:br/>
              <w:t>（Data Custodian）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技术责任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实施存储/备份/加密/销毁、维护数据目录、执行保留策略、技术支持审计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数据可用性、备份成功率、销毁合规率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数据使用者</w:t>
              <w:br/>
              <w:t>（Data User）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合规使用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按权限使用数据、报告异常、配合审计、完成培训、遵守最小必要原则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违规使用次数、培训完成率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数据处理器</w:t>
              <w:br/>
              <w:t>（Data Processor）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受托处理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按BAA/DUA约定处理数据、实施约定安全措施、报告安全事件、配合审计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BAA合规率、事件报告时效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9. 例外与变更管理</w:t>
      </w:r>
    </w:p>
    <w:p>
      <w:pPr/>
      <w:r>
        <w:rPr>
          <w:rFonts w:ascii="Arial" w:hAnsi="Arial" w:eastAsia="微软雅黑"/>
          <w:b/>
          <w:i w:val="0"/>
          <w:sz w:val="21"/>
        </w:rPr>
        <w:t>9.1 例外申请流程</w:t>
      </w:r>
    </w:p>
    <w:p>
      <w:pPr/>
      <w:r>
        <w:rPr>
          <w:rFonts w:ascii="Arial" w:hAnsi="Arial" w:eastAsia="微软雅黑"/>
          <w:b w:val="0"/>
          <w:i w:val="0"/>
          <w:sz w:val="21"/>
        </w:rPr>
        <w:t>当业务需求超出标准分类分级要求时，须按以下流程申请例外：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Step 1：申请人填写《数据分类分级例外申请表》，说明：</w:t>
      </w:r>
    </w:p>
    <w:p>
      <w:pPr>
        <w:pStyle w:val="ListBullet2"/>
      </w:pPr>
      <w:r>
        <w:rPr>
          <w:rFonts w:ascii="Arial" w:hAnsi="Arial" w:eastAsia="微软雅黑"/>
          <w:b w:val="0"/>
          <w:i w:val="0"/>
          <w:sz w:val="21"/>
        </w:rPr>
        <w:t>业务理由和必要性</w:t>
      </w:r>
    </w:p>
    <w:p>
      <w:pPr>
        <w:pStyle w:val="ListBullet2"/>
      </w:pPr>
      <w:r>
        <w:rPr>
          <w:rFonts w:ascii="Arial" w:hAnsi="Arial" w:eastAsia="微软雅黑"/>
          <w:b w:val="0"/>
          <w:i w:val="0"/>
          <w:sz w:val="21"/>
        </w:rPr>
        <w:t>拟访问的数据类别、等级、数量</w:t>
      </w:r>
    </w:p>
    <w:p>
      <w:pPr>
        <w:pStyle w:val="ListBullet2"/>
      </w:pPr>
      <w:r>
        <w:rPr>
          <w:rFonts w:ascii="Arial" w:hAnsi="Arial" w:eastAsia="微软雅黑"/>
          <w:b w:val="0"/>
          <w:i w:val="0"/>
          <w:sz w:val="21"/>
        </w:rPr>
        <w:t>风险缓解措施（额外控制、限制条件、监督机制）</w:t>
      </w:r>
    </w:p>
    <w:p>
      <w:pPr>
        <w:pStyle w:val="ListBullet2"/>
      </w:pPr>
      <w:r>
        <w:rPr>
          <w:rFonts w:ascii="Arial" w:hAnsi="Arial" w:eastAsia="微软雅黑"/>
          <w:b w:val="0"/>
          <w:i w:val="0"/>
          <w:sz w:val="21"/>
        </w:rPr>
        <w:t>例外期限（最长12个月）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Step 2：数据所有者审核业务必要性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Step 3：ISO评估技术安全风险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Step 4：隐私官/合规官评估隐私和合规风险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Step 5：CDO或授权委员会审批（L4数据例外须CCO共同审批）</w:t>
      </w:r>
    </w:p>
    <w:p>
      <w:pPr>
        <w:pStyle w:val="ListNumber"/>
      </w:pPr>
      <w:r>
        <w:rPr>
          <w:rFonts w:ascii="Arial" w:hAnsi="Arial" w:eastAsia="微软雅黑"/>
          <w:b w:val="0"/>
          <w:i w:val="0"/>
          <w:sz w:val="21"/>
        </w:rPr>
        <w:t>Step 6：例外生效，纳入监控清单，到期前30天提醒续期或关闭</w:t>
      </w:r>
    </w:p>
    <w:p/>
    <w:p>
      <w:pPr/>
      <w:r>
        <w:rPr>
          <w:rFonts w:ascii="Arial" w:hAnsi="Arial" w:eastAsia="微软雅黑"/>
          <w:b/>
          <w:i w:val="0"/>
          <w:sz w:val="21"/>
        </w:rPr>
        <w:t>9.2 分级变更触发条件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变更类型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变更动作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/>
                <w:sz w:val="21"/>
              </w:rPr>
              <w:t>审批权限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升级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数据泄露事件涉及该数据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立即升级至L4，启动事件响应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ISO + CCO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升级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法规变更要求更严格保护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按新法规要求重新分级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CCO + CDO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升级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数据组合后识别风险显著增加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评估并升级保护等级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隐私官 + ISO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降级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完成去标识化且通过验证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按去标识化结果降级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隐私官批准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降级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业务场景变化导致敏感度降低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申请例外降级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CDO批准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变更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数据用途发生重大变化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重新评估分类分级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数据所有者 + CDO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微软雅黑"/>
          <w:b/>
          <w:sz w:val="36"/>
        </w:rPr>
        <w:t>10. 附录</w:t>
      </w:r>
    </w:p>
    <w:p>
      <w:pPr/>
      <w:r>
        <w:rPr>
          <w:rFonts w:ascii="Arial" w:hAnsi="Arial" w:eastAsia="微软雅黑"/>
          <w:b/>
          <w:i w:val="0"/>
          <w:sz w:val="21"/>
        </w:rPr>
        <w:t>附录A：数据分类分级流程图</w:t>
      </w:r>
    </w:p>
    <w:p>
      <w:pPr/>
      <w:r>
        <w:rPr>
          <w:rFonts w:ascii="Arial" w:hAnsi="Arial" w:eastAsia="微软雅黑"/>
          <w:b w:val="0"/>
          <w:i w:val="0"/>
          <w:sz w:val="21"/>
        </w:rPr>
        <w:t>[流程：数据识别 → 分类（CAT-A~H）→ 分级评估（四维模型）→ 确定等级（L0~L4）→ 实施保护 → 定期复核 → 变更/销毁]</w:t>
      </w:r>
    </w:p>
    <w:p/>
    <w:p>
      <w:pPr/>
      <w:r>
        <w:rPr>
          <w:rFonts w:ascii="Arial" w:hAnsi="Arial" w:eastAsia="微软雅黑"/>
          <w:b/>
          <w:i w:val="0"/>
          <w:sz w:val="21"/>
        </w:rPr>
        <w:t>附录B：数据资产清单模板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 w:eastAsia="微软雅黑"/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/>
                <w:sz w:val="21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/>
                <w:sz w:val="21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数据资产ID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唯一标识符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DA-2024-001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数据名称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数据资产名称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患者预约记录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数据类别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CAT-A至CAT-H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CAT-B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保护等级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L0至L4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L3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数据所有者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业务部门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运营管理部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数据保管者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技术部门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技术部-数据库组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存储位置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物理/逻辑位置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AWS RDS us-east-1 / S3 bucket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创建日期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数据首次创建时间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2024-01-01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保留期限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按标准或例外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6年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销毁日期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预计销毁时间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2030-01-01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访问权限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授权角色/人员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预约管理员、系统管理员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加密状态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是/否 + 算法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是，AES-256-GCM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备份状态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是/否 + 频率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是，每日增量+每周全量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审计状态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是否启用审计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是，全量审计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第三方涉及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是否涉及第三方处理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是，Twilio通话记录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BAA/DUA编号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相关协议编号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BAA-Twilio-2024-001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备注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其他信息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b w:val="0"/>
                <w:sz w:val="21"/>
              </w:rPr>
              <w:t>涉及PHI，需年度复核</w:t>
            </w:r>
          </w:p>
        </w:tc>
      </w:tr>
    </w:tbl>
    <w:p/>
    <w:p>
      <w:pPr/>
      <w:r>
        <w:rPr>
          <w:rFonts w:ascii="Arial" w:hAnsi="Arial" w:eastAsia="微软雅黑"/>
          <w:b/>
          <w:i w:val="0"/>
          <w:sz w:val="21"/>
        </w:rPr>
        <w:t>附录C：数据分类分级例外申请表</w:t>
      </w:r>
    </w:p>
    <w:p>
      <w:pPr/>
      <w:r>
        <w:rPr>
          <w:rFonts w:ascii="Arial" w:hAnsi="Arial" w:eastAsia="微软雅黑"/>
          <w:b w:val="0"/>
          <w:i w:val="0"/>
          <w:sz w:val="21"/>
        </w:rPr>
        <w:t>[模板：申请人信息、申请日期、数据描述、业务理由、风险缓解措施、申请期限、审批流程]</w:t>
      </w:r>
    </w:p>
    <w:p/>
    <w:p>
      <w:pPr/>
      <w:r>
        <w:rPr>
          <w:rFonts w:ascii="Arial" w:hAnsi="Arial" w:eastAsia="微软雅黑"/>
          <w:b/>
          <w:i w:val="0"/>
          <w:sz w:val="21"/>
        </w:rPr>
        <w:t>附录D：去标识化检查清单</w:t>
      </w:r>
    </w:p>
    <w:p>
      <w:pPr/>
      <w:r>
        <w:rPr>
          <w:rFonts w:ascii="Arial" w:hAnsi="Arial" w:eastAsia="微软雅黑"/>
          <w:b w:val="0"/>
          <w:i w:val="0"/>
          <w:sz w:val="21"/>
        </w:rPr>
        <w:t>[清单：18类标识符逐项检查、验证方法、批准签字]</w:t>
      </w:r>
    </w:p>
    <w:p/>
    <w:p>
      <w:pPr/>
      <w:r>
        <w:rPr>
          <w:rFonts w:ascii="Arial" w:hAnsi="Arial" w:eastAsia="微软雅黑"/>
          <w:b/>
          <w:i w:val="0"/>
          <w:sz w:val="21"/>
        </w:rPr>
        <w:t>附录E：法规与标准参考</w:t>
      </w:r>
    </w:p>
    <w:p>
      <w:pPr/>
      <w:r>
        <w:rPr>
          <w:rFonts w:ascii="Arial" w:hAnsi="Arial" w:eastAsia="微软雅黑"/>
          <w:b w:val="0"/>
          <w:i w:val="0"/>
          <w:sz w:val="21"/>
        </w:rPr>
        <w:t>HIPAA隐私规则：45 CFR §164.500 - §164.534</w:t>
      </w:r>
    </w:p>
    <w:p>
      <w:pPr/>
      <w:r>
        <w:rPr>
          <w:rFonts w:ascii="Arial" w:hAnsi="Arial" w:eastAsia="微软雅黑"/>
          <w:b w:val="0"/>
          <w:i w:val="0"/>
          <w:sz w:val="21"/>
        </w:rPr>
        <w:t>HIPAA安全规则：45 CFR §164.302 - §164.318</w:t>
      </w:r>
    </w:p>
    <w:p>
      <w:pPr/>
      <w:r>
        <w:rPr>
          <w:rFonts w:ascii="Arial" w:hAnsi="Arial" w:eastAsia="微软雅黑"/>
          <w:b w:val="0"/>
          <w:i w:val="0"/>
          <w:sz w:val="21"/>
        </w:rPr>
        <w:t>HIPAA去标识化指南：HHS Guidance on De-identification of Protected Health Information</w:t>
      </w:r>
    </w:p>
    <w:p>
      <w:pPr/>
      <w:r>
        <w:rPr>
          <w:rFonts w:ascii="Arial" w:hAnsi="Arial" w:eastAsia="微软雅黑"/>
          <w:b w:val="0"/>
          <w:i w:val="0"/>
          <w:sz w:val="21"/>
        </w:rPr>
        <w:t>HITECH Act：Pub.L. 111-5, Title XIII, Subtitle D</w:t>
      </w:r>
    </w:p>
    <w:p>
      <w:pPr/>
      <w:r>
        <w:rPr>
          <w:rFonts w:ascii="Arial" w:hAnsi="Arial" w:eastAsia="微软雅黑"/>
          <w:b w:val="0"/>
          <w:i w:val="0"/>
          <w:sz w:val="21"/>
        </w:rPr>
        <w:t>NIST SP 800-122：Guide to Protecting the Confidentiality of PII</w:t>
      </w:r>
    </w:p>
    <w:p>
      <w:pPr/>
      <w:r>
        <w:rPr>
          <w:rFonts w:ascii="Arial" w:hAnsi="Arial" w:eastAsia="微软雅黑"/>
          <w:b w:val="0"/>
          <w:i w:val="0"/>
          <w:sz w:val="21"/>
        </w:rPr>
        <w:t>NIST SP 800-53 Rev. 5：Security and Privacy Controls</w:t>
      </w:r>
    </w:p>
    <w:p>
      <w:pPr/>
      <w:r>
        <w:rPr>
          <w:rFonts w:ascii="Arial" w:hAnsi="Arial" w:eastAsia="微软雅黑"/>
          <w:b w:val="0"/>
          <w:i w:val="0"/>
          <w:sz w:val="21"/>
        </w:rPr>
        <w:t>ISO/IEC 27001：Information Security Management Systems</w:t>
      </w:r>
    </w:p>
    <w:p>
      <w:pPr/>
      <w:r>
        <w:rPr>
          <w:rFonts w:ascii="Arial" w:hAnsi="Arial" w:eastAsia="微软雅黑"/>
          <w:b w:val="0"/>
          <w:i w:val="0"/>
          <w:sz w:val="21"/>
        </w:rPr>
        <w:t>ISO/IEC 27701：Privacy Information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