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통계 조사론 과제 </w:t>
      </w:r>
      <w:r>
        <w:rPr>
          <w:b/>
          <w:bCs/>
          <w:sz w:val="40"/>
          <w:szCs w:val="40"/>
        </w:rPr>
        <w:t># 2</w:t>
      </w:r>
    </w:p>
    <w:p>
      <w:pPr>
        <w:pStyle w:val="Normal"/>
        <w:spacing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학과 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>전기공학과</w:t>
      </w:r>
    </w:p>
    <w:p>
      <w:pPr>
        <w:pStyle w:val="Normal"/>
        <w:spacing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학번 </w:t>
      </w:r>
      <w:r>
        <w:rPr>
          <w:sz w:val="16"/>
          <w:szCs w:val="16"/>
        </w:rPr>
        <w:t>: 201724570</w:t>
      </w:r>
    </w:p>
    <w:p>
      <w:pPr>
        <w:pStyle w:val="Normal"/>
        <w:spacing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이름 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정석규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 xml:space="preserve">Question : </w:t>
      </w:r>
      <w:r>
        <w:rPr>
          <w:b/>
          <w:sz w:val="22"/>
        </w:rPr>
        <w:t>리커트</w:t>
      </w:r>
      <w:r>
        <w:rPr>
          <w:b/>
          <w:sz w:val="22"/>
        </w:rPr>
        <w:t xml:space="preserve">, </w:t>
      </w:r>
      <w:r>
        <w:rPr>
          <w:b/>
          <w:sz w:val="22"/>
        </w:rPr>
        <w:t>어의차이척도</w:t>
      </w:r>
      <w:r>
        <w:rPr>
          <w:b/>
          <w:sz w:val="22"/>
        </w:rPr>
        <w:t xml:space="preserve">, </w:t>
      </w:r>
      <w:r>
        <w:rPr>
          <w:b/>
          <w:sz w:val="22"/>
        </w:rPr>
        <w:t>커트만</w:t>
      </w:r>
      <w:r>
        <w:rPr>
          <w:b/>
          <w:sz w:val="22"/>
        </w:rPr>
        <w:t xml:space="preserve">, </w:t>
      </w:r>
      <w:r>
        <w:rPr>
          <w:b/>
          <w:sz w:val="22"/>
        </w:rPr>
        <w:t xml:space="preserve">서스톤 척도의 예를 </w:t>
      </w:r>
      <w:r>
        <w:rPr>
          <w:b/>
          <w:sz w:val="22"/>
        </w:rPr>
        <w:t>1</w:t>
      </w:r>
      <w:r>
        <w:rPr>
          <w:b/>
          <w:sz w:val="22"/>
        </w:rPr>
        <w:t>개 이상 조사하라</w:t>
      </w:r>
      <w:r>
        <w:rPr>
          <w:b/>
          <w:sz w:val="22"/>
        </w:rPr>
        <w:t xml:space="preserve">. 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 xml:space="preserve">1. </w:t>
      </w:r>
      <w:r>
        <w:rPr>
          <w:b/>
          <w:sz w:val="24"/>
          <w:szCs w:val="27"/>
        </w:rPr>
        <w:t>리커트 척도</w:t>
      </w:r>
      <w:r>
        <w:rPr>
          <w:b/>
          <w:sz w:val="27"/>
          <w:szCs w:val="27"/>
        </w:rPr>
        <w:t xml:space="preserve">(Likert Scale) </w:t>
      </w:r>
    </w:p>
    <w:p>
      <w:pPr>
        <w:pStyle w:val="Normal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리커트 척도</w:t>
      </w:r>
      <w:r>
        <w:rPr>
          <w:szCs w:val="20"/>
        </w:rPr>
        <w:t>(Likert scale)</w:t>
      </w:r>
      <w:r>
        <w:rPr>
          <w:szCs w:val="20"/>
        </w:rPr>
        <w:t>는 설문 조사 등에 사용되는 심리 검사 응답 척도의 하나로</w:t>
      </w:r>
      <w:r>
        <w:rPr>
          <w:szCs w:val="20"/>
        </w:rPr>
        <w:t xml:space="preserve">, </w:t>
      </w:r>
      <w:r>
        <w:rPr>
          <w:szCs w:val="20"/>
        </w:rPr>
        <w:t>각종 조사에서 널리 사용되고 있다</w:t>
      </w:r>
      <w:r>
        <w:rPr>
          <w:szCs w:val="20"/>
        </w:rPr>
        <w:t xml:space="preserve">. </w:t>
      </w:r>
      <w:r>
        <w:rPr>
          <w:szCs w:val="20"/>
        </w:rPr>
        <w:t>리커트 척도에서는 응답자가 제시한 문장에 대해 얼마나 동의하는 지를 답변하도록 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즉</w:t>
      </w:r>
      <w:r>
        <w:rPr>
          <w:szCs w:val="20"/>
        </w:rPr>
        <w:t xml:space="preserve">, </w:t>
      </w:r>
      <w:r>
        <w:rPr>
          <w:szCs w:val="20"/>
        </w:rPr>
        <w:t>문장을 제시하고 그것에 대해 대답하는 형식이다</w:t>
      </w:r>
      <w:r>
        <w:rPr>
          <w:szCs w:val="20"/>
        </w:rPr>
        <w:t xml:space="preserve">. </w:t>
      </w:r>
      <w:r>
        <w:rPr>
          <w:szCs w:val="20"/>
        </w:rPr>
        <w:t>응답자들은 그 문장에 대한 동의</w:t>
      </w:r>
      <w:r>
        <w:rPr>
          <w:szCs w:val="20"/>
        </w:rPr>
        <w:t>/</w:t>
      </w:r>
      <w:r>
        <w:rPr>
          <w:szCs w:val="20"/>
        </w:rPr>
        <w:t>비동의의 수준을 응답하고</w:t>
      </w:r>
      <w:r>
        <w:rPr>
          <w:szCs w:val="20"/>
        </w:rPr>
        <w:t xml:space="preserve">, </w:t>
      </w:r>
      <w:r>
        <w:rPr>
          <w:szCs w:val="20"/>
        </w:rPr>
        <w:t>그 문장을 어떻게 객관적</w:t>
      </w:r>
      <w:r>
        <w:rPr>
          <w:szCs w:val="20"/>
        </w:rPr>
        <w:t>/</w:t>
      </w:r>
      <w:r>
        <w:rPr>
          <w:szCs w:val="20"/>
        </w:rPr>
        <w:t>주관적 평가를 응답한다</w:t>
      </w:r>
      <w:r>
        <w:rPr>
          <w:szCs w:val="20"/>
        </w:rPr>
        <w:t xml:space="preserve">. </w:t>
      </w:r>
      <w:r>
        <w:rPr>
          <w:szCs w:val="20"/>
        </w:rPr>
        <w:t>응답 범주에 명확한 서열성이 있어야 하며 설문지에서 문항들이 갖는 상대적인 강도를 결정한다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예를 들어</w:t>
      </w:r>
      <w:r>
        <w:rPr>
          <w:szCs w:val="20"/>
        </w:rPr>
        <w:t>, “I prefer to shop online rather than in stores.”(</w:t>
      </w:r>
      <w:r>
        <w:rPr>
          <w:szCs w:val="20"/>
        </w:rPr>
        <w:t>나는 오프라인 쇼핑보다 온라인 쇼핑을 선호한다</w:t>
      </w:r>
      <w:r>
        <w:rPr>
          <w:szCs w:val="20"/>
        </w:rPr>
        <w:t xml:space="preserve">.) </w:t>
      </w:r>
      <w:r>
        <w:rPr>
          <w:szCs w:val="20"/>
        </w:rPr>
        <w:t>라는 질문이 존재한다고 가정하자</w:t>
      </w:r>
      <w:r>
        <w:rPr>
          <w:szCs w:val="20"/>
        </w:rPr>
        <w:t xml:space="preserve">. </w:t>
      </w:r>
      <w:r>
        <w:rPr>
          <w:szCs w:val="20"/>
        </w:rPr>
        <w:t xml:space="preserve">이에 대한 리커트 동의도 척도는 </w:t>
      </w:r>
      <w:r>
        <w:rPr>
          <w:szCs w:val="20"/>
        </w:rPr>
        <w:t>strongly agree(</w:t>
      </w:r>
      <w:r>
        <w:rPr>
          <w:szCs w:val="20"/>
        </w:rPr>
        <w:t>매우 동의</w:t>
      </w:r>
      <w:r>
        <w:rPr>
          <w:szCs w:val="20"/>
        </w:rPr>
        <w:t>), agree(</w:t>
      </w:r>
      <w:r>
        <w:rPr>
          <w:szCs w:val="20"/>
        </w:rPr>
        <w:t>동의</w:t>
      </w:r>
      <w:r>
        <w:rPr>
          <w:szCs w:val="20"/>
        </w:rPr>
        <w:t>), neither agree nor disagree(</w:t>
      </w:r>
      <w:r>
        <w:rPr>
          <w:szCs w:val="20"/>
        </w:rPr>
        <w:t>동의하지도 동의하지도 않음</w:t>
      </w:r>
      <w:r>
        <w:rPr>
          <w:szCs w:val="20"/>
        </w:rPr>
        <w:t>), disagree(</w:t>
      </w:r>
      <w:r>
        <w:rPr>
          <w:szCs w:val="20"/>
        </w:rPr>
        <w:t>동의하지 않음</w:t>
      </w:r>
      <w:r>
        <w:rPr>
          <w:szCs w:val="20"/>
        </w:rPr>
        <w:t>), and strongly disagree(</w:t>
      </w:r>
      <w:r>
        <w:rPr>
          <w:szCs w:val="20"/>
        </w:rPr>
        <w:t>매우 동의하지 않음</w:t>
      </w:r>
      <w:r>
        <w:rPr>
          <w:szCs w:val="20"/>
        </w:rPr>
        <w:t>)</w:t>
      </w:r>
      <w:r>
        <w:rPr>
          <w:szCs w:val="20"/>
        </w:rPr>
        <w:t>으로 존재한다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또한</w:t>
      </w:r>
      <w:r>
        <w:rPr>
          <w:szCs w:val="20"/>
        </w:rPr>
        <w:t>, “How important is it to you that your physician graduated from an Ivy League medical school?”(</w:t>
      </w:r>
      <w:r>
        <w:rPr>
          <w:szCs w:val="20"/>
        </w:rPr>
        <w:t>내과 의사가 아이비리그 의학 대학을 나온 것이 얼마나 중요합니까</w:t>
      </w:r>
      <w:r>
        <w:rPr>
          <w:szCs w:val="20"/>
        </w:rPr>
        <w:t xml:space="preserve">?) </w:t>
      </w:r>
      <w:r>
        <w:rPr>
          <w:szCs w:val="20"/>
        </w:rPr>
        <w:t>라는 질문이 존재할 경우</w:t>
      </w:r>
      <w:r>
        <w:rPr>
          <w:szCs w:val="20"/>
        </w:rPr>
        <w:t xml:space="preserve">, </w:t>
      </w:r>
      <w:r>
        <w:rPr>
          <w:szCs w:val="20"/>
        </w:rPr>
        <w:t xml:space="preserve">리커트 중요도 척도는 </w:t>
      </w:r>
      <w:r>
        <w:rPr>
          <w:szCs w:val="20"/>
        </w:rPr>
        <w:t>very important(</w:t>
      </w:r>
      <w:r>
        <w:rPr>
          <w:szCs w:val="20"/>
        </w:rPr>
        <w:t>매우 중요</w:t>
      </w:r>
      <w:r>
        <w:rPr>
          <w:szCs w:val="20"/>
        </w:rPr>
        <w:t>), important(</w:t>
      </w:r>
      <w:r>
        <w:rPr>
          <w:szCs w:val="20"/>
        </w:rPr>
        <w:t>중요함</w:t>
      </w:r>
      <w:r>
        <w:rPr>
          <w:szCs w:val="20"/>
        </w:rPr>
        <w:t xml:space="preserve">), </w:t>
      </w:r>
      <w:bookmarkStart w:id="0" w:name="_GoBack"/>
      <w:bookmarkEnd w:id="0"/>
      <w:r>
        <w:rPr>
          <w:szCs w:val="20"/>
        </w:rPr>
        <w:t xml:space="preserve"> </w:t>
      </w:r>
      <w:r>
        <w:rPr>
          <w:szCs w:val="20"/>
        </w:rPr>
        <w:t>moderately important(</w:t>
      </w:r>
      <w:r>
        <w:rPr>
          <w:szCs w:val="20"/>
        </w:rPr>
        <w:t>상관없음</w:t>
      </w:r>
      <w:r>
        <w:rPr>
          <w:szCs w:val="20"/>
        </w:rPr>
        <w:t>), slightly important(</w:t>
      </w:r>
      <w:r>
        <w:rPr>
          <w:szCs w:val="20"/>
        </w:rPr>
        <w:t>중요하지 않음</w:t>
      </w:r>
      <w:r>
        <w:rPr>
          <w:szCs w:val="20"/>
        </w:rPr>
        <w:t>), not important(</w:t>
      </w:r>
      <w:r>
        <w:rPr>
          <w:szCs w:val="20"/>
        </w:rPr>
        <w:t>전혀 중요하지 않음</w:t>
      </w:r>
      <w:r>
        <w:rPr>
          <w:szCs w:val="20"/>
        </w:rPr>
        <w:t>)</w:t>
      </w:r>
      <w:r>
        <w:rPr>
          <w:szCs w:val="20"/>
        </w:rPr>
        <w:t>으로 존재한다</w:t>
      </w:r>
      <w:r>
        <w:rPr>
          <w:szCs w:val="20"/>
        </w:rPr>
        <w:t xml:space="preserve">. 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2.  </w:t>
      </w:r>
      <w:r>
        <w:rPr>
          <w:b/>
          <w:bCs/>
          <w:sz w:val="24"/>
          <w:szCs w:val="27"/>
        </w:rPr>
        <w:t>어의차이 척도</w:t>
      </w:r>
      <w:r>
        <w:rPr>
          <w:b/>
          <w:bCs/>
          <w:sz w:val="27"/>
          <w:szCs w:val="27"/>
        </w:rPr>
        <w:t>(Semantic Differential Scale)</w:t>
      </w:r>
    </w:p>
    <w:p>
      <w:pPr>
        <w:pStyle w:val="Normal"/>
        <w:ind w:hanging="0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어의차이 척도 혹은 의미분화 척도</w:t>
      </w:r>
      <w:r>
        <w:rPr>
          <w:szCs w:val="20"/>
        </w:rPr>
        <w:t>(Semantic differential scale)</w:t>
      </w:r>
      <w:r>
        <w:rPr>
          <w:szCs w:val="20"/>
        </w:rPr>
        <w:t>는 양 극단으로 연결된 일직선 상에서 평가가 이루어지는 척도이다</w:t>
      </w:r>
      <w:r>
        <w:rPr>
          <w:szCs w:val="20"/>
        </w:rPr>
        <w:t xml:space="preserve">. </w:t>
      </w:r>
      <w:r>
        <w:rPr>
          <w:szCs w:val="20"/>
        </w:rPr>
        <w:t>이때</w:t>
      </w:r>
      <w:r>
        <w:rPr>
          <w:szCs w:val="20"/>
        </w:rPr>
        <w:t xml:space="preserve">, </w:t>
      </w:r>
      <w:r>
        <w:rPr>
          <w:szCs w:val="20"/>
        </w:rPr>
        <w:t>일직선은 서로 상반된 형용사로 연결되며 평가적</w:t>
      </w:r>
      <w:r>
        <w:rPr>
          <w:szCs w:val="20"/>
        </w:rPr>
        <w:t xml:space="preserve">, </w:t>
      </w:r>
      <w:r>
        <w:rPr>
          <w:szCs w:val="20"/>
        </w:rPr>
        <w:t>활동적</w:t>
      </w:r>
      <w:r>
        <w:rPr>
          <w:szCs w:val="20"/>
        </w:rPr>
        <w:t xml:space="preserve">, </w:t>
      </w:r>
      <w:r>
        <w:rPr>
          <w:szCs w:val="20"/>
        </w:rPr>
        <w:t>역동적 차원 등 다 차원적 측정이 가능하다</w:t>
      </w:r>
      <w:r>
        <w:rPr>
          <w:szCs w:val="20"/>
        </w:rPr>
        <w:t xml:space="preserve">. </w:t>
      </w:r>
      <w:r>
        <w:rPr>
          <w:szCs w:val="20"/>
        </w:rPr>
        <w:t>주로 대상에 대한 응답자의 느낌을 측정하기 위해 사용된다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예를 들어</w:t>
      </w:r>
      <w:r>
        <w:rPr>
          <w:szCs w:val="20"/>
        </w:rPr>
        <w:t xml:space="preserve">, “Work” </w:t>
      </w:r>
      <w:r>
        <w:rPr>
          <w:szCs w:val="20"/>
        </w:rPr>
        <w:t>란 단어에 대해 사람들의 태도를 측정한다고 하자</w:t>
      </w:r>
      <w:r>
        <w:rPr>
          <w:szCs w:val="20"/>
        </w:rPr>
        <w:t xml:space="preserve">. </w:t>
      </w:r>
      <w:r>
        <w:rPr>
          <w:szCs w:val="20"/>
        </w:rPr>
        <w:t>이때 사용할 수 있는 어의차이 척도는 상반되는 형용사를 여러 단계로 나누어 배치한다</w:t>
      </w:r>
      <w:r>
        <w:rPr>
          <w:szCs w:val="20"/>
        </w:rPr>
        <w:t xml:space="preserve">. </w:t>
      </w:r>
      <w:r>
        <w:rPr>
          <w:szCs w:val="20"/>
        </w:rPr>
        <w:t>대표적으로 “</w:t>
      </w:r>
      <w:r>
        <w:rPr>
          <w:szCs w:val="20"/>
        </w:rPr>
        <w:t>Boring - - - - Intersting”</w:t>
      </w:r>
      <w:r>
        <w:rPr>
          <w:szCs w:val="20"/>
        </w:rPr>
        <w:t>과 “</w:t>
      </w:r>
      <w:r>
        <w:rPr>
          <w:szCs w:val="20"/>
        </w:rPr>
        <w:t xml:space="preserve">Unnecessary - - - - - Necessary” </w:t>
      </w:r>
      <w:r>
        <w:rPr>
          <w:szCs w:val="20"/>
        </w:rPr>
        <w:t>를 어의차이 척도로 사용할 수 있다</w:t>
      </w:r>
      <w:r>
        <w:rPr>
          <w:szCs w:val="20"/>
        </w:rPr>
        <w:t xml:space="preserve">. 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3. </w:t>
      </w:r>
      <w:r>
        <w:rPr>
          <w:b/>
          <w:bCs/>
          <w:sz w:val="24"/>
          <w:szCs w:val="27"/>
        </w:rPr>
        <w:t>거트만 척도</w:t>
      </w:r>
      <w:r>
        <w:rPr>
          <w:b/>
          <w:bCs/>
          <w:sz w:val="27"/>
          <w:szCs w:val="27"/>
        </w:rPr>
        <w:t>(Guttman Scale)</w:t>
      </w:r>
    </w:p>
    <w:p>
      <w:pPr>
        <w:pStyle w:val="Normal"/>
        <w:ind w:hanging="0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커트만 척도</w:t>
      </w:r>
      <w:r>
        <w:rPr>
          <w:szCs w:val="20"/>
        </w:rPr>
        <w:t>(Guttman scale)</w:t>
      </w:r>
      <w:r>
        <w:rPr>
          <w:szCs w:val="20"/>
        </w:rPr>
        <w:t xml:space="preserve">는 </w:t>
      </w:r>
      <w:r>
        <w:rPr>
          <w:szCs w:val="20"/>
        </w:rPr>
        <w:t>재생 가능한 계층에서 순서에 따라 정렬이 가능한 경우 항목의 집합에 따라 형성되는 누적 척도이다</w:t>
      </w:r>
      <w:r>
        <w:rPr>
          <w:szCs w:val="20"/>
        </w:rPr>
        <w:t xml:space="preserve">. </w:t>
      </w:r>
      <w:r>
        <w:rPr>
          <w:szCs w:val="20"/>
        </w:rPr>
        <w:t>거트만 척도는 양호하게 차별 된 능력을 가지고 짧은 질문을 설계하는데 유용하며 사회적 거리</w:t>
      </w:r>
      <w:r>
        <w:rPr>
          <w:szCs w:val="20"/>
        </w:rPr>
        <w:t xml:space="preserve">, </w:t>
      </w:r>
      <w:r>
        <w:rPr>
          <w:szCs w:val="20"/>
        </w:rPr>
        <w:t>단체 계층</w:t>
      </w:r>
      <w:r>
        <w:rPr>
          <w:szCs w:val="20"/>
        </w:rPr>
        <w:t xml:space="preserve">, </w:t>
      </w:r>
      <w:r>
        <w:rPr>
          <w:szCs w:val="20"/>
        </w:rPr>
        <w:t>진화 단계 등의 계층적인 계층 구조 구성에 최적으로 동작한다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>예를 들어</w:t>
      </w:r>
      <w:r>
        <w:rPr>
          <w:szCs w:val="20"/>
        </w:rPr>
        <w:t xml:space="preserve">, </w:t>
      </w:r>
      <w:r>
        <w:rPr>
          <w:szCs w:val="20"/>
        </w:rPr>
        <w:t>뱀에 대한 사람의 관계를 측정하는 거트만 척도의 질문은 다음과 같다</w:t>
      </w:r>
      <w:r>
        <w:rPr>
          <w:szCs w:val="20"/>
        </w:rPr>
        <w:t xml:space="preserve">. 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numPr>
          <w:ilvl w:val="0"/>
          <w:numId w:val="2"/>
        </w:numPr>
        <w:rPr>
          <w:szCs w:val="20"/>
        </w:rPr>
      </w:pPr>
      <w:r>
        <w:rPr>
          <w:szCs w:val="20"/>
        </w:rPr>
        <w:t>I will look at a snake in the zoo from a distance. (</w:t>
      </w:r>
      <w:r>
        <w:rPr>
          <w:szCs w:val="20"/>
        </w:rPr>
        <w:t>뱀을 동물원에서만 멀리서 구경할 것이다</w:t>
      </w:r>
      <w:r>
        <w:rPr>
          <w:szCs w:val="20"/>
        </w:rPr>
        <w:t xml:space="preserve">.) </w:t>
      </w:r>
    </w:p>
    <w:p>
      <w:pPr>
        <w:pStyle w:val="Normal"/>
        <w:numPr>
          <w:ilvl w:val="0"/>
          <w:numId w:val="2"/>
        </w:numPr>
        <w:rPr>
          <w:szCs w:val="20"/>
        </w:rPr>
      </w:pPr>
      <w:r>
        <w:rPr>
          <w:szCs w:val="20"/>
        </w:rPr>
        <w:t>I will go close to a snake. (</w:t>
      </w:r>
      <w:r>
        <w:rPr>
          <w:szCs w:val="20"/>
        </w:rPr>
        <w:t>뱀 가까이 다가갈 수 있다</w:t>
      </w:r>
      <w:r>
        <w:rPr>
          <w:szCs w:val="20"/>
        </w:rPr>
        <w:t xml:space="preserve">.) </w:t>
      </w:r>
    </w:p>
    <w:p>
      <w:pPr>
        <w:pStyle w:val="Normal"/>
        <w:numPr>
          <w:ilvl w:val="0"/>
          <w:numId w:val="2"/>
        </w:numPr>
        <w:rPr>
          <w:szCs w:val="20"/>
        </w:rPr>
      </w:pPr>
      <w:r>
        <w:rPr>
          <w:szCs w:val="20"/>
        </w:rPr>
        <w:t>I will touch a snake. (</w:t>
      </w:r>
      <w:r>
        <w:rPr>
          <w:szCs w:val="20"/>
        </w:rPr>
        <w:t>뱀을 만질 수 있다</w:t>
      </w:r>
      <w:r>
        <w:rPr>
          <w:szCs w:val="20"/>
        </w:rPr>
        <w:t xml:space="preserve">.) </w:t>
      </w:r>
    </w:p>
    <w:p>
      <w:pPr>
        <w:pStyle w:val="Normal"/>
        <w:numPr>
          <w:ilvl w:val="0"/>
          <w:numId w:val="2"/>
        </w:numPr>
        <w:rPr>
          <w:szCs w:val="20"/>
        </w:rPr>
      </w:pPr>
      <w:r>
        <w:rPr>
          <w:szCs w:val="20"/>
        </w:rPr>
        <w:t>I will own a snake as a pet. (</w:t>
      </w:r>
      <w:r>
        <w:rPr>
          <w:szCs w:val="20"/>
        </w:rPr>
        <w:t>뱀을 애완동물로 사육할 수 있다</w:t>
      </w:r>
      <w:r>
        <w:rPr>
          <w:szCs w:val="20"/>
        </w:rPr>
        <w:t xml:space="preserve">.) </w:t>
      </w:r>
    </w:p>
    <w:p>
      <w:pPr>
        <w:pStyle w:val="Normal"/>
        <w:numPr>
          <w:ilvl w:val="0"/>
          <w:numId w:val="2"/>
        </w:numPr>
        <w:rPr>
          <w:szCs w:val="20"/>
        </w:rPr>
      </w:pPr>
      <w:r>
        <w:rPr>
          <w:szCs w:val="20"/>
        </w:rPr>
        <w:t>I will keep a snake on my bed. (</w:t>
      </w:r>
      <w:r>
        <w:rPr>
          <w:szCs w:val="20"/>
        </w:rPr>
        <w:t>뱀과 함께 잘 수 있다</w:t>
      </w:r>
      <w:r>
        <w:rPr>
          <w:szCs w:val="20"/>
        </w:rPr>
        <w:t xml:space="preserve">.) 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  <w:t>위 질문은 어려움이 누적되는 정도에 따라 배치되어 있는 것을 알 수 있다</w:t>
      </w:r>
      <w:r>
        <w:rPr>
          <w:szCs w:val="20"/>
        </w:rPr>
        <w:t xml:space="preserve">. </w:t>
      </w:r>
      <w:r>
        <w:rPr>
          <w:szCs w:val="20"/>
        </w:rPr>
        <w:t>번호가 증가함에 따라 어려움의 난이도도 증가하며 가장 높은 번호의 경우 난이도가 제일 높다</w:t>
      </w:r>
      <w:r>
        <w:rPr>
          <w:szCs w:val="20"/>
        </w:rPr>
        <w:t xml:space="preserve">. </w:t>
      </w:r>
    </w:p>
    <w:p>
      <w:pPr>
        <w:pStyle w:val="Normal"/>
        <w:rPr>
          <w:szCs w:val="20"/>
        </w:rPr>
      </w:pPr>
      <w:r>
        <w:rPr>
          <w:szCs w:val="20"/>
        </w:rPr>
        <w:t xml:space="preserve"> </w:t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4. </w:t>
      </w:r>
      <w:r>
        <w:rPr>
          <w:b/>
          <w:bCs/>
          <w:sz w:val="24"/>
          <w:szCs w:val="27"/>
        </w:rPr>
        <w:t>서스톤 척도</w:t>
      </w:r>
      <w:r>
        <w:rPr>
          <w:b/>
          <w:bCs/>
          <w:sz w:val="27"/>
          <w:szCs w:val="27"/>
        </w:rPr>
        <w:t>(Thurstone Scale)</w:t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서스톤 척도</w:t>
      </w:r>
      <w:r>
        <w:rPr>
          <w:szCs w:val="20"/>
        </w:rPr>
        <w:t>(Thurstone scale)</w:t>
      </w:r>
      <w:r>
        <w:rPr>
          <w:szCs w:val="20"/>
        </w:rPr>
        <w:t>는 등현동간 척도</w:t>
      </w:r>
      <w:r>
        <w:rPr>
          <w:szCs w:val="20"/>
        </w:rPr>
        <w:t xml:space="preserve">, </w:t>
      </w:r>
      <w:r>
        <w:rPr>
          <w:szCs w:val="20"/>
        </w:rPr>
        <w:t>유사동간 척도라고도 한다</w:t>
      </w:r>
      <w:r>
        <w:rPr>
          <w:szCs w:val="20"/>
        </w:rPr>
        <w:t xml:space="preserve">. </w:t>
      </w:r>
      <w:r>
        <w:rPr>
          <w:szCs w:val="20"/>
        </w:rPr>
        <w:t>서스톤 척도는 가중치가 부여된 일련의 문항을 나열하고</w:t>
      </w:r>
      <w:r>
        <w:rPr>
          <w:szCs w:val="20"/>
        </w:rPr>
        <w:t xml:space="preserve">, </w:t>
      </w:r>
      <w:r>
        <w:rPr>
          <w:szCs w:val="20"/>
        </w:rPr>
        <w:t>응답자가 찬성하는 모든 문항의 가중치를 합해서 평균을 낸 척도이다</w:t>
      </w:r>
      <w:r>
        <w:rPr>
          <w:szCs w:val="20"/>
        </w:rPr>
        <w:t xml:space="preserve">. </w:t>
      </w:r>
      <w:r>
        <w:rPr>
          <w:szCs w:val="20"/>
        </w:rPr>
        <w:t>따라서 각 문항에 대한 응답 범주가 없고 문항 각각에 일정한 가중치만이 부여된다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/>
      </w:r>
    </w:p>
    <w:p>
      <w:pPr>
        <w:pStyle w:val="Normal"/>
        <w:ind w:firstLine="200"/>
        <w:rPr>
          <w:szCs w:val="20"/>
        </w:rPr>
      </w:pPr>
      <w:r>
        <w:rPr>
          <w:szCs w:val="20"/>
        </w:rPr>
        <w:t>예를 들어</w:t>
      </w:r>
      <w:r>
        <w:rPr>
          <w:szCs w:val="20"/>
        </w:rPr>
        <w:t xml:space="preserve">, </w:t>
      </w:r>
      <w:r>
        <w:rPr>
          <w:szCs w:val="20"/>
        </w:rPr>
        <w:t>비대면 강의</w:t>
      </w:r>
      <w:r>
        <w:rPr>
          <w:szCs w:val="20"/>
        </w:rPr>
        <w:t>(Online class)</w:t>
      </w:r>
      <w:r>
        <w:rPr>
          <w:szCs w:val="20"/>
        </w:rPr>
        <w:t>에 대한 학생들의 태도에 대한 서스톤 척도의 질문은 다음과 같다</w:t>
      </w:r>
      <w:r>
        <w:rPr>
          <w:szCs w:val="20"/>
        </w:rPr>
        <w:t xml:space="preserve">. </w:t>
      </w:r>
    </w:p>
    <w:p>
      <w:pPr>
        <w:pStyle w:val="Normal"/>
        <w:ind w:firstLine="200"/>
        <w:rPr>
          <w:szCs w:val="20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Online classes are useful. (</w:t>
      </w:r>
      <w:r>
        <w:rPr/>
        <w:t>비대면 강의는 유용하다</w:t>
      </w:r>
      <w:r>
        <w:rPr/>
        <w:t xml:space="preserve">.)(3 points) : Agree vs Disagree </w:t>
      </w:r>
    </w:p>
    <w:p>
      <w:pPr>
        <w:pStyle w:val="Normal"/>
        <w:numPr>
          <w:ilvl w:val="0"/>
          <w:numId w:val="3"/>
        </w:numPr>
        <w:rPr/>
      </w:pPr>
      <w:r>
        <w:rPr/>
        <w:t>Zoom online class is better than Google meet. (</w:t>
      </w:r>
      <w:r>
        <w:rPr/>
        <w:t>줌 비대면 강의는 구글 화상 강의보다 유용하다</w:t>
      </w:r>
      <w:r>
        <w:rPr/>
        <w:t>.) (1 points) : Agree vs Disagree</w:t>
      </w:r>
    </w:p>
    <w:p>
      <w:pPr>
        <w:pStyle w:val="Normal"/>
        <w:numPr>
          <w:ilvl w:val="0"/>
          <w:numId w:val="3"/>
        </w:numPr>
        <w:rPr/>
      </w:pPr>
      <w:r>
        <w:rPr/>
        <w:t>Network issue is a major problem in online classes. (</w:t>
      </w:r>
      <w:r>
        <w:rPr/>
        <w:t>비대면 강의에서 가장 중요한 문제는 네트워크 문제다</w:t>
      </w:r>
      <w:r>
        <w:rPr/>
        <w:t xml:space="preserve">.) (0.5 points) : Agree vs Disagree </w:t>
      </w:r>
    </w:p>
    <w:p>
      <w:pPr>
        <w:pStyle w:val="Normal"/>
        <w:numPr>
          <w:ilvl w:val="0"/>
          <w:numId w:val="3"/>
        </w:numPr>
        <w:rPr/>
      </w:pPr>
      <w:r>
        <w:rPr/>
        <w:t>Online classes are better than classroom teaching. (</w:t>
      </w:r>
      <w:r>
        <w:rPr/>
        <w:t>비대면 강의는 대면 강의보다 유용하다</w:t>
      </w:r>
      <w:r>
        <w:rPr/>
        <w:t xml:space="preserve">.) (5 points) : Agree vs Disagree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각각의 질문은 질문자의 의도에 따라 서로 다른 가중치를 가지고 있으며</w:t>
      </w:r>
      <w:r>
        <w:rPr/>
        <w:t>, Agree(</w:t>
      </w:r>
      <w:r>
        <w:rPr/>
        <w:t>동의</w:t>
      </w:r>
      <w:r>
        <w:rPr/>
        <w:t>)</w:t>
      </w:r>
      <w:r>
        <w:rPr/>
        <w:t xml:space="preserve">의 경우 </w:t>
      </w:r>
      <w:r>
        <w:rPr/>
        <w:t>1, Disagree(</w:t>
      </w:r>
      <w:r>
        <w:rPr/>
        <w:t>비동의</w:t>
      </w:r>
      <w:r>
        <w:rPr/>
        <w:t>)</w:t>
      </w:r>
      <w:r>
        <w:rPr/>
        <w:t xml:space="preserve">의 경우 </w:t>
      </w:r>
      <w:r>
        <w:rPr/>
        <w:t>0</w:t>
      </w:r>
      <w:r>
        <w:rPr/>
        <w:t>으로 간주되어 가중 평균을 계산한다</w:t>
      </w:r>
      <w:r>
        <w:rPr/>
        <w:t xml:space="preserve">. </w:t>
      </w:r>
    </w:p>
    <w:p>
      <w:pPr>
        <w:pStyle w:val="Normal"/>
        <w:ind w:firstLine="200"/>
        <w:rPr>
          <w:szCs w:val="20"/>
        </w:rPr>
      </w:pPr>
      <w:r>
        <w:rPr/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200"/>
        <w:rPr>
          <w:b/>
          <w:b/>
          <w:bCs/>
        </w:rPr>
      </w:pPr>
      <w:r>
        <w:rPr>
          <w:b/>
          <w:bCs/>
          <w:szCs w:val="20"/>
        </w:rPr>
        <w:t xml:space="preserve">Source from : </w:t>
      </w:r>
    </w:p>
    <w:p>
      <w:pPr>
        <w:pStyle w:val="Normal"/>
        <w:numPr>
          <w:ilvl w:val="0"/>
          <w:numId w:val="1"/>
        </w:numPr>
        <w:rPr/>
      </w:pPr>
      <w:r>
        <w:rPr>
          <w:sz w:val="16"/>
          <w:szCs w:val="16"/>
        </w:rPr>
        <w:t xml:space="preserve">Examples of likert scale : </w:t>
      </w:r>
      <w:hyperlink r:id="rId3">
        <w:r>
          <w:rPr>
            <w:sz w:val="16"/>
            <w:szCs w:val="16"/>
          </w:rPr>
          <w:t>https://www.geopoll.com/blog/likert-scale-examples-definition/</w:t>
        </w:r>
      </w:hyperlink>
    </w:p>
    <w:p>
      <w:pPr>
        <w:pStyle w:val="Normal"/>
        <w:numPr>
          <w:ilvl w:val="0"/>
          <w:numId w:val="1"/>
        </w:numPr>
        <w:rPr>
          <w:sz w:val="16"/>
        </w:rPr>
      </w:pPr>
      <w:r>
        <w:rPr>
          <w:sz w:val="16"/>
        </w:rPr>
        <w:t xml:space="preserve">Examples of Semantic Differential scale : </w:t>
      </w:r>
      <w:hyperlink r:id="rId4">
        <w:r>
          <w:rPr>
            <w:sz w:val="16"/>
          </w:rPr>
          <w:t>https://www.statisticshowto.com/semantic-differential-scale/</w:t>
        </w:r>
      </w:hyperlink>
      <w:hyperlink r:id="rId5">
        <w:r>
          <w:rPr>
            <w:sz w:val="16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>
          <w:sz w:val="16"/>
        </w:rPr>
      </w:pPr>
      <w:r>
        <w:rPr>
          <w:sz w:val="16"/>
        </w:rPr>
        <w:t xml:space="preserve">Examples of Guttman scale : </w:t>
      </w:r>
      <w:hyperlink r:id="rId6">
        <w:r>
          <w:rPr>
            <w:sz w:val="16"/>
          </w:rPr>
          <w:t>https://www.formpl.us/blog/guttman-scale</w:t>
        </w:r>
      </w:hyperlink>
      <w:r>
        <w:rPr>
          <w:sz w:val="16"/>
        </w:rPr>
        <w:t xml:space="preserve"> </w:t>
      </w:r>
    </w:p>
    <w:p>
      <w:pPr>
        <w:pStyle w:val="Normal"/>
        <w:numPr>
          <w:ilvl w:val="0"/>
          <w:numId w:val="1"/>
        </w:numPr>
        <w:rPr>
          <w:sz w:val="16"/>
        </w:rPr>
      </w:pPr>
      <w:r>
        <w:rPr>
          <w:sz w:val="16"/>
        </w:rPr>
        <w:t xml:space="preserve">Examples of Thurstone scale : </w:t>
      </w:r>
      <w:hyperlink r:id="rId7">
        <w:r>
          <w:rPr>
            <w:sz w:val="16"/>
          </w:rPr>
          <w:t>https://www.slideshare.net/DinabandhuBarad1/attitude-scale-238195256</w:t>
        </w:r>
      </w:hyperlink>
      <w:r>
        <w:rPr>
          <w:sz w:val="16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03"/>
        <w:rPr>
          <w:sz w:val="16"/>
        </w:rPr>
      </w:pPr>
      <w:r>
        <w:rPr>
          <w:sz w:val="16"/>
        </w:rPr>
        <w:t xml:space="preserve">Definition of Guttman Ascale : </w:t>
      </w:r>
      <w:hyperlink r:id="rId8">
        <w:r>
          <w:rPr>
            <w:sz w:val="16"/>
          </w:rPr>
          <w:t>https://ko.wikipedia.org/wiki/%EA%B1%B0%ED%8A%B8%EB%A7%8C_%EC%B2%99%EB%8F%84</w:t>
        </w:r>
      </w:hyperlink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sz w:val="16"/>
        </w:rPr>
      </w:pPr>
      <w:r>
        <w:rPr>
          <w:sz w:val="16"/>
        </w:rPr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199b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글머리 기호"/>
    <w:qFormat/>
    <w:rPr>
      <w:rFonts w:ascii="OpenSymbol" w:hAnsi="OpenSymbol" w:eastAsia="OpenSymbol" w:cs="OpenSymbol"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Style16">
    <w:name w:val="번호 매기기 기호"/>
    <w:qFormat/>
    <w:rPr/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opoll.com/blog/likert-scale-examples-definition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tatisticshowto.com/semantic-differential-scale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formpl.us/blog/guttman-scale" TargetMode="External"/><Relationship Id="rId7" Type="http://schemas.openxmlformats.org/officeDocument/2006/relationships/hyperlink" Target="https://www.slideshare.net/DinabandhuBarad1/attitude-scale-238195256" TargetMode="External"/><Relationship Id="rId8" Type="http://schemas.openxmlformats.org/officeDocument/2006/relationships/hyperlink" Target="https://ko.wikipedia.org/wiki/&#44144;&#53944;&#47564;_&#52377;&#46020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3</Pages>
  <Words>1451</Words>
  <Characters>2604</Characters>
  <CharactersWithSpaces>3190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2022-09-26T07:02:00Z</dcterms:created>
  <dc:creator>user</dc:creator>
  <dc:description/>
  <dc:language>ko-KR</dc:language>
  <cp:lastModifiedBy/>
  <dcterms:modified xsi:type="dcterms:W3CDTF">2022-09-27T11:14:55Z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