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22"/>
          <w:szCs w:val="22"/>
        </w:rPr>
        <w:t xml:space="preserve">SERVICE CONTRACT No.: FSC-2026-0042</w:t>
      </w:r>
    </w:p>
    <w:p>
      <w:pPr>
        <w:spacing w:after="120"/>
        <w:jc w:val="right"/>
      </w:pPr>
      <w:r>
        <w:rPr>
          <w:sz w:val="22"/>
          <w:szCs w:val="22"/>
        </w:rPr>
        <w:t xml:space="preserve">Date: 2026-08-28</w:t>
      </w:r>
    </w:p>
    <w:p>
      <w:pPr>
        <w:spacing w:after="160"/>
        <w:jc w:val="center"/>
      </w:pPr>
      <w:r>
        <w:rPr>
          <w:b/>
          <w:bCs/>
          <w:sz w:val="26"/>
          <w:szCs w:val="26"/>
        </w:rPr>
        <w:t xml:space="preserve">SERVICE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Name of Deceased:  Jose R. Ramirez</w:t>
            </w:r>
          </w:p>
        </w:tc>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Gender:  [x] M   [ ] F</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Date of Death:  2026-08-27</w:t>
            </w:r>
          </w:p>
        </w:tc>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Civil Status:  [ ] S   [x] M   [ ] O</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Date of Birth:  1943-03-11</w:t>
            </w:r>
          </w:p>
        </w:tc>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Senior Citizen?  [x] Yes   [ ] No</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Name of Client:  Maria L. Ramirez</w:t>
            </w:r>
          </w:p>
        </w:tc>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Gender:  [ ] M   [x] F</w:t>
            </w:r>
          </w:p>
        </w:tc>
      </w:tr>
      <w:tr>
        <w:tc>
          <w:tcPr>
            <w:tcW w:type="pct" w:w="100%"/>
            <w:gridSpan w:val="6"/>
            <w:tcBorders>
              <w:top w:val="single" w:color="000000" w:sz="4"/>
              <w:left w:val="single" w:color="000000" w:sz="4"/>
              <w:bottom w:val="single" w:color="000000" w:sz="4"/>
              <w:right w:val="single" w:color="000000" w:sz="4"/>
            </w:tcBorders>
          </w:tcPr>
          <w:p>
            <w:pPr>
              <w:spacing w:after="60"/>
              <w:jc w:val="left"/>
            </w:pPr>
            <w:r>
              <w:t xml:space="preserve">Address:  Aguada, Isabela City, Basilan</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Telephone Numbers:  0917 000 1111</w:t>
            </w:r>
          </w:p>
        </w:tc>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Facebook:  fb.com/maria.ramirez</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Relationship to Deceased:  Spouse</w:t>
            </w:r>
          </w:p>
        </w:tc>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Email:  maria.ramirez@example.ph</w:t>
            </w:r>
          </w:p>
        </w:tc>
      </w:tr>
      <w:tr>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ID Presented:  Driver's License</w:t>
            </w:r>
          </w:p>
        </w:tc>
        <w:tc>
          <w:tcPr>
            <w:tcW w:type="pct" w:w="50%"/>
            <w:gridSpan w:val="3"/>
            <w:tcBorders>
              <w:top w:val="single" w:color="000000" w:sz="4"/>
              <w:left w:val="single" w:color="000000" w:sz="4"/>
              <w:bottom w:val="single" w:color="000000" w:sz="4"/>
              <w:right w:val="single" w:color="000000" w:sz="4"/>
            </w:tcBorders>
          </w:tcPr>
          <w:p>
            <w:pPr>
              <w:spacing w:after="60"/>
              <w:jc w:val="left"/>
            </w:pPr>
            <w:r>
              <w:t xml:space="preserve">ID#:  D12-34-567890</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3%"/>
            <w:gridSpan w:val="2"/>
            <w:tcBorders>
              <w:top w:val="single" w:color="000000" w:sz="4"/>
              <w:left w:val="single" w:color="000000" w:sz="4"/>
              <w:bottom w:val="single" w:color="000000" w:sz="4"/>
              <w:right w:val="single" w:color="000000" w:sz="4"/>
            </w:tcBorders>
            <w:shd w:fill="EEEEEE" w:val="clear"/>
          </w:tcPr>
          <w:p>
            <w:pPr>
              <w:spacing w:after="0"/>
              <w:jc w:val="left"/>
            </w:pPr>
            <w:r>
              <w:rPr>
                <w:b/>
                <w:bCs/>
              </w:rPr>
              <w:t xml:space="preserve">Services Rendered</w:t>
            </w:r>
          </w:p>
        </w:tc>
        <w:tc>
          <w:tcPr>
            <w:tcW w:type="pct" w:w="17%"/>
            <w:tcBorders>
              <w:top w:val="single" w:color="000000" w:sz="4"/>
              <w:left w:val="single" w:color="000000" w:sz="4"/>
              <w:bottom w:val="single" w:color="000000" w:sz="4"/>
              <w:right w:val="single" w:color="000000" w:sz="4"/>
            </w:tcBorders>
            <w:shd w:fill="EEEEEE" w:val="clear"/>
          </w:tcPr>
          <w:p>
            <w:pPr>
              <w:spacing w:after="0"/>
              <w:jc w:val="left"/>
            </w:pPr>
            <w:r>
              <w:rPr>
                <w:b/>
                <w:bCs/>
              </w:rPr>
              <w:t xml:space="preserve">Amount</w:t>
            </w:r>
          </w:p>
        </w:tc>
        <w:tc>
          <w:tcPr>
            <w:tcW w:type="pct" w:w="33%"/>
            <w:gridSpan w:val="2"/>
            <w:tcBorders>
              <w:top w:val="single" w:color="000000" w:sz="4"/>
              <w:left w:val="single" w:color="000000" w:sz="4"/>
              <w:bottom w:val="single" w:color="000000" w:sz="4"/>
              <w:right w:val="single" w:color="000000" w:sz="4"/>
            </w:tcBorders>
            <w:shd w:fill="EEEEEE" w:val="clear"/>
          </w:tcPr>
          <w:p>
            <w:pPr>
              <w:spacing w:after="0"/>
              <w:jc w:val="left"/>
            </w:pPr>
            <w:r>
              <w:rPr>
                <w:b/>
                <w:bCs/>
              </w:rPr>
              <w:t xml:space="preserve">Packaged Deals</w:t>
            </w:r>
          </w:p>
        </w:tc>
        <w:tc>
          <w:tcPr>
            <w:tcW w:type="pct" w:w="17%"/>
            <w:tcBorders>
              <w:top w:val="single" w:color="000000" w:sz="4"/>
              <w:left w:val="single" w:color="000000" w:sz="4"/>
              <w:bottom w:val="single" w:color="000000" w:sz="4"/>
              <w:right w:val="single" w:color="000000" w:sz="4"/>
            </w:tcBorders>
            <w:shd w:fill="EEEEEE" w:val="clear"/>
          </w:tcPr>
          <w:p>
            <w:pPr>
              <w:spacing w:after="0"/>
              <w:jc w:val="left"/>
            </w:pPr>
            <w:r>
              <w:rPr>
                <w:b/>
                <w:bCs/>
              </w:rPr>
              <w:t xml:space="preserve">Amount</w:t>
            </w:r>
          </w:p>
        </w:tc>
      </w:tr>
      <w:tr>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ROD</w:t>
            </w:r>
          </w:p>
        </w:tc>
        <w:tc>
          <w:tcPr>
            <w:tcW w:type="pct" w:w="17%"/>
            <w:tcBorders>
              <w:top w:val="single" w:color="000000" w:sz="4"/>
              <w:left w:val="single" w:color="000000" w:sz="4"/>
              <w:bottom w:val="single" w:color="000000" w:sz="4"/>
              <w:right w:val="single" w:color="000000" w:sz="4"/>
            </w:tcBorders>
          </w:tcPr>
          <w:p>
            <w:pPr>
              <w:spacing w:after="60"/>
              <w:jc w:val="left"/>
            </w:pPr>
            <w:r>
              <w:t xml:space="preserve">—</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
            </w:r>
          </w:p>
        </w:tc>
        <w:tc>
          <w:tcPr>
            <w:tcW w:type="pct" w:w="17%"/>
            <w:tcBorders>
              <w:top w:val="single" w:color="000000" w:sz="4"/>
              <w:left w:val="single" w:color="000000" w:sz="4"/>
              <w:bottom w:val="single" w:color="000000" w:sz="4"/>
              <w:right w:val="single" w:color="000000" w:sz="4"/>
            </w:tcBorders>
          </w:tcPr>
          <w:p>
            <w:pPr>
              <w:spacing w:after="60"/>
              <w:jc w:val="left"/>
            </w:pPr>
            <w:r>
              <w:t xml:space="preserve">—</w:t>
            </w:r>
          </w:p>
        </w:tc>
      </w:tr>
      <w:tr>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
            </w:r>
          </w:p>
        </w:tc>
        <w:tc>
          <w:tcPr>
            <w:tcW w:type="pct" w:w="17%"/>
            <w:tcBorders>
              <w:top w:val="single" w:color="000000" w:sz="4"/>
              <w:left w:val="single" w:color="000000" w:sz="4"/>
              <w:bottom w:val="single" w:color="000000" w:sz="4"/>
              <w:right w:val="single" w:color="000000" w:sz="4"/>
            </w:tcBorders>
          </w:tcPr>
          <w:p>
            <w:pPr>
              <w:spacing w:after="60"/>
              <w:jc w:val="left"/>
            </w:pPr>
            <w:r>
              <w:t xml:space="preserve">—</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Embalming — 3 days</w:t>
            </w:r>
          </w:p>
        </w:tc>
        <w:tc>
          <w:tcPr>
            <w:tcW w:type="pct" w:w="17%"/>
            <w:tcBorders>
              <w:top w:val="single" w:color="000000" w:sz="4"/>
              <w:left w:val="single" w:color="000000" w:sz="4"/>
              <w:bottom w:val="single" w:color="000000" w:sz="4"/>
              <w:right w:val="single" w:color="000000" w:sz="4"/>
            </w:tcBorders>
          </w:tcPr>
          <w:p>
            <w:pPr>
              <w:spacing w:after="60"/>
              <w:jc w:val="left"/>
            </w:pPr>
            <w:r>
              <w:t xml:space="preserve">—</w:t>
            </w:r>
          </w:p>
        </w:tc>
      </w:tr>
      <w:tr>
        <w:tc>
          <w:tcPr>
            <w:tcW w:type="pct" w:w="67%"/>
            <w:gridSpan w:val="4"/>
            <w:tcBorders>
              <w:top w:val="single" w:color="000000" w:sz="4"/>
              <w:left w:val="single" w:color="000000" w:sz="4"/>
              <w:bottom w:val="single" w:color="000000" w:sz="4"/>
              <w:right w:val="single" w:color="000000" w:sz="4"/>
            </w:tcBorders>
          </w:tcPr>
          <w:p>
            <w:pPr>
              <w:spacing w:after="60"/>
              <w:jc w:val="left"/>
            </w:pPr>
            <w:r>
              <w:t xml:space="preserve">TOTAL COST OF SERVICES RENDERED</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w:t>
            </w:r>
          </w:p>
        </w:tc>
      </w:tr>
    </w:tbl>
    <w:p>
      <w:pPr>
        <w:spacing w:after="40"/>
      </w:pPr>
    </w:p>
    <w:p>
      <w:pPr>
        <w:spacing w:after="120"/>
        <w:jc w:val="left"/>
      </w:pPr>
      <w:r>
        <w:rPr>
          <w:sz w:val="17"/>
          <w:szCs w:val="17"/>
        </w:rPr>
        <w:t xml:space="preserve">Amounts print when the services are priced on a linked order; this screen never computes a figure.</w:t>
      </w:r>
    </w:p>
    <w:p>
      <w:pPr>
        <w:spacing w:after="80"/>
        <w:jc w:val="left"/>
      </w:pPr>
      <w:r>
        <w:rPr>
          <w:b/>
          <w:bCs/>
          <w:sz w:val="20"/>
          <w:szCs w:val="20"/>
        </w:rPr>
        <w:t xml:space="preserve">Less: LIFE PLANS / INSURANCES / BURIAL ASSISTANCE / GUARANTEES:</w:t>
      </w:r>
    </w:p>
    <w:p>
      <w:pPr>
        <w:spacing w:after="40"/>
        <w:jc w:val="left"/>
      </w:pPr>
      <w:r>
        <w:rPr>
          <w:sz w:val="20"/>
          <w:szCs w:val="20"/>
        </w:rPr>
        <w:t xml:space="preserve">— SSS (ID# 33-4455-6677)</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7%"/>
            <w:gridSpan w:val="4"/>
            <w:tcBorders>
              <w:top w:val="single" w:color="000000" w:sz="4"/>
              <w:left w:val="single" w:color="000000" w:sz="4"/>
              <w:bottom w:val="single" w:color="000000" w:sz="4"/>
              <w:right w:val="single" w:color="000000" w:sz="4"/>
            </w:tcBorders>
          </w:tcPr>
          <w:p>
            <w:pPr>
              <w:spacing w:after="60"/>
              <w:jc w:val="left"/>
            </w:pPr>
            <w:r>
              <w:t xml:space="preserve">GRAND TOTAL AFTER DEDUCTIONS:</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w:t>
            </w:r>
          </w:p>
        </w:tc>
      </w:tr>
      <w:tr>
        <w:tc>
          <w:tcPr>
            <w:tcW w:type="pct" w:w="67%"/>
            <w:gridSpan w:val="4"/>
            <w:tcBorders>
              <w:top w:val="single" w:color="000000" w:sz="4"/>
              <w:left w:val="single" w:color="000000" w:sz="4"/>
              <w:bottom w:val="single" w:color="000000" w:sz="4"/>
              <w:right w:val="single" w:color="000000" w:sz="4"/>
            </w:tcBorders>
          </w:tcPr>
          <w:p>
            <w:pPr>
              <w:spacing w:after="60"/>
              <w:jc w:val="left"/>
            </w:pPr>
            <w:r>
              <w:t xml:space="preserve">DOWNPAYMENT:</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w:t>
            </w:r>
          </w:p>
        </w:tc>
      </w:tr>
      <w:tr>
        <w:tc>
          <w:tcPr>
            <w:tcW w:type="pct" w:w="67%"/>
            <w:gridSpan w:val="4"/>
            <w:tcBorders>
              <w:top w:val="single" w:color="000000" w:sz="4"/>
              <w:left w:val="single" w:color="000000" w:sz="4"/>
              <w:bottom w:val="single" w:color="000000" w:sz="4"/>
              <w:right w:val="single" w:color="000000" w:sz="4"/>
            </w:tcBorders>
          </w:tcPr>
          <w:p>
            <w:pPr>
              <w:spacing w:after="60"/>
              <w:jc w:val="left"/>
            </w:pPr>
            <w:r>
              <w:t xml:space="preserve">BALANCE &amp; DUE DATE (2026-09-06):</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w:t>
            </w:r>
          </w:p>
        </w:tc>
      </w:tr>
    </w:tbl>
    <w:p>
      <w:pPr>
        <w:spacing w:after="40"/>
      </w:pPr>
    </w:p>
    <w:p>
      <w:pPr>
        <w:spacing w:after="160"/>
        <w:jc w:val="left"/>
      </w:pPr>
      <w:r>
        <w:rPr>
          <w:sz w:val="17"/>
          <w:szCs w:val="17"/>
        </w:rPr>
        <w:t xml:space="preserve">Deduction amounts, the grand total and the balance belong to the guarantee sub-ledger and finance (dev-owned); the due date shown is the paper's nine (9) day rule from the contract date.</w:t>
      </w:r>
    </w:p>
    <w:p>
      <w:pPr>
        <w:spacing w:after="80"/>
        <w:jc w:val="left"/>
      </w:pPr>
      <w:r>
        <w:rPr>
          <w:b/>
          <w:bCs/>
          <w:sz w:val="21"/>
          <w:szCs w:val="21"/>
        </w:rPr>
        <w:t xml:space="preserve">KNOW ALL MEN BY THESE PRESENTS:</w:t>
      </w:r>
    </w:p>
    <w:p>
      <w:pPr>
        <w:spacing w:after="120"/>
        <w:jc w:val="both"/>
      </w:pPr>
      <w:r>
        <w:rPr>
          <w:sz w:val="21"/>
          <w:szCs w:val="21"/>
        </w:rPr>
        <w:t xml:space="preserve">This Service Contract is made and entered into on the date written above between Funeraria Villa, represented by its owner, Armando A. Villa and the CLIENT, together with Co-Maker Ramon D. Ramirez, jointly and solidarily liable, under the terms below.</w:t>
      </w:r>
    </w:p>
    <w:p>
      <w:pPr>
        <w:spacing w:after="100"/>
        <w:jc w:val="both"/>
      </w:pPr>
      <w:r>
        <w:rPr>
          <w:sz w:val="21"/>
          <w:szCs w:val="21"/>
        </w:rPr>
        <w:t xml:space="preserve">1. The CLIENT, together with the co-maker, jointly, solidarily and irrevocably promises to pay VILLA the balance stated above on or before nine (9) days after the date of this contract, unless extended upon request of the CLIENT and upon payment of the corresponding extension fees.</w:t>
      </w:r>
    </w:p>
    <w:p>
      <w:pPr>
        <w:spacing w:after="100"/>
        <w:jc w:val="both"/>
      </w:pPr>
      <w:r>
        <w:rPr>
          <w:sz w:val="21"/>
          <w:szCs w:val="21"/>
        </w:rPr>
        <w:t xml:space="preserve">2. For services whose payment is fully or partially guaranteed by an LGU or by a government or private agency — including DSWD, SSS, GSIS, life plans, insurance and pre-need companies approved by VILLA — the CLIENT undertakes to submit the payment guarantee instruments within three (3) days from the date of this contract. An Official Receipt issued for the purpose of claiming against such an agency does not by itself mean the CLIENT has paid VILLA in full.</w:t>
      </w:r>
    </w:p>
    <w:p>
      <w:pPr>
        <w:spacing w:after="100"/>
        <w:jc w:val="both"/>
      </w:pPr>
      <w:r>
        <w:rPr>
          <w:sz w:val="21"/>
          <w:szCs w:val="21"/>
        </w:rPr>
        <w:t xml:space="preserve">3. Failure to comply with clauses 1 and 2 means the CLIENT shall pay the TOTAL amount of the services rendered at standard prices, forfeiting all discounts, plus all applicable interests and penalties. The obligation becomes due immediately, no delay of payment is excused, and interest of ten percent (10%) per month shall apply.</w:t>
      </w:r>
    </w:p>
    <w:p>
      <w:pPr>
        <w:spacing w:after="100"/>
        <w:jc w:val="both"/>
      </w:pPr>
      <w:r>
        <w:rPr>
          <w:sz w:val="21"/>
          <w:szCs w:val="21"/>
        </w:rPr>
        <w:t xml:space="preserve">4. The CLIENT names, appoints and constitutes FUNERARIA VILLA and/or ARMANDO A. VILLA as attorney-in-fact to act on the CLIENT's behalf in connection with burial benefit claims and any insurance, life plan or other claim or benefit of the deceased before any government or private organisation, to the extent required to cover the accounts payable incurred — including to represent, process, submit, claim, sign, receive cash and encash cheques as rightful claimant — with full power of substitution and revocation.</w:t>
      </w:r>
    </w:p>
    <w:p>
      <w:pPr>
        <w:spacing w:after="100"/>
        <w:jc w:val="both"/>
      </w:pPr>
      <w:r>
        <w:rPr>
          <w:sz w:val="21"/>
          <w:szCs w:val="21"/>
        </w:rPr>
        <w:t xml:space="preserve">5. The CLIENT indemnifies and holds VILLA harmless from any loss, liability, damage or cost, including court costs and attorney's fees, arising from the CLIENT's insistence on transporting the coffin and the deceased, or from the absence of embalming, whether or not caused by the negligence of VILLA.</w:t>
      </w:r>
    </w:p>
    <w:p>
      <w:pPr>
        <w:spacing w:after="100"/>
        <w:jc w:val="both"/>
      </w:pPr>
      <w:r>
        <w:rPr>
          <w:sz w:val="21"/>
          <w:szCs w:val="21"/>
        </w:rPr>
        <w:t xml:space="preserve">6. The terms of this contract bind and benefit the successors, assigns, heirs, survivors and personal representatives of all parties.</w:t>
      </w:r>
    </w:p>
    <w:p>
      <w:pPr>
        <w:spacing w:after="100"/>
        <w:jc w:val="both"/>
      </w:pPr>
      <w:r>
        <w:rPr>
          <w:sz w:val="21"/>
          <w:szCs w:val="21"/>
        </w:rPr>
        <w:t xml:space="preserve">7. No breach of any provision is waived unless waived in writing. No course of dealing and no delay by VILLA in exercising a right operates as a waiver of it, and no right or remedy conferred here is exclusive of any other available at law or in equity.</w:t>
      </w:r>
    </w:p>
    <w:p>
      <w:pPr>
        <w:spacing w:after="100"/>
        <w:jc w:val="both"/>
      </w:pPr>
      <w:r>
        <w:rPr>
          <w:sz w:val="21"/>
          <w:szCs w:val="21"/>
        </w:rPr>
        <w:t xml:space="preserve">8. Should suit be brought on this contract, or should it be placed with an attorney for collection, the CLIENT shall pay all costs incurred, including penalties, interests, cost of money and applicable civil damages, plus attorney's fees of not less than fifty thousand pesos (PHP 50,000.00).</w:t>
      </w:r>
    </w:p>
    <w:p>
      <w:pPr>
        <w:spacing w:after="100"/>
        <w:jc w:val="both"/>
      </w:pPr>
      <w:r>
        <w:rPr>
          <w:sz w:val="21"/>
          <w:szCs w:val="21"/>
        </w:rPr>
        <w:t xml:space="preserve">9. This contract is governed by the laws of the Philippines. Suit may be brought in the proper court selected by VILLA, to whose venue and jurisdiction the CLIENT expressly consents.</w:t>
      </w:r>
    </w:p>
    <w:p>
      <w:pPr>
        <w:spacing w:after="100"/>
        <w:jc w:val="both"/>
      </w:pPr>
      <w:r>
        <w:rPr>
          <w:sz w:val="21"/>
          <w:szCs w:val="21"/>
        </w:rPr>
        <w:t xml:space="preserve">10. The CLIENT waives demand, diligence, presentment for payment, protest and notice of demand. Time is of the essence of every term of this contract.</w:t>
      </w:r>
    </w:p>
    <w:p>
      <w:pPr>
        <w:spacing w:after="120"/>
        <w:jc w:val="both"/>
      </w:pPr>
      <w:r>
        <w:rPr>
          <w:sz w:val="21"/>
          <w:szCs w:val="21"/>
        </w:rPr>
        <w:t xml:space="preserve">The parties hereby indicate by their signatures below that they have read and agree with the terms and conditions of this contract in its entirety.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Maria L. Ramirez</w:t>
            </w:r>
          </w:p>
          <w:p>
            <w:pPr>
              <w:spacing w:after="60"/>
              <w:jc w:val="left"/>
            </w:pPr>
            <w:r>
              <w:t xml:space="preserve"/>
            </w:r>
          </w:p>
          <w:p>
            <w:pPr>
              <w:spacing w:after="60"/>
              <w:jc w:val="left"/>
            </w:pPr>
            <w:r>
              <w:t xml:space="preserve">CLIENT (Sign over Printed Name)</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Ramon D. Ramirez</w:t>
            </w:r>
          </w:p>
          <w:p>
            <w:pPr>
              <w:spacing w:after="60"/>
              <w:jc w:val="left"/>
            </w:pPr>
            <w:r>
              <w:t xml:space="preserve"/>
            </w:r>
          </w:p>
          <w:p>
            <w:pPr>
              <w:spacing w:after="60"/>
              <w:jc w:val="left"/>
            </w:pPr>
            <w:r>
              <w:t xml:space="preserve">Co-Maker (Sign over Printed Name)</w:t>
            </w:r>
          </w:p>
        </w:tc>
        <w:tc>
          <w:tcPr>
            <w:tcW w:type="pct" w:w="33%"/>
            <w:gridSpan w:val="2"/>
            <w:tcBorders>
              <w:top w:val="single" w:color="000000" w:sz="4"/>
              <w:left w:val="single" w:color="000000" w:sz="4"/>
              <w:bottom w:val="single" w:color="000000" w:sz="4"/>
              <w:right w:val="single" w:color="000000" w:sz="4"/>
            </w:tcBorders>
          </w:tcPr>
          <w:p>
            <w:pPr>
              <w:spacing w:after="60"/>
              <w:jc w:val="left"/>
            </w:pPr>
            <w:r>
              <w:t xml:space="preserve">Armando A. Villa</w:t>
            </w:r>
          </w:p>
          <w:p>
            <w:pPr>
              <w:spacing w:after="60"/>
              <w:jc w:val="left"/>
            </w:pPr>
            <w:r>
              <w:t xml:space="preserve"/>
            </w:r>
          </w:p>
          <w:p>
            <w:pPr>
              <w:spacing w:after="60"/>
              <w:jc w:val="left"/>
            </w:pPr>
            <w:r>
              <w:t xml:space="preserve">Funeraria Villa</w:t>
            </w:r>
          </w:p>
        </w:tc>
      </w:tr>
    </w:tbl>
    <w:p>
      <w:pPr>
        <w:spacing w:after="80"/>
      </w:pPr>
    </w:p>
    <w:p>
      <w:r>
        <w:br w:type="page"/>
      </w:r>
    </w:p>
    <w:p>
      <w:pPr>
        <w:spacing w:after="120"/>
        <w:jc w:val="left"/>
      </w:pPr>
      <w:r>
        <w:rPr>
          <w:sz w:val="20"/>
          <w:szCs w:val="20"/>
        </w:rPr>
        <w:t xml:space="preserve">Subscribed and sworn to before me, the parties exhibiting competent proof of identity.
Doc. No. ____;  Page No. ____;  Book No. ____;  Series of ____.</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2026-09-18T20:12:20.648Z</dcterms:created>
  <dcterms:modified xsi:type="dcterms:W3CDTF">2026-09-18T20:12:20.648Z</dcterms:modified>
</cp:coreProperties>
</file>

<file path=docProps/custom.xml><?xml version="1.0" encoding="utf-8"?>
<Properties xmlns="http://schemas.openxmlformats.org/officeDocument/2006/custom-properties" xmlns:vt="http://schemas.openxmlformats.org/officeDocument/2006/docPropsVTypes"/>
</file>