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Default="00A32E3C" w:rsidP="00567A5A">
      <w:pPr>
        <w:rPr>
          <w:color w:val="FF0000"/>
        </w:rPr>
      </w:pPr>
      <w:proofErr w:type="gramStart"/>
      <w:r>
        <w:rPr>
          <w:b/>
          <w:u w:val="single"/>
        </w:rPr>
        <w:t>e</w:t>
      </w:r>
      <w:r w:rsidR="00382459" w:rsidRPr="006D4570">
        <w:rPr>
          <w:b/>
          <w:u w:val="single"/>
        </w:rPr>
        <w:t>xamine</w:t>
      </w:r>
      <w:proofErr w:type="gramEnd"/>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39DEBD50" w14:textId="4E44398A" w:rsidR="007A2A67"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 xml:space="preserve">are in place, for </w:t>
      </w:r>
      <w:r w:rsidR="000E7AE3" w:rsidRPr="000E7AE3">
        <w:rPr>
          <w:rFonts w:asciiTheme="majorHAnsi" w:hAnsiTheme="majorHAnsi" w:cstheme="minorBidi"/>
          <w:i/>
          <w:color w:val="0000FF"/>
          <w:sz w:val="22"/>
          <w:szCs w:val="24"/>
          <w:lang w:eastAsia="ja-JP"/>
        </w:rPr>
        <w:lastRenderedPageBreak/>
        <w:t>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8DE21C1" w14:textId="7599C98E" w:rsidR="00656192" w:rsidRPr="00656192" w:rsidRDefault="00862A8E" w:rsidP="00862A8E">
      <w:pPr>
        <w:pStyle w:val="Heading1"/>
        <w:numPr>
          <w:ilvl w:val="0"/>
          <w:numId w:val="2"/>
        </w:numPr>
        <w:rPr>
          <w:lang w:eastAsia="en-US"/>
        </w:rPr>
      </w:pPr>
      <w:r>
        <w:rPr>
          <w:lang w:eastAsia="en-US"/>
        </w:rPr>
        <w:t>What is PLE?</w:t>
      </w:r>
    </w:p>
    <w:p w14:paraId="63A16B7B" w14:textId="77777777" w:rsidR="007B4E4D" w:rsidRPr="00656192" w:rsidRDefault="007B4E4D" w:rsidP="007B4E4D">
      <w:pPr>
        <w:rPr>
          <w:i/>
          <w:color w:val="FF0000"/>
        </w:rPr>
      </w:pPr>
      <w:r w:rsidRPr="00656192">
        <w:rPr>
          <w:i/>
          <w:color w:val="FF0000"/>
        </w:rPr>
        <w:t>--</w:t>
      </w:r>
      <w:proofErr w:type="spellStart"/>
      <w:r w:rsidRPr="00656192">
        <w:rPr>
          <w:i/>
          <w:color w:val="FF0000"/>
        </w:rPr>
        <w:t>Listar</w:t>
      </w:r>
      <w:proofErr w:type="spellEnd"/>
      <w:r w:rsidRPr="00656192">
        <w:rPr>
          <w:i/>
          <w:color w:val="FF0000"/>
        </w:rPr>
        <w:t xml:space="preserve"> </w:t>
      </w:r>
      <w:proofErr w:type="spellStart"/>
      <w:r w:rsidRPr="00656192">
        <w:rPr>
          <w:i/>
          <w:color w:val="FF0000"/>
        </w:rPr>
        <w:t>todos</w:t>
      </w:r>
      <w:proofErr w:type="spellEnd"/>
      <w:r w:rsidRPr="00656192">
        <w:rPr>
          <w:i/>
          <w:color w:val="FF0000"/>
        </w:rPr>
        <w:t xml:space="preserve"> </w:t>
      </w:r>
      <w:proofErr w:type="spellStart"/>
      <w:r w:rsidRPr="00656192">
        <w:rPr>
          <w:i/>
          <w:color w:val="FF0000"/>
        </w:rPr>
        <w:t>os</w:t>
      </w:r>
      <w:proofErr w:type="spellEnd"/>
      <w:r w:rsidRPr="00656192">
        <w:rPr>
          <w:i/>
          <w:color w:val="FF0000"/>
        </w:rPr>
        <w:t xml:space="preserve"> quotes </w:t>
      </w:r>
      <w:proofErr w:type="spellStart"/>
      <w:r w:rsidRPr="00656192">
        <w:rPr>
          <w:i/>
          <w:color w:val="FF0000"/>
        </w:rPr>
        <w:t>estudados</w:t>
      </w:r>
      <w:proofErr w:type="spellEnd"/>
      <w:r w:rsidRPr="00656192">
        <w:rPr>
          <w:i/>
          <w:color w:val="FF0000"/>
        </w:rPr>
        <w:t xml:space="preserve"> no IDEL—</w:t>
      </w:r>
    </w:p>
    <w:p w14:paraId="5A797A10" w14:textId="10ED9367" w:rsidR="008504B6" w:rsidRPr="001C2437" w:rsidRDefault="00001A0F" w:rsidP="002D1FA1">
      <w:pPr>
        <w:rPr>
          <w:i/>
          <w:color w:val="0000FF"/>
          <w:szCs w:val="22"/>
        </w:rPr>
      </w:pPr>
      <w:r w:rsidRPr="001C2437">
        <w:rPr>
          <w:i/>
          <w:color w:val="0000FF"/>
          <w:szCs w:val="22"/>
        </w:rPr>
        <w:t>The concept of PLEs is still developing and thus t</w:t>
      </w:r>
      <w:r w:rsidR="007B4E4D" w:rsidRPr="001C2437">
        <w:rPr>
          <w:i/>
          <w:color w:val="0000FF"/>
          <w:szCs w:val="22"/>
        </w:rPr>
        <w:t>here are a number of definitions, which vary</w:t>
      </w:r>
      <w:r w:rsidR="002D1FA1" w:rsidRPr="001C2437">
        <w:rPr>
          <w:i/>
          <w:color w:val="0000FF"/>
          <w:szCs w:val="22"/>
        </w:rPr>
        <w:t xml:space="preserve"> slightly from </w:t>
      </w:r>
      <w:r w:rsidR="008504B6" w:rsidRPr="001C2437">
        <w:rPr>
          <w:i/>
          <w:color w:val="0000FF"/>
          <w:szCs w:val="22"/>
        </w:rPr>
        <w:t>author</w:t>
      </w:r>
      <w:r w:rsidR="002D1FA1" w:rsidRPr="001C2437">
        <w:rPr>
          <w:i/>
          <w:color w:val="0000FF"/>
          <w:szCs w:val="22"/>
        </w:rPr>
        <w:t xml:space="preserve"> to </w:t>
      </w:r>
      <w:r w:rsidR="008504B6" w:rsidRPr="001C2437">
        <w:rPr>
          <w:i/>
          <w:color w:val="0000FF"/>
          <w:szCs w:val="22"/>
        </w:rPr>
        <w:t>author</w:t>
      </w:r>
      <w:r w:rsidR="002D1FA1" w:rsidRPr="001C2437">
        <w:rPr>
          <w:i/>
          <w:color w:val="0000FF"/>
          <w:szCs w:val="22"/>
        </w:rPr>
        <w:t xml:space="preserve">. </w:t>
      </w:r>
      <w:r w:rsidR="008504B6" w:rsidRPr="001C2437">
        <w:rPr>
          <w:i/>
          <w:color w:val="0000FF"/>
          <w:szCs w:val="22"/>
        </w:rPr>
        <w:t xml:space="preserve">According to literature the most common definitions of PLE include the following relevant aspects: </w:t>
      </w:r>
    </w:p>
    <w:p w14:paraId="09E3BC83" w14:textId="77777777" w:rsidR="0074204C" w:rsidRDefault="00222EC8" w:rsidP="0074204C">
      <w:pPr>
        <w:spacing w:after="0"/>
        <w:jc w:val="left"/>
        <w:rPr>
          <w:i/>
          <w:color w:val="A6A6A6" w:themeColor="background1" w:themeShade="A6"/>
          <w:szCs w:val="22"/>
        </w:rPr>
      </w:pPr>
      <w:r w:rsidRPr="00656192">
        <w:rPr>
          <w:i/>
          <w:color w:val="A6A6A6" w:themeColor="background1" w:themeShade="A6"/>
          <w:szCs w:val="22"/>
        </w:rPr>
        <w:t>Web 2.0 tools</w:t>
      </w:r>
    </w:p>
    <w:p w14:paraId="6EAD3C53" w14:textId="77777777" w:rsidR="0074204C" w:rsidRDefault="00222EC8" w:rsidP="0074204C">
      <w:pPr>
        <w:spacing w:after="0"/>
        <w:jc w:val="left"/>
        <w:rPr>
          <w:i/>
          <w:color w:val="A6A6A6" w:themeColor="background1" w:themeShade="A6"/>
          <w:szCs w:val="22"/>
        </w:rPr>
      </w:pPr>
      <w:r w:rsidRPr="00656192">
        <w:rPr>
          <w:i/>
          <w:color w:val="A6A6A6" w:themeColor="background1" w:themeShade="A6"/>
          <w:szCs w:val="22"/>
        </w:rPr>
        <w:t xml:space="preserve">Reflecting </w:t>
      </w:r>
    </w:p>
    <w:p w14:paraId="24C0DA71" w14:textId="06F02E6C" w:rsidR="008D7E82" w:rsidRDefault="008D7E82" w:rsidP="0074204C">
      <w:pPr>
        <w:spacing w:after="0"/>
        <w:jc w:val="left"/>
        <w:rPr>
          <w:i/>
          <w:color w:val="A6A6A6" w:themeColor="background1" w:themeShade="A6"/>
          <w:szCs w:val="22"/>
          <w:u w:val="single"/>
        </w:rPr>
      </w:pPr>
      <w:r w:rsidRPr="00656192">
        <w:rPr>
          <w:i/>
          <w:color w:val="A6A6A6" w:themeColor="background1" w:themeShade="A6"/>
          <w:szCs w:val="22"/>
          <w:u w:val="single"/>
        </w:rPr>
        <w:t>‘</w:t>
      </w:r>
      <w:proofErr w:type="gramStart"/>
      <w:r w:rsidRPr="00656192">
        <w:rPr>
          <w:i/>
          <w:color w:val="A6A6A6" w:themeColor="background1" w:themeShade="A6"/>
          <w:szCs w:val="22"/>
          <w:u w:val="single"/>
        </w:rPr>
        <w:t>online</w:t>
      </w:r>
      <w:proofErr w:type="gramEnd"/>
      <w:r w:rsidRPr="00656192">
        <w:rPr>
          <w:i/>
          <w:color w:val="A6A6A6" w:themeColor="background1" w:themeShade="A6"/>
          <w:szCs w:val="22"/>
          <w:u w:val="single"/>
        </w:rPr>
        <w:t xml:space="preserve"> learning desk’</w:t>
      </w:r>
    </w:p>
    <w:p w14:paraId="4731A466" w14:textId="56C73349" w:rsidR="0074204C" w:rsidRDefault="000D5B34" w:rsidP="0074204C">
      <w:pPr>
        <w:spacing w:after="0"/>
        <w:jc w:val="left"/>
        <w:rPr>
          <w:rFonts w:ascii="Calibri" w:hAnsi="Calibri" w:cs="Calibri"/>
          <w:color w:val="000000"/>
          <w:sz w:val="18"/>
          <w:szCs w:val="18"/>
          <w:lang w:val="en-US"/>
        </w:rPr>
      </w:pPr>
      <w:r>
        <w:rPr>
          <w:rFonts w:ascii="Calibri" w:hAnsi="Calibri" w:cs="Calibri"/>
          <w:color w:val="000000"/>
          <w:sz w:val="18"/>
          <w:szCs w:val="18"/>
          <w:lang w:val="en-US"/>
        </w:rPr>
        <w:t>“VLE of the future”</w:t>
      </w:r>
    </w:p>
    <w:p w14:paraId="08241469" w14:textId="0993F928" w:rsidR="0002144D" w:rsidRDefault="0002144D" w:rsidP="0074204C">
      <w:pPr>
        <w:spacing w:after="0"/>
        <w:jc w:val="left"/>
        <w:rPr>
          <w:i/>
          <w:color w:val="A6A6A6" w:themeColor="background1" w:themeShade="A6"/>
          <w:szCs w:val="22"/>
        </w:rPr>
      </w:pPr>
      <w:r>
        <w:rPr>
          <w:i/>
          <w:noProof/>
          <w:color w:val="A6A6A6" w:themeColor="background1" w:themeShade="A6"/>
          <w:szCs w:val="22"/>
          <w:lang w:val="en-US" w:eastAsia="en-US"/>
        </w:rPr>
        <w:lastRenderedPageBreak/>
        <w:drawing>
          <wp:inline distT="0" distB="0" distL="0" distR="0" wp14:anchorId="01D8EFA7" wp14:editId="2AE8ED68">
            <wp:extent cx="5270500" cy="168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688145"/>
                    </a:xfrm>
                    <a:prstGeom prst="rect">
                      <a:avLst/>
                    </a:prstGeom>
                    <a:noFill/>
                    <a:ln>
                      <a:noFill/>
                    </a:ln>
                  </pic:spPr>
                </pic:pic>
              </a:graphicData>
            </a:graphic>
          </wp:inline>
        </w:drawing>
      </w:r>
    </w:p>
    <w:p w14:paraId="79A94ED2" w14:textId="70DCCC6F" w:rsidR="00BD2010" w:rsidRDefault="001B4B1D" w:rsidP="00BD2010">
      <w:pPr>
        <w:pStyle w:val="NormalWeb"/>
        <w:ind w:left="480" w:hanging="480"/>
        <w:divId w:val="849956341"/>
        <w:rPr>
          <w:i/>
          <w:color w:val="A6A6A6" w:themeColor="background1" w:themeShade="A6"/>
          <w:szCs w:val="22"/>
        </w:rPr>
      </w:pPr>
      <w:r>
        <w:rPr>
          <w:i/>
          <w:color w:val="A6A6A6" w:themeColor="background1" w:themeShade="A6"/>
          <w:szCs w:val="22"/>
        </w:rPr>
        <w:t>Space: “</w:t>
      </w:r>
      <w:r w:rsidRPr="001B4B1D">
        <w:rPr>
          <w:i/>
          <w:color w:val="A6A6A6" w:themeColor="background1" w:themeShade="A6"/>
          <w:szCs w:val="22"/>
        </w:rPr>
        <w:t>PLE are based on the idea that learning will take place in different contexts and situations and will not be provided by a single learning provider</w:t>
      </w:r>
      <w:r>
        <w:rPr>
          <w:i/>
          <w:color w:val="A6A6A6" w:themeColor="background1" w:themeShade="A6"/>
          <w:szCs w:val="22"/>
        </w:rPr>
        <w:t xml:space="preserve">” </w:t>
      </w:r>
      <w:r w:rsidR="00BD2010">
        <w:rPr>
          <w:i/>
          <w:color w:val="A6A6A6" w:themeColor="background1" w:themeShade="A6"/>
          <w:szCs w:val="22"/>
        </w:rPr>
        <w:fldChar w:fldCharType="begin" w:fldLock="1"/>
      </w:r>
      <w:r w:rsidR="00686B44">
        <w:rPr>
          <w:i/>
          <w:color w:val="A6A6A6" w:themeColor="background1" w:themeShade="A6"/>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Pr>
          <w:i/>
          <w:color w:val="A6A6A6" w:themeColor="background1" w:themeShade="A6"/>
          <w:szCs w:val="22"/>
        </w:rPr>
        <w:fldChar w:fldCharType="separate"/>
      </w:r>
      <w:r w:rsidR="00BD2010" w:rsidRPr="00BD2010">
        <w:rPr>
          <w:noProof/>
          <w:color w:val="A6A6A6" w:themeColor="background1" w:themeShade="A6"/>
          <w:szCs w:val="22"/>
        </w:rPr>
        <w:t>(Attwell, 2007)</w:t>
      </w:r>
      <w:r w:rsidR="00BD2010">
        <w:rPr>
          <w:i/>
          <w:color w:val="A6A6A6" w:themeColor="background1" w:themeShade="A6"/>
          <w:szCs w:val="22"/>
        </w:rPr>
        <w:fldChar w:fldCharType="end"/>
      </w:r>
      <w:r w:rsidR="00BD2010">
        <w:rPr>
          <w:i/>
          <w:color w:val="A6A6A6" w:themeColor="background1" w:themeShade="A6"/>
          <w:szCs w:val="22"/>
        </w:rPr>
        <w:t>.</w:t>
      </w:r>
    </w:p>
    <w:p w14:paraId="6C97AC3D" w14:textId="632FC459" w:rsidR="0002144D" w:rsidRPr="00656192" w:rsidRDefault="0002144D" w:rsidP="0002144D">
      <w:pPr>
        <w:spacing w:after="0"/>
        <w:jc w:val="left"/>
        <w:divId w:val="849956341"/>
        <w:rPr>
          <w:rFonts w:eastAsia="Times New Roman" w:cs="Times New Roman"/>
          <w:i/>
          <w:color w:val="A6A6A6" w:themeColor="background1" w:themeShade="A6"/>
          <w:szCs w:val="22"/>
          <w:shd w:val="clear" w:color="auto" w:fill="FFFFFF"/>
          <w:lang w:eastAsia="en-US"/>
        </w:rPr>
      </w:pPr>
      <w:r w:rsidRPr="00656192">
        <w:rPr>
          <w:i/>
          <w:color w:val="A6A6A6" w:themeColor="background1" w:themeShade="A6"/>
          <w:szCs w:val="22"/>
        </w:rPr>
        <w:t>Aggregation</w:t>
      </w:r>
      <w:r>
        <w:rPr>
          <w:i/>
          <w:color w:val="A6A6A6" w:themeColor="background1" w:themeShade="A6"/>
          <w:szCs w:val="22"/>
        </w:rPr>
        <w:t xml:space="preserve">: </w:t>
      </w:r>
      <w:r>
        <w:rPr>
          <w:rFonts w:eastAsia="Times New Roman" w:cs="Times New Roman"/>
          <w:i/>
          <w:color w:val="A6A6A6" w:themeColor="background1" w:themeShade="A6"/>
          <w:szCs w:val="22"/>
          <w:shd w:val="clear" w:color="auto" w:fill="FFFFFF"/>
          <w:lang w:eastAsia="en-US"/>
        </w:rPr>
        <w:t>“T</w:t>
      </w:r>
      <w:r w:rsidRPr="00656192">
        <w:rPr>
          <w:rFonts w:eastAsia="Times New Roman" w:cs="Times New Roman"/>
          <w:i/>
          <w:color w:val="A6A6A6" w:themeColor="background1" w:themeShade="A6"/>
          <w:szCs w:val="22"/>
          <w:shd w:val="clear" w:color="auto" w:fill="FFFFFF"/>
          <w:lang w:eastAsia="en-US"/>
        </w:rPr>
        <w:t>echnically, they are a hub for contents and contacts related to the learning experience of a single person. They can be composed by both desktop and web applications, with every piece of software supporting the user in a particular task</w:t>
      </w:r>
      <w:r>
        <w:rPr>
          <w:rFonts w:eastAsia="Times New Roman" w:cs="Times New Roman"/>
          <w:i/>
          <w:color w:val="A6A6A6" w:themeColor="background1" w:themeShade="A6"/>
          <w:szCs w:val="22"/>
          <w:shd w:val="clear" w:color="auto" w:fill="FFFFFF"/>
          <w:lang w:eastAsia="en-US"/>
        </w:rPr>
        <w:t xml:space="preserve">” </w:t>
      </w:r>
      <w:r>
        <w:rPr>
          <w:rFonts w:eastAsia="Times New Roman" w:cs="Times New Roman"/>
          <w:i/>
          <w:color w:val="A6A6A6" w:themeColor="background1" w:themeShade="A6"/>
          <w:szCs w:val="22"/>
          <w:shd w:val="clear" w:color="auto" w:fill="FFFFFF"/>
          <w:lang w:eastAsia="en-US"/>
        </w:rPr>
        <w:fldChar w:fldCharType="begin" w:fldLock="1"/>
      </w:r>
      <w:r w:rsidR="00686B44">
        <w:rPr>
          <w:rFonts w:eastAsia="Times New Roman" w:cs="Times New Roman"/>
          <w:i/>
          <w:color w:val="A6A6A6" w:themeColor="background1" w:themeShade="A6"/>
          <w:szCs w:val="22"/>
          <w:shd w:val="clear" w:color="auto" w:fill="FFFFFF"/>
          <w:lang w:eastAsia="en-US"/>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Pr>
          <w:rFonts w:eastAsia="Times New Roman" w:cs="Times New Roman"/>
          <w:i/>
          <w:color w:val="A6A6A6" w:themeColor="background1" w:themeShade="A6"/>
          <w:szCs w:val="22"/>
          <w:shd w:val="clear" w:color="auto" w:fill="FFFFFF"/>
          <w:lang w:eastAsia="en-US"/>
        </w:rPr>
        <w:fldChar w:fldCharType="separate"/>
      </w:r>
      <w:r w:rsidRPr="0002144D">
        <w:rPr>
          <w:rFonts w:eastAsia="Times New Roman" w:cs="Times New Roman"/>
          <w:noProof/>
          <w:color w:val="A6A6A6" w:themeColor="background1" w:themeShade="A6"/>
          <w:szCs w:val="22"/>
          <w:shd w:val="clear" w:color="auto" w:fill="FFFFFF"/>
          <w:lang w:eastAsia="en-US"/>
        </w:rPr>
        <w:t>(Attwell, 2007)</w:t>
      </w:r>
      <w:r>
        <w:rPr>
          <w:rFonts w:eastAsia="Times New Roman" w:cs="Times New Roman"/>
          <w:i/>
          <w:color w:val="A6A6A6" w:themeColor="background1" w:themeShade="A6"/>
          <w:szCs w:val="22"/>
          <w:shd w:val="clear" w:color="auto" w:fill="FFFFFF"/>
          <w:lang w:eastAsia="en-US"/>
        </w:rPr>
        <w:fldChar w:fldCharType="end"/>
      </w:r>
    </w:p>
    <w:p w14:paraId="2968AA50" w14:textId="6F9F6629" w:rsidR="0002144D" w:rsidRDefault="002A1478" w:rsidP="0002144D">
      <w:pPr>
        <w:spacing w:after="0"/>
        <w:jc w:val="left"/>
        <w:divId w:val="849956341"/>
        <w:rPr>
          <w:i/>
          <w:color w:val="A6A6A6" w:themeColor="background1" w:themeShade="A6"/>
          <w:szCs w:val="22"/>
        </w:rPr>
      </w:pPr>
      <w:r>
        <w:rPr>
          <w:i/>
          <w:color w:val="A6A6A6" w:themeColor="background1" w:themeShade="A6"/>
          <w:szCs w:val="22"/>
        </w:rPr>
        <w:t>Identity</w:t>
      </w:r>
    </w:p>
    <w:p w14:paraId="511F2456" w14:textId="4B52D151"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Motivation</w:t>
      </w:r>
    </w:p>
    <w:p w14:paraId="1CCEF9D3" w14:textId="62DD83EA"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Flow</w:t>
      </w:r>
    </w:p>
    <w:p w14:paraId="4334FD12" w14:textId="671A82D2"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Embodiment</w:t>
      </w:r>
    </w:p>
    <w:p w14:paraId="6F1D55C8" w14:textId="2A294CD7"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Ownership</w:t>
      </w:r>
    </w:p>
    <w:p w14:paraId="5370D1B1" w14:textId="76F80A93"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Control</w:t>
      </w:r>
    </w:p>
    <w:p w14:paraId="0D75B045" w14:textId="2612679D"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Literacy</w:t>
      </w:r>
    </w:p>
    <w:p w14:paraId="24BA9C7F" w14:textId="2B1DC3B5"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Autonomy</w:t>
      </w:r>
    </w:p>
    <w:p w14:paraId="2FE9D025" w14:textId="172B10E0"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Empowerment</w:t>
      </w:r>
    </w:p>
    <w:p w14:paraId="37E2E9AB" w14:textId="485FB694"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Relationship between ownership and collaboration</w:t>
      </w:r>
    </w:p>
    <w:p w14:paraId="7F1991D2" w14:textId="56271FF2" w:rsidR="002A1478" w:rsidRDefault="002A1478" w:rsidP="0002144D">
      <w:pPr>
        <w:spacing w:after="0"/>
        <w:jc w:val="left"/>
        <w:divId w:val="849956341"/>
        <w:rPr>
          <w:i/>
          <w:color w:val="A6A6A6" w:themeColor="background1" w:themeShade="A6"/>
          <w:szCs w:val="22"/>
        </w:rPr>
      </w:pPr>
      <w:proofErr w:type="spellStart"/>
      <w:r>
        <w:rPr>
          <w:i/>
          <w:color w:val="A6A6A6" w:themeColor="background1" w:themeShade="A6"/>
          <w:szCs w:val="22"/>
        </w:rPr>
        <w:t>Conn</w:t>
      </w:r>
      <w:bookmarkStart w:id="1" w:name="_GoBack"/>
      <w:bookmarkEnd w:id="1"/>
      <w:r>
        <w:rPr>
          <w:i/>
          <w:color w:val="A6A6A6" w:themeColor="background1" w:themeShade="A6"/>
          <w:szCs w:val="22"/>
        </w:rPr>
        <w:t>ectivism</w:t>
      </w:r>
      <w:proofErr w:type="spellEnd"/>
    </w:p>
    <w:p w14:paraId="12FC15D6" w14:textId="2C7DC09E"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Social Constructionism</w:t>
      </w:r>
    </w:p>
    <w:p w14:paraId="4D074F65" w14:textId="77777777" w:rsidR="002A1478" w:rsidRDefault="002A1478" w:rsidP="0002144D">
      <w:pPr>
        <w:spacing w:after="0"/>
        <w:jc w:val="left"/>
        <w:divId w:val="849956341"/>
        <w:rPr>
          <w:i/>
          <w:color w:val="A6A6A6" w:themeColor="background1" w:themeShade="A6"/>
          <w:szCs w:val="22"/>
        </w:rPr>
      </w:pPr>
    </w:p>
    <w:p w14:paraId="70E37159" w14:textId="6F41D036" w:rsidR="00BD2010" w:rsidRDefault="00BD2010" w:rsidP="00BD2010">
      <w:pPr>
        <w:pStyle w:val="NormalWeb"/>
        <w:ind w:left="480" w:hanging="480"/>
        <w:divId w:val="849956341"/>
        <w:rPr>
          <w:i/>
          <w:color w:val="A6A6A6" w:themeColor="background1" w:themeShade="A6"/>
          <w:szCs w:val="22"/>
        </w:rPr>
      </w:pPr>
      <w:r>
        <w:rPr>
          <w:i/>
          <w:color w:val="A6A6A6" w:themeColor="background1" w:themeShade="A6"/>
          <w:szCs w:val="22"/>
        </w:rPr>
        <w:fldChar w:fldCharType="begin" w:fldLock="1"/>
      </w:r>
      <w:r>
        <w:rPr>
          <w:i/>
          <w:color w:val="A6A6A6" w:themeColor="background1" w:themeShade="A6"/>
          <w:szCs w:val="22"/>
        </w:rPr>
        <w:fldChar w:fldCharType="separate"/>
      </w:r>
      <w:r>
        <w:rPr>
          <w:i/>
          <w:noProof/>
          <w:color w:val="A6A6A6" w:themeColor="background1" w:themeShade="A6"/>
          <w:szCs w:val="22"/>
        </w:rPr>
        <w:t>{Formatting Citation}</w:t>
      </w:r>
      <w:r>
        <w:rPr>
          <w:i/>
          <w:color w:val="A6A6A6" w:themeColor="background1" w:themeShade="A6"/>
          <w:szCs w:val="22"/>
        </w:rPr>
        <w:fldChar w:fldCharType="end"/>
      </w:r>
    </w:p>
    <w:p w14:paraId="12FF863B" w14:textId="796D95C8" w:rsidR="001C2437" w:rsidRDefault="001B4B1D" w:rsidP="0074204C">
      <w:pPr>
        <w:spacing w:after="0"/>
        <w:jc w:val="left"/>
        <w:rPr>
          <w:i/>
          <w:color w:val="A6A6A6" w:themeColor="background1" w:themeShade="A6"/>
          <w:szCs w:val="22"/>
        </w:rPr>
      </w:pPr>
      <w:r>
        <w:rPr>
          <w:i/>
          <w:color w:val="A6A6A6" w:themeColor="background1" w:themeShade="A6"/>
          <w:szCs w:val="22"/>
        </w:rPr>
        <w:t xml:space="preserve">. </w:t>
      </w:r>
    </w:p>
    <w:p w14:paraId="30F89E34" w14:textId="77777777" w:rsidR="001C2437" w:rsidRPr="00656192" w:rsidRDefault="001C2437" w:rsidP="001C2437">
      <w:pPr>
        <w:rPr>
          <w:i/>
          <w:color w:val="A6A6A6" w:themeColor="background1" w:themeShade="A6"/>
          <w:szCs w:val="22"/>
        </w:rPr>
      </w:pPr>
      <w:r w:rsidRPr="00656192">
        <w:rPr>
          <w:i/>
          <w:color w:val="A6A6A6" w:themeColor="background1" w:themeShade="A6"/>
          <w:szCs w:val="22"/>
        </w:rPr>
        <w:t xml:space="preserve">PLE is an aggregation of digital artefacts and Web 2.0 tools, reflecting individual student’s learning needs and ways of learning, which helps to manage and centralize contents of their own learning experiences. </w:t>
      </w:r>
    </w:p>
    <w:p w14:paraId="6FCD45B8" w14:textId="77777777" w:rsidR="001C2437" w:rsidRPr="00656192" w:rsidRDefault="001C2437" w:rsidP="0074204C">
      <w:pPr>
        <w:spacing w:after="0"/>
        <w:jc w:val="left"/>
        <w:rPr>
          <w:i/>
          <w:color w:val="A6A6A6" w:themeColor="background1" w:themeShade="A6"/>
          <w:szCs w:val="22"/>
        </w:rPr>
      </w:pPr>
    </w:p>
    <w:p w14:paraId="090B9A6A" w14:textId="43F39B0C" w:rsidR="00B242F4" w:rsidRPr="00656192" w:rsidRDefault="00B242F4" w:rsidP="00B242F4">
      <w:pPr>
        <w:rPr>
          <w:i/>
          <w:color w:val="FF0000"/>
          <w:szCs w:val="22"/>
        </w:rPr>
      </w:pPr>
      <w:r w:rsidRPr="00656192">
        <w:rPr>
          <w:i/>
          <w:color w:val="FF0000"/>
          <w:szCs w:val="22"/>
        </w:rPr>
        <w:t>--</w:t>
      </w:r>
      <w:proofErr w:type="spellStart"/>
      <w:r w:rsidRPr="00656192">
        <w:rPr>
          <w:i/>
          <w:color w:val="FF0000"/>
          <w:szCs w:val="22"/>
        </w:rPr>
        <w:t>Listar</w:t>
      </w:r>
      <w:proofErr w:type="spellEnd"/>
      <w:r w:rsidRPr="00656192">
        <w:rPr>
          <w:i/>
          <w:color w:val="FF0000"/>
          <w:szCs w:val="22"/>
        </w:rPr>
        <w:t xml:space="preserve"> Core concepts do PLE </w:t>
      </w:r>
      <w:proofErr w:type="spellStart"/>
      <w:r w:rsidRPr="00656192">
        <w:rPr>
          <w:i/>
          <w:color w:val="FF0000"/>
          <w:szCs w:val="22"/>
        </w:rPr>
        <w:t>estudados</w:t>
      </w:r>
      <w:proofErr w:type="spellEnd"/>
      <w:r w:rsidRPr="00656192">
        <w:rPr>
          <w:i/>
          <w:color w:val="FF0000"/>
          <w:szCs w:val="22"/>
        </w:rPr>
        <w:t xml:space="preserve"> no IDEL—</w:t>
      </w:r>
    </w:p>
    <w:p w14:paraId="4939DA0E" w14:textId="77777777" w:rsidR="00921CCB" w:rsidRPr="00656192" w:rsidRDefault="00921CCB" w:rsidP="00D81EDC">
      <w:pPr>
        <w:spacing w:after="0"/>
        <w:jc w:val="left"/>
        <w:rPr>
          <w:rFonts w:eastAsia="Times New Roman" w:cs="Times New Roman"/>
          <w:i/>
          <w:color w:val="000000"/>
          <w:szCs w:val="22"/>
          <w:shd w:val="clear" w:color="auto" w:fill="FFFFFF"/>
          <w:lang w:eastAsia="en-US"/>
        </w:rPr>
      </w:pPr>
    </w:p>
    <w:p w14:paraId="4911F560" w14:textId="521021CA" w:rsidR="00CD0285" w:rsidRDefault="00CD0285">
      <w:pPr>
        <w:rPr>
          <w:i/>
          <w:color w:val="FF0000"/>
        </w:rPr>
      </w:pPr>
      <w:r w:rsidRPr="00656192">
        <w:rPr>
          <w:i/>
          <w:color w:val="FF0000"/>
        </w:rPr>
        <w:t xml:space="preserve">--Link entre o </w:t>
      </w:r>
      <w:proofErr w:type="spellStart"/>
      <w:r w:rsidRPr="00656192">
        <w:rPr>
          <w:i/>
          <w:color w:val="FF0000"/>
        </w:rPr>
        <w:t>conceito</w:t>
      </w:r>
      <w:proofErr w:type="spellEnd"/>
      <w:r w:rsidRPr="00656192">
        <w:rPr>
          <w:i/>
          <w:color w:val="FF0000"/>
        </w:rPr>
        <w:t xml:space="preserve"> de PLE e o OLPC –</w:t>
      </w:r>
    </w:p>
    <w:p w14:paraId="62129BF4" w14:textId="314D4F8C" w:rsidR="00862A8E" w:rsidRPr="00656192" w:rsidRDefault="00862A8E" w:rsidP="00862A8E">
      <w:pPr>
        <w:pStyle w:val="Heading1"/>
        <w:numPr>
          <w:ilvl w:val="0"/>
          <w:numId w:val="2"/>
        </w:numPr>
        <w:rPr>
          <w:lang w:eastAsia="en-US"/>
        </w:rPr>
      </w:pPr>
      <w:r>
        <w:rPr>
          <w:lang w:eastAsia="en-US"/>
        </w:rPr>
        <w:t xml:space="preserve">Foundations of the OLPC project </w:t>
      </w: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t xml:space="preserve">Even if OLPC has been criticized for its ineffectiveness in enhancing the learning experience of the children involved in the various deployments around the world (Fox </w:t>
      </w:r>
      <w:proofErr w:type="spellStart"/>
      <w:r w:rsidRPr="00A02ED3">
        <w:rPr>
          <w:i/>
          <w:color w:val="A6A6A6" w:themeColor="background1" w:themeShade="A6"/>
        </w:rPr>
        <w:t>Buchele</w:t>
      </w:r>
      <w:proofErr w:type="spellEnd"/>
      <w:r w:rsidRPr="00A02ED3">
        <w:rPr>
          <w:i/>
          <w:color w:val="A6A6A6" w:themeColor="background1" w:themeShade="A6"/>
        </w:rPr>
        <w:t>, 2007), the fact that a possibility of building a PLE was given to those children is still there.</w:t>
      </w:r>
    </w:p>
    <w:p w14:paraId="5243750D" w14:textId="646B29DE" w:rsidR="00124EA3" w:rsidRPr="00A02ED3" w:rsidRDefault="00686B44">
      <w:pPr>
        <w:rPr>
          <w:i/>
          <w:color w:val="A6A6A6" w:themeColor="background1" w:themeShade="A6"/>
        </w:rPr>
      </w:pPr>
      <w:r w:rsidRPr="00A02ED3">
        <w:rPr>
          <w:i/>
          <w:color w:val="A6A6A6" w:themeColor="background1" w:themeShade="A6"/>
        </w:rPr>
        <w:lastRenderedPageBreak/>
        <w:t xml:space="preserve">“The development of ubiquitous computing may offer new opportunities for the use of ICT for learning” </w:t>
      </w:r>
      <w:r w:rsidRPr="00A02ED3">
        <w:rPr>
          <w:i/>
          <w:color w:val="A6A6A6" w:themeColor="background1" w:themeShade="A6"/>
        </w:rPr>
        <w:fldChar w:fldCharType="begin" w:fldLock="1"/>
      </w:r>
      <w:r w:rsidRPr="00A02ED3">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Pr="00A02ED3">
        <w:rPr>
          <w:i/>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P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sectPr w:rsidR="00862A8E" w:rsidRPr="00862A8E"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2144D"/>
    <w:rsid w:val="0002516A"/>
    <w:rsid w:val="00037952"/>
    <w:rsid w:val="000444B3"/>
    <w:rsid w:val="00045BDC"/>
    <w:rsid w:val="000662FC"/>
    <w:rsid w:val="00095BD6"/>
    <w:rsid w:val="000B0FB3"/>
    <w:rsid w:val="000B3007"/>
    <w:rsid w:val="000D5B34"/>
    <w:rsid w:val="000D67DE"/>
    <w:rsid w:val="000E21BC"/>
    <w:rsid w:val="000E33CB"/>
    <w:rsid w:val="000E6E99"/>
    <w:rsid w:val="000E7AE3"/>
    <w:rsid w:val="00124EA3"/>
    <w:rsid w:val="00133AF9"/>
    <w:rsid w:val="00144188"/>
    <w:rsid w:val="001455D6"/>
    <w:rsid w:val="001842F7"/>
    <w:rsid w:val="001A4636"/>
    <w:rsid w:val="001B4B1D"/>
    <w:rsid w:val="001C0104"/>
    <w:rsid w:val="001C2437"/>
    <w:rsid w:val="001D3860"/>
    <w:rsid w:val="001D4DD7"/>
    <w:rsid w:val="001E0A4C"/>
    <w:rsid w:val="00201DBF"/>
    <w:rsid w:val="00222EC8"/>
    <w:rsid w:val="00272F50"/>
    <w:rsid w:val="00274212"/>
    <w:rsid w:val="00275F99"/>
    <w:rsid w:val="002844DB"/>
    <w:rsid w:val="002A1478"/>
    <w:rsid w:val="002D1061"/>
    <w:rsid w:val="002D1FA1"/>
    <w:rsid w:val="002E219A"/>
    <w:rsid w:val="002E62D0"/>
    <w:rsid w:val="002E6A6F"/>
    <w:rsid w:val="002F3515"/>
    <w:rsid w:val="00303ACB"/>
    <w:rsid w:val="00377BAB"/>
    <w:rsid w:val="00382459"/>
    <w:rsid w:val="00443230"/>
    <w:rsid w:val="00463B04"/>
    <w:rsid w:val="00476726"/>
    <w:rsid w:val="00477F22"/>
    <w:rsid w:val="004857A7"/>
    <w:rsid w:val="004B2E16"/>
    <w:rsid w:val="004C7EF2"/>
    <w:rsid w:val="005029EB"/>
    <w:rsid w:val="00504E24"/>
    <w:rsid w:val="00532EDA"/>
    <w:rsid w:val="00553402"/>
    <w:rsid w:val="00555BBA"/>
    <w:rsid w:val="00566C13"/>
    <w:rsid w:val="00567A5A"/>
    <w:rsid w:val="005829A0"/>
    <w:rsid w:val="005831F5"/>
    <w:rsid w:val="005A1089"/>
    <w:rsid w:val="005B2E02"/>
    <w:rsid w:val="005C0971"/>
    <w:rsid w:val="005C6C8B"/>
    <w:rsid w:val="005D4D94"/>
    <w:rsid w:val="005E2A64"/>
    <w:rsid w:val="005E4292"/>
    <w:rsid w:val="005F61C3"/>
    <w:rsid w:val="00647861"/>
    <w:rsid w:val="00652970"/>
    <w:rsid w:val="00656192"/>
    <w:rsid w:val="00661824"/>
    <w:rsid w:val="00663676"/>
    <w:rsid w:val="00680348"/>
    <w:rsid w:val="00686B44"/>
    <w:rsid w:val="00695181"/>
    <w:rsid w:val="006A4831"/>
    <w:rsid w:val="006A71CA"/>
    <w:rsid w:val="006B0F02"/>
    <w:rsid w:val="006B594D"/>
    <w:rsid w:val="006C7B5A"/>
    <w:rsid w:val="006D4570"/>
    <w:rsid w:val="006E0EFC"/>
    <w:rsid w:val="00712D11"/>
    <w:rsid w:val="00717B29"/>
    <w:rsid w:val="00727BE8"/>
    <w:rsid w:val="0073456C"/>
    <w:rsid w:val="0074204C"/>
    <w:rsid w:val="00750B93"/>
    <w:rsid w:val="007517A2"/>
    <w:rsid w:val="00782A2D"/>
    <w:rsid w:val="00785075"/>
    <w:rsid w:val="0079037C"/>
    <w:rsid w:val="0079560A"/>
    <w:rsid w:val="007A1F9E"/>
    <w:rsid w:val="007A2A67"/>
    <w:rsid w:val="007B4E4D"/>
    <w:rsid w:val="007C6A3D"/>
    <w:rsid w:val="007E5E0F"/>
    <w:rsid w:val="007F6D7A"/>
    <w:rsid w:val="00804DE5"/>
    <w:rsid w:val="00810311"/>
    <w:rsid w:val="00827696"/>
    <w:rsid w:val="008504B6"/>
    <w:rsid w:val="00862A8E"/>
    <w:rsid w:val="008717A4"/>
    <w:rsid w:val="0087495E"/>
    <w:rsid w:val="008801C8"/>
    <w:rsid w:val="00883593"/>
    <w:rsid w:val="008930AA"/>
    <w:rsid w:val="008A1ACF"/>
    <w:rsid w:val="008A3B0A"/>
    <w:rsid w:val="008D7E82"/>
    <w:rsid w:val="008E7A5E"/>
    <w:rsid w:val="0090258E"/>
    <w:rsid w:val="009059C3"/>
    <w:rsid w:val="00921CCB"/>
    <w:rsid w:val="00923F15"/>
    <w:rsid w:val="00963EC8"/>
    <w:rsid w:val="00967042"/>
    <w:rsid w:val="00983B72"/>
    <w:rsid w:val="009A2164"/>
    <w:rsid w:val="009B240C"/>
    <w:rsid w:val="009B7C27"/>
    <w:rsid w:val="009E1A3B"/>
    <w:rsid w:val="009F510D"/>
    <w:rsid w:val="00A02716"/>
    <w:rsid w:val="00A02ED3"/>
    <w:rsid w:val="00A108E7"/>
    <w:rsid w:val="00A16B29"/>
    <w:rsid w:val="00A22450"/>
    <w:rsid w:val="00A228F5"/>
    <w:rsid w:val="00A31DDA"/>
    <w:rsid w:val="00A32E3C"/>
    <w:rsid w:val="00A46267"/>
    <w:rsid w:val="00A53CE4"/>
    <w:rsid w:val="00A93A1E"/>
    <w:rsid w:val="00A965A5"/>
    <w:rsid w:val="00AA5A9D"/>
    <w:rsid w:val="00AB3951"/>
    <w:rsid w:val="00AD2E8A"/>
    <w:rsid w:val="00AE125F"/>
    <w:rsid w:val="00AF71E6"/>
    <w:rsid w:val="00B242F4"/>
    <w:rsid w:val="00B5341E"/>
    <w:rsid w:val="00B6211A"/>
    <w:rsid w:val="00B74C26"/>
    <w:rsid w:val="00BA4336"/>
    <w:rsid w:val="00BA6C7C"/>
    <w:rsid w:val="00BC54B9"/>
    <w:rsid w:val="00BD2010"/>
    <w:rsid w:val="00BF47A2"/>
    <w:rsid w:val="00BF567A"/>
    <w:rsid w:val="00C032B8"/>
    <w:rsid w:val="00C32F10"/>
    <w:rsid w:val="00C62258"/>
    <w:rsid w:val="00C63757"/>
    <w:rsid w:val="00C67AD1"/>
    <w:rsid w:val="00CD0285"/>
    <w:rsid w:val="00CE0089"/>
    <w:rsid w:val="00CF235C"/>
    <w:rsid w:val="00D14F5F"/>
    <w:rsid w:val="00D22ED9"/>
    <w:rsid w:val="00D81EDC"/>
    <w:rsid w:val="00D84659"/>
    <w:rsid w:val="00DA34C8"/>
    <w:rsid w:val="00DB0798"/>
    <w:rsid w:val="00DD609D"/>
    <w:rsid w:val="00DF5209"/>
    <w:rsid w:val="00DF5AFA"/>
    <w:rsid w:val="00E13032"/>
    <w:rsid w:val="00E16E1A"/>
    <w:rsid w:val="00E26564"/>
    <w:rsid w:val="00E33F77"/>
    <w:rsid w:val="00E4256C"/>
    <w:rsid w:val="00E5792F"/>
    <w:rsid w:val="00EB1C63"/>
    <w:rsid w:val="00EC213F"/>
    <w:rsid w:val="00ED10E7"/>
    <w:rsid w:val="00ED257F"/>
    <w:rsid w:val="00EE0ECA"/>
    <w:rsid w:val="00EE535D"/>
    <w:rsid w:val="00F10121"/>
    <w:rsid w:val="00F32A0B"/>
    <w:rsid w:val="00F54005"/>
    <w:rsid w:val="00FA7989"/>
    <w:rsid w:val="00FC2800"/>
    <w:rsid w:val="00FE5834"/>
    <w:rsid w:val="00FE7AB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4</Pages>
  <Words>2492</Words>
  <Characters>14208</Characters>
  <Application>Microsoft Macintosh Word</Application>
  <DocSecurity>0</DocSecurity>
  <Lines>118</Lines>
  <Paragraphs>33</Paragraphs>
  <ScaleCrop>false</ScaleCrop>
  <Company>NZ AId - CBP </Company>
  <LinksUpToDate>false</LinksUpToDate>
  <CharactersWithSpaces>16667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91</cp:revision>
  <cp:lastPrinted>2013-05-30T14:56:00Z</cp:lastPrinted>
  <dcterms:created xsi:type="dcterms:W3CDTF">2013-05-27T15:50:00Z</dcterms:created>
  <dcterms:modified xsi:type="dcterms:W3CDTF">2013-06-01T13:32:00Z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ies>
</file>