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Default="00A32E3C" w:rsidP="00567A5A">
      <w:pPr>
        <w:rPr>
          <w:color w:val="FF0000"/>
        </w:rPr>
      </w:pPr>
      <w:proofErr w:type="gramStart"/>
      <w:r>
        <w:rPr>
          <w:b/>
          <w:u w:val="single"/>
        </w:rPr>
        <w:t>e</w:t>
      </w:r>
      <w:r w:rsidR="00382459" w:rsidRPr="006D4570">
        <w:rPr>
          <w:b/>
          <w:u w:val="single"/>
        </w:rPr>
        <w:t>xamine</w:t>
      </w:r>
      <w:proofErr w:type="gramEnd"/>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1"/>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lastRenderedPageBreak/>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36419C" w:rsidRDefault="0036419C" w:rsidP="0036419C">
      <w:pPr>
        <w:pStyle w:val="ListParagraph"/>
        <w:ind w:left="0"/>
        <w:rPr>
          <w:i/>
          <w:color w:val="FF0000"/>
          <w:szCs w:val="22"/>
        </w:rPr>
      </w:pPr>
      <w:r w:rsidRPr="0036419C">
        <w:rPr>
          <w:i/>
          <w:color w:val="FF0000"/>
          <w:szCs w:val="22"/>
        </w:rPr>
        <w:t>--</w:t>
      </w:r>
      <w:proofErr w:type="spellStart"/>
      <w:r w:rsidRPr="0036419C">
        <w:rPr>
          <w:i/>
          <w:color w:val="FF0000"/>
          <w:szCs w:val="22"/>
        </w:rPr>
        <w:t>Listar</w:t>
      </w:r>
      <w:proofErr w:type="spellEnd"/>
      <w:r w:rsidRPr="0036419C">
        <w:rPr>
          <w:i/>
          <w:color w:val="FF0000"/>
          <w:szCs w:val="22"/>
        </w:rPr>
        <w:t xml:space="preserve"> Core concepts do PLE </w:t>
      </w:r>
      <w:proofErr w:type="spellStart"/>
      <w:r w:rsidRPr="0036419C">
        <w:rPr>
          <w:i/>
          <w:color w:val="FF0000"/>
          <w:szCs w:val="22"/>
        </w:rPr>
        <w:t>estudados</w:t>
      </w:r>
      <w:proofErr w:type="spellEnd"/>
      <w:r w:rsidRPr="0036419C">
        <w:rPr>
          <w:i/>
          <w:color w:val="FF0000"/>
          <w:szCs w:val="22"/>
        </w:rPr>
        <w:t xml:space="preserve"> no IDEL—</w:t>
      </w:r>
    </w:p>
    <w:p w14:paraId="68A30196" w14:textId="6F31C378"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2"/>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316FD5">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 xml:space="preserve">Lifelong Learning: </w:t>
      </w:r>
      <w:r w:rsidR="00BF49F2" w:rsidRPr="00BF49F2">
        <w:rPr>
          <w:i/>
          <w:color w:val="0000FF"/>
          <w:szCs w:val="22"/>
        </w:rPr>
        <w:lastRenderedPageBreak/>
        <w:t>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316FD5">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2727ECD3" w:rsidR="00F728A1" w:rsidRPr="00F728A1"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F728A1">
        <w:rPr>
          <w:rFonts w:asciiTheme="majorHAnsi" w:hAnsiTheme="majorHAnsi" w:cstheme="minorBidi"/>
          <w:i/>
          <w:color w:val="0000FF"/>
          <w:sz w:val="22"/>
          <w:szCs w:val="22"/>
          <w:lang w:eastAsia="ja-JP"/>
        </w:rPr>
        <w:t>…</w:t>
      </w:r>
      <w:proofErr w:type="gramStart"/>
      <w:r w:rsidRPr="00F728A1">
        <w:rPr>
          <w:rFonts w:asciiTheme="majorHAnsi" w:hAnsiTheme="majorHAnsi" w:cstheme="minorBidi"/>
          <w:i/>
          <w:color w:val="0000FF"/>
          <w:sz w:val="22"/>
          <w:szCs w:val="22"/>
          <w:lang w:eastAsia="ja-JP"/>
        </w:rPr>
        <w:t>not</w:t>
      </w:r>
      <w:proofErr w:type="gramEnd"/>
      <w:r w:rsidRPr="00F728A1">
        <w:rPr>
          <w:rFonts w:asciiTheme="majorHAnsi" w:hAnsiTheme="majorHAnsi" w:cstheme="minorBidi"/>
          <w:i/>
          <w:color w:val="0000FF"/>
          <w:sz w:val="22"/>
          <w:szCs w:val="22"/>
          <w:lang w:eastAsia="ja-JP"/>
        </w:rPr>
        <w:t xml:space="preserve"> an institutional or corporate application, but a personal learning </w:t>
      </w:r>
      <w:proofErr w:type="spellStart"/>
      <w:r w:rsidRPr="00F728A1">
        <w:rPr>
          <w:rFonts w:asciiTheme="majorHAnsi" w:hAnsiTheme="majorHAnsi" w:cstheme="minorBidi"/>
          <w:i/>
          <w:color w:val="0000FF"/>
          <w:sz w:val="22"/>
          <w:szCs w:val="22"/>
          <w:lang w:eastAsia="ja-JP"/>
        </w:rPr>
        <w:t>center</w:t>
      </w:r>
      <w:proofErr w:type="spellEnd"/>
      <w:r w:rsidRPr="00F728A1">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728A1">
        <w:rPr>
          <w:rFonts w:asciiTheme="majorHAnsi" w:hAnsiTheme="majorHAnsi" w:cstheme="minorBidi"/>
          <w:i/>
          <w:color w:val="0000FF"/>
          <w:lang w:eastAsia="ja-JP"/>
        </w:rPr>
        <w:t xml:space="preserve">. </w:t>
      </w:r>
      <w:r w:rsidRPr="00F728A1">
        <w:rPr>
          <w:rFonts w:asciiTheme="majorHAnsi" w:hAnsiTheme="majorHAnsi" w:cstheme="minorBidi"/>
          <w:i/>
          <w:color w:val="0000FF"/>
          <w:sz w:val="22"/>
          <w:szCs w:val="22"/>
          <w:lang w:eastAsia="ja-JP"/>
        </w:rPr>
        <w:t>The idea here is that students will have their own personal place to create and showcase their own work.</w:t>
      </w:r>
      <w:r w:rsidR="001B7A90">
        <w:rPr>
          <w:rFonts w:asciiTheme="majorHAnsi" w:hAnsiTheme="majorHAnsi" w:cstheme="minorBidi"/>
          <w:i/>
          <w:color w:val="0000FF"/>
          <w:sz w:val="22"/>
          <w:szCs w:val="22"/>
          <w:lang w:eastAsia="ja-JP"/>
        </w:rPr>
        <w:t xml:space="preserve"> </w:t>
      </w:r>
      <w:r>
        <w:rPr>
          <w:rFonts w:asciiTheme="majorHAnsi" w:hAnsiTheme="majorHAnsi" w:cstheme="minorBidi"/>
          <w:i/>
          <w:color w:val="0000FF"/>
          <w:sz w:val="22"/>
          <w:szCs w:val="22"/>
          <w:lang w:eastAsia="ja-JP"/>
        </w:rPr>
        <w:fldChar w:fldCharType="begin" w:fldLock="1"/>
      </w:r>
      <w:r w:rsidR="00316FD5">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Pr>
          <w:rFonts w:asciiTheme="majorHAnsi" w:hAnsiTheme="majorHAnsi" w:cstheme="minorBidi"/>
          <w:i/>
          <w:color w:val="0000FF"/>
          <w:sz w:val="22"/>
          <w:szCs w:val="22"/>
          <w:lang w:eastAsia="ja-JP"/>
        </w:rPr>
        <w:fldChar w:fldCharType="separate"/>
      </w:r>
      <w:r w:rsidR="00FB409B" w:rsidRPr="00FB409B">
        <w:rPr>
          <w:rFonts w:asciiTheme="majorHAnsi" w:hAnsiTheme="majorHAnsi" w:cstheme="minorBidi"/>
          <w:noProof/>
          <w:color w:val="0000FF"/>
          <w:sz w:val="22"/>
          <w:szCs w:val="22"/>
          <w:lang w:eastAsia="ja-JP"/>
        </w:rPr>
        <w:t>(Downes 2005)</w:t>
      </w:r>
      <w:r>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3AC14953"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316FD5">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4918C11B"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316FD5">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3C3F4728"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316FD5">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13E4388D"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316FD5">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3F34F29B"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316FD5">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04281176"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241F45" w:rsidRPr="00C41808">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w:t>
      </w:r>
      <w:r w:rsidR="008B30D4" w:rsidRPr="00C83785">
        <w:rPr>
          <w:i/>
          <w:color w:val="0000FF"/>
          <w:szCs w:val="22"/>
        </w:rPr>
        <w:t xml:space="preserve">underlying the use of the opportunities offered by technology to enrich </w:t>
      </w:r>
      <w:r w:rsidR="008B30D4" w:rsidRPr="00C83785">
        <w:rPr>
          <w:i/>
          <w:color w:val="0000FF"/>
          <w:szCs w:val="22"/>
        </w:rPr>
        <w:t xml:space="preserve">formal and informal </w:t>
      </w:r>
      <w:r w:rsidR="008B30D4" w:rsidRPr="00C83785">
        <w:rPr>
          <w:i/>
          <w:color w:val="0000FF"/>
          <w:szCs w:val="22"/>
        </w:rPr>
        <w:t>learning</w:t>
      </w:r>
      <w:r w:rsidR="008B30D4" w:rsidRPr="00C83785">
        <w:rPr>
          <w:i/>
          <w:color w:val="0000FF"/>
          <w:szCs w:val="22"/>
        </w:rPr>
        <w:t xml:space="preserve">. </w:t>
      </w:r>
      <w:r w:rsidR="00C83785" w:rsidRPr="0036419C">
        <w:rPr>
          <w:i/>
          <w:color w:val="FF0000"/>
          <w:szCs w:val="22"/>
        </w:rPr>
        <w:t xml:space="preserve">Siemens (2005) has formulated the principles of </w:t>
      </w:r>
      <w:proofErr w:type="spellStart"/>
      <w:r w:rsidR="00C83785" w:rsidRPr="0036419C">
        <w:rPr>
          <w:i/>
          <w:color w:val="FF0000"/>
          <w:szCs w:val="22"/>
        </w:rPr>
        <w:t>connectivism</w:t>
      </w:r>
      <w:proofErr w:type="spellEnd"/>
      <w:r w:rsidR="00C83785" w:rsidRPr="0036419C">
        <w:rPr>
          <w:i/>
          <w:color w:val="FF0000"/>
          <w:szCs w:val="22"/>
        </w:rPr>
        <w:t xml:space="preserve"> briefly:</w:t>
      </w:r>
      <w:r w:rsidR="00C83785" w:rsidRPr="0036419C">
        <w:rPr>
          <w:i/>
          <w:color w:val="FF0000"/>
          <w:szCs w:val="22"/>
        </w:rPr>
        <w:t xml:space="preserve"> (</w:t>
      </w:r>
      <w:proofErr w:type="spellStart"/>
      <w:r w:rsidR="00C83785" w:rsidRPr="0036419C">
        <w:rPr>
          <w:i/>
          <w:color w:val="FF0000"/>
          <w:szCs w:val="22"/>
        </w:rPr>
        <w:t>i</w:t>
      </w:r>
      <w:proofErr w:type="spellEnd"/>
      <w:r w:rsidR="00C83785" w:rsidRPr="0036419C">
        <w:rPr>
          <w:i/>
          <w:color w:val="FF0000"/>
          <w:szCs w:val="22"/>
        </w:rPr>
        <w:t xml:space="preserve">) </w:t>
      </w:r>
      <w:r w:rsidR="00C83785" w:rsidRPr="0036419C">
        <w:rPr>
          <w:i/>
          <w:color w:val="FF0000"/>
          <w:szCs w:val="22"/>
        </w:rPr>
        <w:t>Learning and knowledge depend on the diversity of opinions.</w:t>
      </w:r>
      <w:r w:rsidR="00C83785" w:rsidRPr="0036419C">
        <w:rPr>
          <w:i/>
          <w:color w:val="FF0000"/>
          <w:szCs w:val="22"/>
        </w:rPr>
        <w:t xml:space="preserve"> (ii)</w:t>
      </w:r>
      <w:r w:rsidR="00C83785" w:rsidRPr="0036419C">
        <w:rPr>
          <w:i/>
          <w:color w:val="FF0000"/>
          <w:szCs w:val="22"/>
        </w:rPr>
        <w:t xml:space="preserve"> Learning is a process of connecting nodes or specialized information sources.</w:t>
      </w:r>
      <w:r w:rsidR="00C83785" w:rsidRPr="0036419C">
        <w:rPr>
          <w:i/>
          <w:color w:val="FF0000"/>
          <w:szCs w:val="22"/>
        </w:rPr>
        <w:t xml:space="preserve"> (iii) </w:t>
      </w:r>
      <w:r w:rsidR="00C83785" w:rsidRPr="0036419C">
        <w:rPr>
          <w:i/>
          <w:color w:val="FF0000"/>
          <w:szCs w:val="22"/>
        </w:rPr>
        <w:t>Learning may reside in non-human.</w:t>
      </w:r>
      <w:r w:rsidR="00C83785" w:rsidRPr="0036419C">
        <w:rPr>
          <w:i/>
          <w:color w:val="FF0000"/>
          <w:szCs w:val="22"/>
        </w:rPr>
        <w:t xml:space="preserve"> </w:t>
      </w:r>
      <w:proofErr w:type="gramStart"/>
      <w:r w:rsidR="00C83785" w:rsidRPr="0036419C">
        <w:rPr>
          <w:i/>
          <w:color w:val="FF0000"/>
          <w:szCs w:val="22"/>
        </w:rPr>
        <w:t>(iv)</w:t>
      </w:r>
      <w:r w:rsidR="00C83785" w:rsidRPr="0036419C">
        <w:rPr>
          <w:i/>
          <w:color w:val="FF0000"/>
          <w:szCs w:val="22"/>
        </w:rPr>
        <w:t xml:space="preserve"> The</w:t>
      </w:r>
      <w:proofErr w:type="gramEnd"/>
      <w:r w:rsidR="00C83785" w:rsidRPr="0036419C">
        <w:rPr>
          <w:i/>
          <w:color w:val="FF0000"/>
          <w:szCs w:val="22"/>
        </w:rPr>
        <w:t xml:space="preserve"> ability to know more is more critical than what we know at any given time.</w:t>
      </w:r>
      <w:r w:rsidR="00C83785" w:rsidRPr="0036419C">
        <w:rPr>
          <w:i/>
          <w:color w:val="FF0000"/>
          <w:szCs w:val="22"/>
        </w:rPr>
        <w:t xml:space="preserve"> (v)</w:t>
      </w:r>
      <w:r w:rsidR="00C83785" w:rsidRPr="0036419C">
        <w:rPr>
          <w:i/>
          <w:color w:val="FF0000"/>
          <w:szCs w:val="22"/>
        </w:rPr>
        <w:t xml:space="preserve"> Feeding and maintaining connections is needed to facilitate continual learning.</w:t>
      </w:r>
      <w:r w:rsidR="00C83785" w:rsidRPr="0036419C">
        <w:rPr>
          <w:i/>
          <w:color w:val="FF0000"/>
          <w:szCs w:val="22"/>
        </w:rPr>
        <w:t xml:space="preserve"> </w:t>
      </w:r>
      <w:proofErr w:type="gramStart"/>
      <w:r w:rsidR="00C83785" w:rsidRPr="0036419C">
        <w:rPr>
          <w:i/>
          <w:color w:val="FF0000"/>
          <w:szCs w:val="22"/>
        </w:rPr>
        <w:t>(vi)</w:t>
      </w:r>
      <w:r w:rsidR="00C83785" w:rsidRPr="0036419C">
        <w:rPr>
          <w:i/>
          <w:color w:val="FF0000"/>
          <w:szCs w:val="22"/>
        </w:rPr>
        <w:t xml:space="preserve"> The</w:t>
      </w:r>
      <w:proofErr w:type="gramEnd"/>
      <w:r w:rsidR="00C83785" w:rsidRPr="0036419C">
        <w:rPr>
          <w:i/>
          <w:color w:val="FF0000"/>
          <w:szCs w:val="22"/>
        </w:rPr>
        <w:t xml:space="preserve"> ability to see connections between fields, ideas and concepts is a key skill.</w:t>
      </w:r>
      <w:r w:rsidR="00C83785" w:rsidRPr="0036419C">
        <w:rPr>
          <w:i/>
          <w:color w:val="FF0000"/>
          <w:szCs w:val="22"/>
        </w:rPr>
        <w:t xml:space="preserve"> (vii) </w:t>
      </w:r>
      <w:r w:rsidR="00C83785" w:rsidRPr="0036419C">
        <w:rPr>
          <w:i/>
          <w:color w:val="FF0000"/>
          <w:szCs w:val="22"/>
        </w:rPr>
        <w:t xml:space="preserve">The update (current and precise knowledge) is the intent of all </w:t>
      </w:r>
      <w:proofErr w:type="spellStart"/>
      <w:proofErr w:type="gramStart"/>
      <w:r w:rsidR="00C83785" w:rsidRPr="0036419C">
        <w:rPr>
          <w:i/>
          <w:color w:val="FF0000"/>
          <w:szCs w:val="22"/>
        </w:rPr>
        <w:t>connectivist</w:t>
      </w:r>
      <w:proofErr w:type="spellEnd"/>
      <w:r w:rsidR="00C83785" w:rsidRPr="0036419C">
        <w:rPr>
          <w:i/>
          <w:color w:val="FF0000"/>
          <w:szCs w:val="22"/>
        </w:rPr>
        <w:t xml:space="preserve"> learning</w:t>
      </w:r>
      <w:proofErr w:type="gramEnd"/>
      <w:r w:rsidR="00C83785" w:rsidRPr="0036419C">
        <w:rPr>
          <w:i/>
          <w:color w:val="FF0000"/>
          <w:szCs w:val="22"/>
        </w:rPr>
        <w:t xml:space="preserve"> activities.</w:t>
      </w:r>
      <w:r w:rsidR="00C83785" w:rsidRPr="0036419C">
        <w:rPr>
          <w:i/>
          <w:color w:val="FF0000"/>
          <w:szCs w:val="22"/>
        </w:rPr>
        <w:t xml:space="preserve"> (viii) </w:t>
      </w:r>
      <w:r w:rsidR="00C83785" w:rsidRPr="0036419C">
        <w:rPr>
          <w:i/>
          <w:color w:val="FF0000"/>
          <w:szCs w:val="22"/>
        </w:rPr>
        <w:t xml:space="preserve">Decision-making is itself a learning </w:t>
      </w:r>
      <w:proofErr w:type="spellStart"/>
      <w:proofErr w:type="gramStart"/>
      <w:r w:rsidR="00C83785" w:rsidRPr="0036419C">
        <w:rPr>
          <w:i/>
          <w:color w:val="FF0000"/>
          <w:szCs w:val="22"/>
        </w:rPr>
        <w:t>process.The</w:t>
      </w:r>
      <w:proofErr w:type="spellEnd"/>
      <w:proofErr w:type="gramEnd"/>
      <w:r w:rsidR="00C83785" w:rsidRPr="0036419C">
        <w:rPr>
          <w:i/>
          <w:color w:val="FF0000"/>
          <w:szCs w:val="22"/>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Pr>
          <w:i/>
          <w:color w:val="FF0000"/>
          <w:szCs w:val="22"/>
        </w:rPr>
        <w:t xml:space="preserve"> </w:t>
      </w:r>
      <w:r w:rsidR="0036419C" w:rsidRPr="00E07626">
        <w:rPr>
          <w:i/>
          <w:color w:val="A6A6A6" w:themeColor="background1" w:themeShade="A6"/>
          <w:szCs w:val="22"/>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1076E09F" w14:textId="77777777" w:rsidR="00C137C5" w:rsidRPr="00432A7A" w:rsidRDefault="00C137C5" w:rsidP="0002144D">
      <w:pPr>
        <w:spacing w:after="0"/>
        <w:jc w:val="left"/>
        <w:divId w:val="849956341"/>
        <w:rPr>
          <w:i/>
          <w:color w:val="0000FF"/>
          <w:szCs w:val="22"/>
        </w:rPr>
      </w:pP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bookmarkStart w:id="1" w:name="_GoBack"/>
      <w:bookmarkEnd w:id="1"/>
    </w:p>
    <w:p w14:paraId="4911F560" w14:textId="521021CA" w:rsidR="00CD0285" w:rsidRDefault="00CD0285">
      <w:pPr>
        <w:rPr>
          <w:i/>
          <w:color w:val="FF0000"/>
        </w:rPr>
      </w:pPr>
      <w:r w:rsidRPr="00656192">
        <w:rPr>
          <w:i/>
          <w:color w:val="FF0000"/>
        </w:rPr>
        <w:t xml:space="preserve">--Link entre o </w:t>
      </w:r>
      <w:proofErr w:type="spellStart"/>
      <w:r w:rsidRPr="00656192">
        <w:rPr>
          <w:i/>
          <w:color w:val="FF0000"/>
        </w:rPr>
        <w:t>conceito</w:t>
      </w:r>
      <w:proofErr w:type="spellEnd"/>
      <w:r w:rsidRPr="00656192">
        <w:rPr>
          <w:i/>
          <w:color w:val="FF0000"/>
        </w:rPr>
        <w:t xml:space="preserve"> de PLE e o OLPC –</w:t>
      </w:r>
    </w:p>
    <w:p w14:paraId="62129BF4" w14:textId="314D4F8C" w:rsidR="00862A8E" w:rsidRPr="00656192" w:rsidRDefault="00862A8E" w:rsidP="00862A8E">
      <w:pPr>
        <w:pStyle w:val="Heading1"/>
        <w:numPr>
          <w:ilvl w:val="0"/>
          <w:numId w:val="2"/>
        </w:numPr>
        <w:rPr>
          <w:lang w:eastAsia="en-US"/>
        </w:rPr>
      </w:pPr>
      <w:r>
        <w:rPr>
          <w:lang w:eastAsia="en-US"/>
        </w:rPr>
        <w:t xml:space="preserve">Foundations of the OLPC project </w:t>
      </w: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lastRenderedPageBreak/>
        <w:t xml:space="preserve">Even if OLPC has been criticized for its ineffectiveness in enhancing the learning experience of the children involved in the various deployments around the world (Fox </w:t>
      </w:r>
      <w:proofErr w:type="spellStart"/>
      <w:r w:rsidRPr="00A02ED3">
        <w:rPr>
          <w:i/>
          <w:color w:val="A6A6A6" w:themeColor="background1" w:themeShade="A6"/>
        </w:rPr>
        <w:t>Buchele</w:t>
      </w:r>
      <w:proofErr w:type="spellEnd"/>
      <w:r w:rsidRPr="00A02ED3">
        <w:rPr>
          <w:i/>
          <w:color w:val="A6A6A6" w:themeColor="background1" w:themeShade="A6"/>
        </w:rPr>
        <w:t>, 2007), the fact that a possibility of building a PLE was given to those children is still there.</w:t>
      </w:r>
    </w:p>
    <w:p w14:paraId="5243750D" w14:textId="1CCE6618"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00316FD5">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00FB409B" w:rsidRPr="00FB409B">
        <w:rPr>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503416">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97785C" w:rsidRDefault="0097785C" w:rsidP="006E4BDE">
      <w:pPr>
        <w:spacing w:after="0"/>
      </w:pPr>
      <w:r>
        <w:separator/>
      </w:r>
    </w:p>
  </w:endnote>
  <w:endnote w:type="continuationSeparator" w:id="0">
    <w:p w14:paraId="7A63CDA5" w14:textId="77777777" w:rsidR="0097785C" w:rsidRDefault="0097785C"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97785C" w:rsidRDefault="0097785C" w:rsidP="006E4BDE">
      <w:pPr>
        <w:spacing w:after="0"/>
      </w:pPr>
      <w:r>
        <w:separator/>
      </w:r>
    </w:p>
  </w:footnote>
  <w:footnote w:type="continuationSeparator" w:id="0">
    <w:p w14:paraId="52FBE23F" w14:textId="77777777" w:rsidR="0097785C" w:rsidRDefault="0097785C" w:rsidP="006E4BDE">
      <w:pPr>
        <w:spacing w:after="0"/>
      </w:pPr>
      <w:r>
        <w:continuationSeparator/>
      </w:r>
    </w:p>
  </w:footnote>
  <w:footnote w:id="1">
    <w:p w14:paraId="5D3FE2D3" w14:textId="20C57F60" w:rsidR="0097785C" w:rsidRPr="002F0202" w:rsidRDefault="0097785C" w:rsidP="002F0202">
      <w:pPr>
        <w:rPr>
          <w:rFonts w:ascii="Times" w:eastAsia="Times New Roman" w:hAnsi="Times" w:cs="Times New Roman"/>
          <w:sz w:val="20"/>
          <w:szCs w:val="20"/>
          <w:lang w:eastAsia="en-US"/>
        </w:rPr>
      </w:pPr>
      <w:r>
        <w:rPr>
          <w:rStyle w:val="FootnoteReference"/>
        </w:rPr>
        <w:footnoteRef/>
      </w:r>
      <w:r>
        <w:t xml:space="preserve"> </w:t>
      </w:r>
      <w:r w:rsidRPr="00FC7DFB">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FC7DFB">
        <w:rPr>
          <w:sz w:val="16"/>
          <w:szCs w:val="16"/>
          <w:lang w:val="en-US"/>
        </w:rPr>
        <w:t>etc</w:t>
      </w:r>
      <w:proofErr w:type="spellEnd"/>
      <w:r w:rsidRPr="00FC7DFB">
        <w:rPr>
          <w:sz w:val="16"/>
          <w:szCs w:val="16"/>
          <w:lang w:val="en-US"/>
        </w:rPr>
        <w:t xml:space="preserve">), social networking sites, blogs, wikis and </w:t>
      </w:r>
      <w:proofErr w:type="spellStart"/>
      <w:r w:rsidRPr="00FC7DFB">
        <w:rPr>
          <w:sz w:val="16"/>
          <w:szCs w:val="16"/>
          <w:lang w:val="en-US"/>
        </w:rPr>
        <w:t>mashups</w:t>
      </w:r>
      <w:proofErr w:type="spellEnd"/>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Pr>
          <w:sz w:val="16"/>
          <w:szCs w:val="16"/>
          <w:lang w:val="en-US"/>
        </w:rPr>
        <w:fldChar w:fldCharType="separate"/>
      </w:r>
      <w:r w:rsidRPr="003619DC">
        <w:rPr>
          <w:noProof/>
          <w:sz w:val="16"/>
          <w:szCs w:val="16"/>
          <w:lang w:val="en-US"/>
        </w:rPr>
        <w:t>(Wikipedia n.d.)</w:t>
      </w:r>
      <w:r>
        <w:rPr>
          <w:sz w:val="16"/>
          <w:szCs w:val="16"/>
          <w:lang w:val="en-US"/>
        </w:rPr>
        <w:fldChar w:fldCharType="end"/>
      </w:r>
      <w:r>
        <w:rPr>
          <w:sz w:val="16"/>
          <w:szCs w:val="16"/>
          <w:lang w:val="en-US"/>
        </w:rPr>
        <w:t>.</w:t>
      </w:r>
    </w:p>
    <w:p w14:paraId="4D741098" w14:textId="2EBAB670" w:rsidR="0097785C" w:rsidRPr="002F0202" w:rsidRDefault="0097785C">
      <w:pPr>
        <w:pStyle w:val="FootnoteText"/>
        <w:rPr>
          <w:lang w:val="en-US"/>
        </w:rPr>
      </w:pPr>
    </w:p>
  </w:footnote>
  <w:footnote w:id="2">
    <w:p w14:paraId="66DC588F" w14:textId="51E2D4A6" w:rsidR="0097785C" w:rsidRPr="006E4BDE" w:rsidRDefault="0097785C">
      <w:pPr>
        <w:pStyle w:val="FootnoteText"/>
        <w:rPr>
          <w:sz w:val="16"/>
          <w:szCs w:val="16"/>
          <w:lang w:val="en-US"/>
        </w:rPr>
      </w:pPr>
      <w:r w:rsidRPr="006E4BDE">
        <w:rPr>
          <w:rStyle w:val="FootnoteReference"/>
          <w:sz w:val="16"/>
          <w:szCs w:val="16"/>
        </w:rPr>
        <w:footnoteRef/>
      </w:r>
      <w:r w:rsidRPr="006E4BDE">
        <w:rPr>
          <w:sz w:val="16"/>
          <w:szCs w:val="16"/>
        </w:rPr>
        <w:t xml:space="preserve"> </w:t>
      </w:r>
      <w:r w:rsidRPr="006E4BDE">
        <w:rPr>
          <w:sz w:val="16"/>
          <w:szCs w:val="16"/>
          <w:lang w:val="en-US"/>
        </w:rPr>
        <w:t>Virtual Learning Environment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2144D"/>
    <w:rsid w:val="0002516A"/>
    <w:rsid w:val="00025DAE"/>
    <w:rsid w:val="00037952"/>
    <w:rsid w:val="000444B3"/>
    <w:rsid w:val="00045BDC"/>
    <w:rsid w:val="0006268B"/>
    <w:rsid w:val="000662FC"/>
    <w:rsid w:val="00095BD6"/>
    <w:rsid w:val="000B0FB3"/>
    <w:rsid w:val="000B3007"/>
    <w:rsid w:val="000B5908"/>
    <w:rsid w:val="000D5B34"/>
    <w:rsid w:val="000D67DE"/>
    <w:rsid w:val="000E21BC"/>
    <w:rsid w:val="000E33CB"/>
    <w:rsid w:val="000E3E9C"/>
    <w:rsid w:val="000E6E99"/>
    <w:rsid w:val="000E71FC"/>
    <w:rsid w:val="000E7AE3"/>
    <w:rsid w:val="00112A89"/>
    <w:rsid w:val="00116087"/>
    <w:rsid w:val="00124EA3"/>
    <w:rsid w:val="001303CF"/>
    <w:rsid w:val="00133AF9"/>
    <w:rsid w:val="00144188"/>
    <w:rsid w:val="001455D6"/>
    <w:rsid w:val="001714C2"/>
    <w:rsid w:val="001842F7"/>
    <w:rsid w:val="00184998"/>
    <w:rsid w:val="001A4636"/>
    <w:rsid w:val="001B1945"/>
    <w:rsid w:val="001B30BE"/>
    <w:rsid w:val="001B4B1D"/>
    <w:rsid w:val="001B7A90"/>
    <w:rsid w:val="001C0104"/>
    <w:rsid w:val="001C2437"/>
    <w:rsid w:val="001D3860"/>
    <w:rsid w:val="001D4DD7"/>
    <w:rsid w:val="001D68BA"/>
    <w:rsid w:val="001E0A4C"/>
    <w:rsid w:val="00200C0A"/>
    <w:rsid w:val="00201DBF"/>
    <w:rsid w:val="00211E3B"/>
    <w:rsid w:val="00221CFF"/>
    <w:rsid w:val="00222EC8"/>
    <w:rsid w:val="00241F45"/>
    <w:rsid w:val="00270AD3"/>
    <w:rsid w:val="00272F50"/>
    <w:rsid w:val="00274212"/>
    <w:rsid w:val="00275F99"/>
    <w:rsid w:val="00281D71"/>
    <w:rsid w:val="002844DB"/>
    <w:rsid w:val="002A1478"/>
    <w:rsid w:val="002B5EC5"/>
    <w:rsid w:val="002C2609"/>
    <w:rsid w:val="002D1061"/>
    <w:rsid w:val="002D1FA1"/>
    <w:rsid w:val="002E219A"/>
    <w:rsid w:val="002E62D0"/>
    <w:rsid w:val="002E6A6F"/>
    <w:rsid w:val="002F0202"/>
    <w:rsid w:val="002F2055"/>
    <w:rsid w:val="002F3515"/>
    <w:rsid w:val="00303ACB"/>
    <w:rsid w:val="00304B24"/>
    <w:rsid w:val="00312788"/>
    <w:rsid w:val="00316FD5"/>
    <w:rsid w:val="00356C6C"/>
    <w:rsid w:val="003619DC"/>
    <w:rsid w:val="0036419C"/>
    <w:rsid w:val="003700ED"/>
    <w:rsid w:val="00377BAB"/>
    <w:rsid w:val="00382459"/>
    <w:rsid w:val="003A07B3"/>
    <w:rsid w:val="003A22F1"/>
    <w:rsid w:val="003A57B1"/>
    <w:rsid w:val="003B0681"/>
    <w:rsid w:val="003F0F18"/>
    <w:rsid w:val="003F6947"/>
    <w:rsid w:val="00432A7A"/>
    <w:rsid w:val="00443230"/>
    <w:rsid w:val="004620CD"/>
    <w:rsid w:val="00463B04"/>
    <w:rsid w:val="00467F11"/>
    <w:rsid w:val="004750E6"/>
    <w:rsid w:val="00475F96"/>
    <w:rsid w:val="00476726"/>
    <w:rsid w:val="00477F22"/>
    <w:rsid w:val="004857A7"/>
    <w:rsid w:val="004B0450"/>
    <w:rsid w:val="004B2E16"/>
    <w:rsid w:val="004C7EF2"/>
    <w:rsid w:val="004E0E15"/>
    <w:rsid w:val="004E70D4"/>
    <w:rsid w:val="004F33EA"/>
    <w:rsid w:val="005029EB"/>
    <w:rsid w:val="00503416"/>
    <w:rsid w:val="00504E24"/>
    <w:rsid w:val="00505E07"/>
    <w:rsid w:val="00513D09"/>
    <w:rsid w:val="00532EDA"/>
    <w:rsid w:val="00553402"/>
    <w:rsid w:val="00555BBA"/>
    <w:rsid w:val="005663ED"/>
    <w:rsid w:val="00566C13"/>
    <w:rsid w:val="00567A5A"/>
    <w:rsid w:val="005829A0"/>
    <w:rsid w:val="005831F5"/>
    <w:rsid w:val="005A1089"/>
    <w:rsid w:val="005A686B"/>
    <w:rsid w:val="005B2E02"/>
    <w:rsid w:val="005B5AAE"/>
    <w:rsid w:val="005B7C95"/>
    <w:rsid w:val="005C0971"/>
    <w:rsid w:val="005C6C8B"/>
    <w:rsid w:val="005D4D94"/>
    <w:rsid w:val="005D6310"/>
    <w:rsid w:val="005E2A64"/>
    <w:rsid w:val="005E4292"/>
    <w:rsid w:val="005E4796"/>
    <w:rsid w:val="005F61C3"/>
    <w:rsid w:val="00647861"/>
    <w:rsid w:val="00652970"/>
    <w:rsid w:val="00656192"/>
    <w:rsid w:val="00661824"/>
    <w:rsid w:val="00663676"/>
    <w:rsid w:val="00680348"/>
    <w:rsid w:val="006867F2"/>
    <w:rsid w:val="00686B44"/>
    <w:rsid w:val="00695181"/>
    <w:rsid w:val="006A12C5"/>
    <w:rsid w:val="006A4831"/>
    <w:rsid w:val="006A71CA"/>
    <w:rsid w:val="006B0F02"/>
    <w:rsid w:val="006B594D"/>
    <w:rsid w:val="006C7B5A"/>
    <w:rsid w:val="006D4570"/>
    <w:rsid w:val="006E0EFC"/>
    <w:rsid w:val="006E4BDE"/>
    <w:rsid w:val="006E5240"/>
    <w:rsid w:val="00702908"/>
    <w:rsid w:val="00712D11"/>
    <w:rsid w:val="00717B29"/>
    <w:rsid w:val="00727BE8"/>
    <w:rsid w:val="00731EE4"/>
    <w:rsid w:val="0073456C"/>
    <w:rsid w:val="00740892"/>
    <w:rsid w:val="0074204C"/>
    <w:rsid w:val="00750B93"/>
    <w:rsid w:val="007517A2"/>
    <w:rsid w:val="00767136"/>
    <w:rsid w:val="007679C1"/>
    <w:rsid w:val="0077002C"/>
    <w:rsid w:val="0077559F"/>
    <w:rsid w:val="00782A2D"/>
    <w:rsid w:val="00785075"/>
    <w:rsid w:val="0079037C"/>
    <w:rsid w:val="0079560A"/>
    <w:rsid w:val="007A1F9E"/>
    <w:rsid w:val="007A2A67"/>
    <w:rsid w:val="007B4E4D"/>
    <w:rsid w:val="007C162B"/>
    <w:rsid w:val="007C6A3D"/>
    <w:rsid w:val="007E5E0F"/>
    <w:rsid w:val="007F6D7A"/>
    <w:rsid w:val="0080341C"/>
    <w:rsid w:val="00804DE5"/>
    <w:rsid w:val="00810311"/>
    <w:rsid w:val="00816DA5"/>
    <w:rsid w:val="00827696"/>
    <w:rsid w:val="008314FF"/>
    <w:rsid w:val="008504B6"/>
    <w:rsid w:val="00853EC7"/>
    <w:rsid w:val="00854C5B"/>
    <w:rsid w:val="00861ABF"/>
    <w:rsid w:val="00862A8E"/>
    <w:rsid w:val="008717A4"/>
    <w:rsid w:val="0087495E"/>
    <w:rsid w:val="008801C8"/>
    <w:rsid w:val="00882B7D"/>
    <w:rsid w:val="00883593"/>
    <w:rsid w:val="00886F33"/>
    <w:rsid w:val="008930AA"/>
    <w:rsid w:val="00894878"/>
    <w:rsid w:val="008A1ACF"/>
    <w:rsid w:val="008A3B0A"/>
    <w:rsid w:val="008B30D4"/>
    <w:rsid w:val="008D7E82"/>
    <w:rsid w:val="008E20EB"/>
    <w:rsid w:val="008E7A5E"/>
    <w:rsid w:val="0090258E"/>
    <w:rsid w:val="009059C3"/>
    <w:rsid w:val="00921CCB"/>
    <w:rsid w:val="00923F15"/>
    <w:rsid w:val="0092701E"/>
    <w:rsid w:val="00940E81"/>
    <w:rsid w:val="00963EC8"/>
    <w:rsid w:val="00967042"/>
    <w:rsid w:val="0097785C"/>
    <w:rsid w:val="00983B72"/>
    <w:rsid w:val="009A2164"/>
    <w:rsid w:val="009A3281"/>
    <w:rsid w:val="009B240C"/>
    <w:rsid w:val="009B7C27"/>
    <w:rsid w:val="009E1895"/>
    <w:rsid w:val="009E1A3B"/>
    <w:rsid w:val="009F510D"/>
    <w:rsid w:val="00A02716"/>
    <w:rsid w:val="00A02ED3"/>
    <w:rsid w:val="00A046E7"/>
    <w:rsid w:val="00A05706"/>
    <w:rsid w:val="00A108E7"/>
    <w:rsid w:val="00A16B29"/>
    <w:rsid w:val="00A22450"/>
    <w:rsid w:val="00A228F5"/>
    <w:rsid w:val="00A31DDA"/>
    <w:rsid w:val="00A32E3C"/>
    <w:rsid w:val="00A42AC5"/>
    <w:rsid w:val="00A46267"/>
    <w:rsid w:val="00A53CE4"/>
    <w:rsid w:val="00A93A1E"/>
    <w:rsid w:val="00A965A5"/>
    <w:rsid w:val="00AA5A9D"/>
    <w:rsid w:val="00AB3951"/>
    <w:rsid w:val="00AD2E8A"/>
    <w:rsid w:val="00AE125F"/>
    <w:rsid w:val="00AE4530"/>
    <w:rsid w:val="00AF3900"/>
    <w:rsid w:val="00AF71E6"/>
    <w:rsid w:val="00B0116D"/>
    <w:rsid w:val="00B242F4"/>
    <w:rsid w:val="00B31FA7"/>
    <w:rsid w:val="00B33829"/>
    <w:rsid w:val="00B40D60"/>
    <w:rsid w:val="00B5341E"/>
    <w:rsid w:val="00B578B4"/>
    <w:rsid w:val="00B6211A"/>
    <w:rsid w:val="00B74C26"/>
    <w:rsid w:val="00BA4336"/>
    <w:rsid w:val="00BA6C7C"/>
    <w:rsid w:val="00BC54B9"/>
    <w:rsid w:val="00BD2010"/>
    <w:rsid w:val="00BF47A2"/>
    <w:rsid w:val="00BF49F2"/>
    <w:rsid w:val="00BF567A"/>
    <w:rsid w:val="00C032B8"/>
    <w:rsid w:val="00C137C5"/>
    <w:rsid w:val="00C2165B"/>
    <w:rsid w:val="00C24175"/>
    <w:rsid w:val="00C32F10"/>
    <w:rsid w:val="00C41808"/>
    <w:rsid w:val="00C45CC5"/>
    <w:rsid w:val="00C60775"/>
    <w:rsid w:val="00C62258"/>
    <w:rsid w:val="00C63757"/>
    <w:rsid w:val="00C67AD1"/>
    <w:rsid w:val="00C83785"/>
    <w:rsid w:val="00C97D02"/>
    <w:rsid w:val="00CA4D85"/>
    <w:rsid w:val="00CC5756"/>
    <w:rsid w:val="00CD0285"/>
    <w:rsid w:val="00CD1B86"/>
    <w:rsid w:val="00CD590A"/>
    <w:rsid w:val="00CE0089"/>
    <w:rsid w:val="00CE0D4D"/>
    <w:rsid w:val="00CE7527"/>
    <w:rsid w:val="00CF071C"/>
    <w:rsid w:val="00CF235C"/>
    <w:rsid w:val="00CF26D6"/>
    <w:rsid w:val="00D071EB"/>
    <w:rsid w:val="00D14F5F"/>
    <w:rsid w:val="00D22578"/>
    <w:rsid w:val="00D22ED9"/>
    <w:rsid w:val="00D23290"/>
    <w:rsid w:val="00D32390"/>
    <w:rsid w:val="00D74E2F"/>
    <w:rsid w:val="00D81EDC"/>
    <w:rsid w:val="00D84659"/>
    <w:rsid w:val="00DA34C8"/>
    <w:rsid w:val="00DB0798"/>
    <w:rsid w:val="00DB3D9F"/>
    <w:rsid w:val="00DC10BA"/>
    <w:rsid w:val="00DD3D6E"/>
    <w:rsid w:val="00DD609D"/>
    <w:rsid w:val="00DE654D"/>
    <w:rsid w:val="00DF5209"/>
    <w:rsid w:val="00DF5AFA"/>
    <w:rsid w:val="00E07626"/>
    <w:rsid w:val="00E13032"/>
    <w:rsid w:val="00E16E1A"/>
    <w:rsid w:val="00E249F9"/>
    <w:rsid w:val="00E24AE1"/>
    <w:rsid w:val="00E26564"/>
    <w:rsid w:val="00E33F77"/>
    <w:rsid w:val="00E4256C"/>
    <w:rsid w:val="00E4303C"/>
    <w:rsid w:val="00E5792F"/>
    <w:rsid w:val="00E635A3"/>
    <w:rsid w:val="00EB1C63"/>
    <w:rsid w:val="00EC213F"/>
    <w:rsid w:val="00EC250C"/>
    <w:rsid w:val="00ED10E7"/>
    <w:rsid w:val="00ED257F"/>
    <w:rsid w:val="00ED5887"/>
    <w:rsid w:val="00EE0ECA"/>
    <w:rsid w:val="00EE535D"/>
    <w:rsid w:val="00EE7FBE"/>
    <w:rsid w:val="00EF25DB"/>
    <w:rsid w:val="00F0452B"/>
    <w:rsid w:val="00F04FB6"/>
    <w:rsid w:val="00F10121"/>
    <w:rsid w:val="00F10EC6"/>
    <w:rsid w:val="00F12126"/>
    <w:rsid w:val="00F1249D"/>
    <w:rsid w:val="00F20E8A"/>
    <w:rsid w:val="00F32A0B"/>
    <w:rsid w:val="00F54005"/>
    <w:rsid w:val="00F61287"/>
    <w:rsid w:val="00F728A1"/>
    <w:rsid w:val="00FA7989"/>
    <w:rsid w:val="00FB409B"/>
    <w:rsid w:val="00FB4243"/>
    <w:rsid w:val="00FC2800"/>
    <w:rsid w:val="00FC7DFB"/>
    <w:rsid w:val="00FD3DCB"/>
    <w:rsid w:val="00FE5834"/>
    <w:rsid w:val="00FE7ABD"/>
    <w:rsid w:val="00FF190A"/>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5</Pages>
  <Words>5121</Words>
  <Characters>29194</Characters>
  <Application>Microsoft Macintosh Word</Application>
  <DocSecurity>0</DocSecurity>
  <Lines>243</Lines>
  <Paragraphs>68</Paragraphs>
  <ScaleCrop>false</ScaleCrop>
  <Company>NZ AId - CBP </Company>
  <LinksUpToDate>false</LinksUpToDate>
  <CharactersWithSpaces>34247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167</cp:revision>
  <cp:lastPrinted>2013-05-30T14:56:00Z</cp:lastPrinted>
  <dcterms:created xsi:type="dcterms:W3CDTF">2013-05-27T15:50:00Z</dcterms:created>
  <dcterms:modified xsi:type="dcterms:W3CDTF">2013-06-07T22:20:00Z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