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1.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1.1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1.2 General Recommendations</w:t>
      </w:r>
    </w:p>
    <w:p>
      <w:pPr>
        <w:pStyle w:val="FirstParagraph"/>
      </w:pPr>
      <w:r>
        <w:t xml:space="preserve">Following are general best practices for handling EML dataset metadata:</w:t>
      </w:r>
    </w:p>
    <w:bookmarkStart w:id="18" w:name="metadata-distribution"/>
    <w:p>
      <w:pPr>
        <w:pStyle w:val="Heading3"/>
      </w:pPr>
      <w:r>
        <w:t xml:space="preserve">1.2.1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1.2.2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1.2.3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2.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2.0.1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2.0.2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2.1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2.1.1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2.1.2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2.1.3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2.1.3.1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2.1.3.2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2.1.4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2.2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2.2.1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2.2.2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2.2.3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2.2.4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2.2.5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2.2.6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2.3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2.4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2.5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2.6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2.7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2.7.1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2.7.2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2.8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2.8.1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2.8.2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2.8.3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2.9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2.10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2.10.1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2.10.1.1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2.10.1.2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2.10.2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2.10.3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2.11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2.12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2.13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2.13.1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2.13.2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2.14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2026-09-23T00:41:25Z</dcterms:created>
  <dcterms:modified xsi:type="dcterms:W3CDTF">2026-09-23T00:41:25Z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