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1"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bookmarkEnd w:id="11"/>
    <w:bookmarkStart w:id="23"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2">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3">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4">
        <w:r>
          <w:rPr>
            <w:rStyle w:val="Hyperlink"/>
          </w:rPr>
          <w:t xml:space="preserve">EDI’s first phase of data publishing documentation</w:t>
        </w:r>
      </w:hyperlink>
      <w:r>
        <w:t xml:space="preserve"> </w:t>
      </w:r>
      <w:r>
        <w:t xml:space="preserve">and in the</w:t>
      </w:r>
      <w:r>
        <w:t xml:space="preserve"> </w:t>
      </w:r>
      <w:hyperlink r:id="rId15">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6">
        <w:r>
          <w:rPr>
            <w:rStyle w:val="Hyperlink"/>
          </w:rPr>
          <w:t xml:space="preserve">Processing code</w:t>
        </w:r>
      </w:hyperlink>
    </w:p>
    <w:p>
      <w:pPr>
        <w:pStyle w:val="Compact"/>
        <w:numPr>
          <w:ilvl w:val="0"/>
          <w:numId w:val="1001"/>
        </w:numPr>
      </w:pPr>
      <w:hyperlink r:id="rId17">
        <w:r>
          <w:rPr>
            <w:rStyle w:val="Hyperlink"/>
          </w:rPr>
          <w:t xml:space="preserve">Modeling datasets</w:t>
        </w:r>
      </w:hyperlink>
    </w:p>
    <w:p>
      <w:pPr>
        <w:pStyle w:val="Compact"/>
        <w:numPr>
          <w:ilvl w:val="0"/>
          <w:numId w:val="1001"/>
        </w:numPr>
      </w:pPr>
      <w:hyperlink r:id="rId18">
        <w:r>
          <w:rPr>
            <w:rStyle w:val="Hyperlink"/>
          </w:rPr>
          <w:t xml:space="preserve">Images and documents</w:t>
        </w:r>
      </w:hyperlink>
    </w:p>
    <w:p>
      <w:pPr>
        <w:pStyle w:val="Compact"/>
        <w:numPr>
          <w:ilvl w:val="0"/>
          <w:numId w:val="1001"/>
        </w:numPr>
      </w:pPr>
      <w:hyperlink r:id="rId19">
        <w:r>
          <w:rPr>
            <w:rStyle w:val="Hyperlink"/>
          </w:rPr>
          <w:t xml:space="preserve">Spatial data</w:t>
        </w:r>
      </w:hyperlink>
    </w:p>
    <w:p>
      <w:pPr>
        <w:pStyle w:val="Compact"/>
        <w:numPr>
          <w:ilvl w:val="0"/>
          <w:numId w:val="1001"/>
        </w:numPr>
      </w:pPr>
      <w:hyperlink r:id="rId20">
        <w:r>
          <w:rPr>
            <w:rStyle w:val="Hyperlink"/>
          </w:rPr>
          <w:t xml:space="preserve">Data gathered with small, moving platforms</w:t>
        </w:r>
      </w:hyperlink>
    </w:p>
    <w:p>
      <w:pPr>
        <w:pStyle w:val="Compact"/>
        <w:numPr>
          <w:ilvl w:val="0"/>
          <w:numId w:val="1001"/>
        </w:numPr>
      </w:pPr>
      <w:hyperlink r:id="rId21">
        <w:r>
          <w:rPr>
            <w:rStyle w:val="Hyperlink"/>
          </w:rPr>
          <w:t xml:space="preserve">Provenance and data in other repositories</w:t>
        </w:r>
      </w:hyperlink>
    </w:p>
    <w:p>
      <w:pPr>
        <w:pStyle w:val="Compact"/>
        <w:numPr>
          <w:ilvl w:val="0"/>
          <w:numId w:val="1001"/>
        </w:numPr>
      </w:pPr>
      <w:hyperlink r:id="rId22">
        <w:r>
          <w:rPr>
            <w:rStyle w:val="Hyperlink"/>
          </w:rPr>
          <w:t xml:space="preserve">Very large datasets</w:t>
        </w:r>
      </w:hyperlink>
    </w:p>
    <w:bookmarkEnd w:id="23"/>
    <w:bookmarkStart w:id="56" w:name="code"/>
    <w:p>
      <w:pPr>
        <w:pStyle w:val="Heading1"/>
      </w:pPr>
      <w:r>
        <w:t xml:space="preserve">1. Code</w:t>
      </w:r>
    </w:p>
    <w:p>
      <w:pPr>
        <w:pStyle w:val="FirstParagraph"/>
      </w:pPr>
      <w:r>
        <w:t xml:space="preserve">Contributors: An T. Nguyen, Tim Whiteaker</w:t>
      </w:r>
    </w:p>
    <w:bookmarkStart w:id="28"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4">
        <w:r>
          <w:rPr>
            <w:rStyle w:val="Hyperlink"/>
          </w:rPr>
          <w:t xml:space="preserve">CoMSES Net</w:t>
        </w:r>
      </w:hyperlink>
      <w:r>
        <w:t xml:space="preserve">, which focuses on sharing models related to social and ecological sciences, and</w:t>
      </w:r>
      <w:r>
        <w:t xml:space="preserve"> </w:t>
      </w:r>
      <w:hyperlink r:id="rId25">
        <w:r>
          <w:rPr>
            <w:rStyle w:val="Hyperlink"/>
          </w:rPr>
          <w:t xml:space="preserve">Zenodo</w:t>
        </w:r>
      </w:hyperlink>
      <w:r>
        <w:t xml:space="preserve">, a popular DOI-minting all-purpose repository, that can conveniently archive a specific version of</w:t>
      </w:r>
      <w:r>
        <w:t xml:space="preserve"> </w:t>
      </w:r>
      <w:hyperlink r:id="rId26">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7">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8"/>
    <w:bookmarkStart w:id="48" w:name="recommendations-for-data-packages"/>
    <w:p>
      <w:pPr>
        <w:pStyle w:val="Heading2"/>
      </w:pPr>
      <w:r>
        <w:t xml:space="preserve">1.2 Recommendations for data packages</w:t>
      </w:r>
    </w:p>
    <w:bookmarkStart w:id="30"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29">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0"/>
    <w:bookmarkStart w:id="39"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1">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4"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2">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3">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4"/>
    <w:bookmarkStart w:id="37"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5">
        <w:r>
          <w:rPr>
            <w:rStyle w:val="Hyperlink"/>
          </w:rPr>
          <w:t xml:space="preserve">codemetar example</w:t>
        </w:r>
      </w:hyperlink>
      <w:r>
        <w:t xml:space="preserve"> </w:t>
      </w:r>
      <w:r>
        <w:t xml:space="preserve">and the available</w:t>
      </w:r>
      <w:r>
        <w:t xml:space="preserve"> </w:t>
      </w:r>
      <w:hyperlink r:id="rId36">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7"/>
    <w:bookmarkStart w:id="38"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8"/>
    <w:bookmarkEnd w:id="39"/>
    <w:bookmarkStart w:id="46"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0"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0"/>
    <w:bookmarkStart w:id="42"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1">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2"/>
    <w:bookmarkStart w:id="45" w:name="provone"/>
    <w:p>
      <w:pPr>
        <w:pStyle w:val="Heading4"/>
      </w:pPr>
      <w:r>
        <w:t xml:space="preserve">1.2.3.3 ProvONE</w:t>
      </w:r>
    </w:p>
    <w:p>
      <w:pPr>
        <w:pStyle w:val="FirstParagraph"/>
      </w:pPr>
      <w:hyperlink r:id="rId43">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4">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5"/>
    <w:bookmarkEnd w:id="46"/>
    <w:bookmarkStart w:id="47"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7"/>
    <w:bookmarkEnd w:id="48"/>
    <w:bookmarkStart w:id="55" w:name="resources"/>
    <w:p>
      <w:pPr>
        <w:pStyle w:val="Heading2"/>
      </w:pPr>
      <w:r>
        <w:t xml:space="preserve">1.3 Resources</w:t>
      </w:r>
    </w:p>
    <w:p>
      <w:pPr>
        <w:pStyle w:val="FirstParagraph"/>
      </w:pPr>
      <w:hyperlink r:id="rId49">
        <w:r>
          <w:rPr>
            <w:rStyle w:val="Hyperlink"/>
          </w:rPr>
          <w:t xml:space="preserve">CodeMeta</w:t>
        </w:r>
      </w:hyperlink>
      <w:r>
        <w:t xml:space="preserve"> </w:t>
      </w:r>
      <w:r>
        <w:t xml:space="preserve">website</w:t>
      </w:r>
    </w:p>
    <w:p>
      <w:pPr>
        <w:pStyle w:val="BodyText"/>
      </w:pPr>
      <w:hyperlink r:id="rId50">
        <w:r>
          <w:rPr>
            <w:rStyle w:val="Hyperlink"/>
          </w:rPr>
          <w:t xml:space="preserve">CodeMeta generator</w:t>
        </w:r>
      </w:hyperlink>
      <w:r>
        <w:t xml:space="preserve"> </w:t>
      </w:r>
      <w:r>
        <w:t xml:space="preserve">for creating CodeMeta</w:t>
      </w:r>
    </w:p>
    <w:p>
      <w:pPr>
        <w:pStyle w:val="BodyText"/>
      </w:pPr>
      <w:hyperlink r:id="rId51">
        <w:r>
          <w:rPr>
            <w:rStyle w:val="Hyperlink"/>
          </w:rPr>
          <w:t xml:space="preserve">CodeMeta crosswalks</w:t>
        </w:r>
      </w:hyperlink>
      <w:r>
        <w:t xml:space="preserve"> </w:t>
      </w:r>
      <w:r>
        <w:t xml:space="preserve">for a number of popular software</w:t>
      </w:r>
    </w:p>
    <w:p>
      <w:pPr>
        <w:pStyle w:val="BodyText"/>
      </w:pPr>
      <w:hyperlink r:id="rId36">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2">
        <w:r>
          <w:rPr>
            <w:rStyle w:val="Hyperlink"/>
          </w:rPr>
          <w:t xml:space="preserve">software licenses</w:t>
        </w:r>
      </w:hyperlink>
    </w:p>
    <w:p>
      <w:pPr>
        <w:pStyle w:val="BodyText"/>
      </w:pPr>
      <w:hyperlink r:id="rId29">
        <w:r>
          <w:rPr>
            <w:rStyle w:val="Hyperlink"/>
          </w:rPr>
          <w:t xml:space="preserve">Best practices document to archiving model-based datasets</w:t>
        </w:r>
      </w:hyperlink>
    </w:p>
    <w:p>
      <w:pPr>
        <w:pStyle w:val="BodyText"/>
      </w:pPr>
      <w:hyperlink r:id="rId43">
        <w:r>
          <w:rPr>
            <w:rStyle w:val="Hyperlink"/>
          </w:rPr>
          <w:t xml:space="preserve">ProvONE documentation</w:t>
        </w:r>
      </w:hyperlink>
    </w:p>
    <w:p>
      <w:pPr>
        <w:pStyle w:val="BodyText"/>
      </w:pPr>
      <w:hyperlink r:id="rId53">
        <w:r>
          <w:rPr>
            <w:rStyle w:val="Hyperlink"/>
          </w:rPr>
          <w:t xml:space="preserve">W3C PROV-O documentation</w:t>
        </w:r>
      </w:hyperlink>
    </w:p>
    <w:p>
      <w:pPr>
        <w:pStyle w:val="BodyText"/>
      </w:pPr>
      <w:hyperlink r:id="rId54">
        <w:r>
          <w:rPr>
            <w:rStyle w:val="Hyperlink"/>
          </w:rPr>
          <w:t xml:space="preserve">Licensing software as part of an EDI data package</w:t>
        </w:r>
      </w:hyperlink>
    </w:p>
    <w:bookmarkEnd w:id="55"/>
    <w:bookmarkEnd w:id="56"/>
    <w:bookmarkStart w:id="75" w:name="model-based-datasets"/>
    <w:p>
      <w:pPr>
        <w:pStyle w:val="Heading1"/>
      </w:pPr>
      <w:r>
        <w:t xml:space="preserve">2. Model-Based Datasets</w:t>
      </w:r>
    </w:p>
    <w:p>
      <w:pPr>
        <w:pStyle w:val="FirstParagraph"/>
      </w:pPr>
      <w:r>
        <w:t xml:space="preserve">Contributors: An T. Nguyen, Tim Whiteaker, Corinna Gries</w:t>
      </w:r>
    </w:p>
    <w:bookmarkStart w:id="57"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7"/>
    <w:bookmarkStart w:id="72"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59" name="Picture"/>
            <a:graphic>
              <a:graphicData uri="http://schemas.openxmlformats.org/drawingml/2006/picture">
                <pic:pic>
                  <pic:nvPicPr>
                    <pic:cNvPr descr="img/guide-special-cases-model-fig1.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6"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1">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2"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1">
        <w:r>
          <w:rPr>
            <w:rStyle w:val="Hyperlink"/>
          </w:rPr>
          <w:t xml:space="preserve">best practices for publishing code</w:t>
        </w:r>
      </w:hyperlink>
      <w:r>
        <w:t xml:space="preserve">.</w:t>
      </w:r>
    </w:p>
    <w:bookmarkEnd w:id="62"/>
    <w:bookmarkStart w:id="63"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1">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3"/>
    <w:bookmarkStart w:id="64"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4"/>
    <w:bookmarkStart w:id="65"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4">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5"/>
    <w:bookmarkEnd w:id="66"/>
    <w:bookmarkStart w:id="70"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7">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8">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69">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0"/>
    <w:bookmarkStart w:id="71"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1"/>
    <w:bookmarkEnd w:id="72"/>
    <w:bookmarkStart w:id="73" w:name="example-data-packages-in-edi"/>
    <w:p>
      <w:pPr>
        <w:pStyle w:val="Heading2"/>
      </w:pPr>
      <w:r>
        <w:t xml:space="preserve">2.3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73"/>
    <w:bookmarkStart w:id="74"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4"/>
    <w:bookmarkEnd w:id="75"/>
    <w:bookmarkStart w:id="97"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0"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76">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77">
        <w:r>
          <w:rPr>
            <w:rStyle w:val="Hyperlink"/>
          </w:rPr>
          <w:t xml:space="preserve">Data in Other Repositories</w:t>
        </w:r>
      </w:hyperlink>
      <w:r>
        <w:t xml:space="preserve">, for additional information on how to handle images from uncrewed (underwater or aerial) vehicles refer to</w:t>
      </w:r>
      <w:r>
        <w:t xml:space="preserve"> </w:t>
      </w:r>
      <w:hyperlink r:id="rId78">
        <w:r>
          <w:rPr>
            <w:rStyle w:val="Hyperlink"/>
          </w:rPr>
          <w:t xml:space="preserve">Data Gathered with Small Moving Platforms</w:t>
        </w:r>
      </w:hyperlink>
      <w:r>
        <w:t xml:space="preserve">, and for geospatial imagery refer to</w:t>
      </w:r>
      <w:r>
        <w:t xml:space="preserve"> </w:t>
      </w:r>
      <w:hyperlink r:id="rId79">
        <w:r>
          <w:rPr>
            <w:rStyle w:val="Hyperlink"/>
          </w:rPr>
          <w:t xml:space="preserve">Spatial Data</w:t>
        </w:r>
      </w:hyperlink>
      <w:r>
        <w:t xml:space="preserve">.</w:t>
      </w:r>
    </w:p>
    <w:bookmarkEnd w:id="80"/>
    <w:bookmarkStart w:id="91" w:name="recommendations-for-data-packages-2"/>
    <w:p>
      <w:pPr>
        <w:pStyle w:val="Heading2"/>
      </w:pPr>
      <w:r>
        <w:t xml:space="preserve">3.2 Recommendations for data packages</w:t>
      </w:r>
    </w:p>
    <w:bookmarkStart w:id="81"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1"/>
    <w:bookmarkStart w:id="82"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7">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2"/>
    <w:bookmarkStart w:id="90" w:name="documenting-data-packages"/>
    <w:p>
      <w:pPr>
        <w:pStyle w:val="Heading3"/>
      </w:pPr>
      <w:r>
        <w:t xml:space="preserve">3.2.3 Documenting data packages</w:t>
      </w:r>
    </w:p>
    <w:bookmarkStart w:id="86"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3">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4">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76">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85">
        <w:r>
          <w:rPr>
            <w:rStyle w:val="Hyperlink"/>
          </w:rPr>
          <w:t xml:space="preserve">photograph</w:t>
        </w:r>
      </w:hyperlink>
      <w:r>
        <w:t xml:space="preserve">). It is recommended the most specific applicable concept be used.</w:t>
      </w:r>
    </w:p>
    <w:bookmarkEnd w:id="86"/>
    <w:bookmarkStart w:id="89"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87">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88">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89"/>
    <w:bookmarkEnd w:id="90"/>
    <w:bookmarkEnd w:id="91"/>
    <w:bookmarkStart w:id="92"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92"/>
    <w:bookmarkStart w:id="96" w:name="resources-2"/>
    <w:p>
      <w:pPr>
        <w:pStyle w:val="Heading2"/>
      </w:pPr>
      <w:r>
        <w:t xml:space="preserve">3.4 Resources</w:t>
      </w:r>
    </w:p>
    <w:bookmarkStart w:id="95"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93">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94">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95"/>
    <w:bookmarkEnd w:id="96"/>
    <w:bookmarkEnd w:id="97"/>
    <w:bookmarkStart w:id="114" w:name="spatial-data"/>
    <w:p>
      <w:pPr>
        <w:pStyle w:val="Heading1"/>
      </w:pPr>
      <w:r>
        <w:t xml:space="preserve">4. Spatial Data</w:t>
      </w:r>
    </w:p>
    <w:p>
      <w:pPr>
        <w:pStyle w:val="FirstParagraph"/>
      </w:pPr>
      <w:r>
        <w:t xml:space="preserve">Contributors: Tim Whiteaker, John Porter, Mary Martin</w:t>
      </w:r>
    </w:p>
    <w:bookmarkStart w:id="98"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98"/>
    <w:bookmarkStart w:id="113" w:name="recommendations-for-data-packages-3"/>
    <w:p>
      <w:pPr>
        <w:pStyle w:val="Heading2"/>
      </w:pPr>
      <w:r>
        <w:t xml:space="preserve">4.2 Recommendations for data packages</w:t>
      </w:r>
    </w:p>
    <w:bookmarkStart w:id="101" w:name="X41c20d8cfac2176d993fbbcf4844c2c74dc3aac"/>
    <w:p>
      <w:pPr>
        <w:pStyle w:val="Heading3"/>
      </w:pPr>
      <w:r>
        <w:t xml:space="preserve">4.2.1 Considerations for archiving spatial data</w:t>
      </w:r>
    </w:p>
    <w:bookmarkStart w:id="100"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99">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00"/>
    <w:bookmarkEnd w:id="101"/>
    <w:bookmarkStart w:id="112" w:name="documenting-spatial-data-packages"/>
    <w:p>
      <w:pPr>
        <w:pStyle w:val="Heading3"/>
      </w:pPr>
      <w:r>
        <w:t xml:space="preserve">4.2.2 Documenting spatial data packages</w:t>
      </w:r>
    </w:p>
    <w:bookmarkStart w:id="102"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02"/>
    <w:bookmarkStart w:id="104" w:name="otherentity"/>
    <w:p>
      <w:pPr>
        <w:pStyle w:val="Heading4"/>
      </w:pPr>
      <w:r>
        <w:t xml:space="preserve">4.2.2.2</w:t>
      </w:r>
      <w:r>
        <w:t xml:space="preserve"> </w:t>
      </w:r>
      <w:hyperlink r:id="rId103">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04"/>
    <w:bookmarkStart w:id="107" w:name="spatialrastervector"/>
    <w:p>
      <w:pPr>
        <w:pStyle w:val="Heading4"/>
      </w:pPr>
      <w:r>
        <w:t xml:space="preserve">4.2.2.3 spatial[</w:t>
      </w:r>
      <w:hyperlink r:id="rId105">
        <w:r>
          <w:rPr>
            <w:rStyle w:val="Hyperlink"/>
          </w:rPr>
          <w:t xml:space="preserve">Raster</w:t>
        </w:r>
      </w:hyperlink>
      <w:r>
        <w:t xml:space="preserve">,</w:t>
      </w:r>
      <w:hyperlink r:id="rId106">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07"/>
    <w:bookmarkStart w:id="108"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08"/>
    <w:bookmarkStart w:id="109"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09"/>
    <w:bookmarkStart w:id="110"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03">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10"/>
    <w:bookmarkStart w:id="111"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1">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11"/>
    <w:bookmarkEnd w:id="112"/>
    <w:bookmarkEnd w:id="113"/>
    <w:bookmarkEnd w:id="114"/>
    <w:bookmarkStart w:id="137"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15"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15"/>
    <w:bookmarkStart w:id="126"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16">
        <w:r>
          <w:rPr>
            <w:rStyle w:val="Hyperlink"/>
          </w:rPr>
          <w:t xml:space="preserve">https://opentopography.org/</w:t>
        </w:r>
      </w:hyperlink>
      <w:r>
        <w:t xml:space="preserve">); for AUV data, the U.S. Marine Geoscience Data System (MGDS) (</w:t>
      </w:r>
      <w:hyperlink r:id="rId117">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18">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77">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19">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20">
        <w:r>
          <w:rPr>
            <w:rStyle w:val="Hyperlink"/>
          </w:rPr>
          <w:t xml:space="preserve">Images and Documents as Data</w:t>
        </w:r>
      </w:hyperlink>
      <w:r>
        <w:t xml:space="preserve"> </w:t>
      </w:r>
      <w:r>
        <w:t xml:space="preserve">chapter. For derived geospatial files, such as DEMs, refer to the</w:t>
      </w:r>
      <w:r>
        <w:t xml:space="preserve"> </w:t>
      </w:r>
      <w:hyperlink r:id="rId121">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1">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23"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1">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22">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79">
        <w:r>
          <w:rPr>
            <w:rStyle w:val="Hyperlink"/>
          </w:rPr>
          <w:t xml:space="preserve">Spatial Data chapter</w:t>
        </w:r>
      </w:hyperlink>
      <w:r>
        <w:t xml:space="preserve"> </w:t>
      </w:r>
      <w:r>
        <w:t xml:space="preserve">are largely applicable.</w:t>
      </w:r>
    </w:p>
    <w:bookmarkEnd w:id="123"/>
    <w:bookmarkStart w:id="125"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24">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25"/>
    <w:bookmarkEnd w:id="126"/>
    <w:bookmarkStart w:id="136" w:name="resources-3"/>
    <w:p>
      <w:pPr>
        <w:pStyle w:val="Heading2"/>
      </w:pPr>
      <w:r>
        <w:t xml:space="preserve">5.3 Resources</w:t>
      </w:r>
    </w:p>
    <w:bookmarkStart w:id="128"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27">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28"/>
    <w:bookmarkStart w:id="135"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29">
        <w:r>
          <w:rPr>
            <w:rStyle w:val="Hyperlink"/>
          </w:rPr>
          <w:t xml:space="preserve">dronetology</w:t>
        </w:r>
      </w:hyperlink>
      <w:r>
        <w:t xml:space="preserve">;</w:t>
      </w:r>
      <w:r>
        <w:t xml:space="preserve"> </w:t>
      </w:r>
      <w:hyperlink r:id="rId130">
        <w:r>
          <w:rPr>
            <w:rStyle w:val="Hyperlink"/>
          </w:rPr>
          <w:t xml:space="preserve">sensorML</w:t>
        </w:r>
      </w:hyperlink>
      <w:r>
        <w:t xml:space="preserve">;</w:t>
      </w:r>
      <w:r>
        <w:t xml:space="preserve"> </w:t>
      </w:r>
      <w:hyperlink r:id="rId131">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32">
        <w:r>
          <w:rPr>
            <w:rStyle w:val="Hyperlink"/>
          </w:rPr>
          <w:t xml:space="preserve">Semantic Sensor Network ontology</w:t>
        </w:r>
      </w:hyperlink>
      <w:r>
        <w:t xml:space="preserve"> </w:t>
      </w:r>
      <w:r>
        <w:t xml:space="preserve">(SSN, including the SOSA core);</w:t>
      </w:r>
      <w:r>
        <w:t xml:space="preserve"> </w:t>
      </w:r>
      <w:hyperlink r:id="rId133">
        <w:r>
          <w:rPr>
            <w:rStyle w:val="Hyperlink"/>
          </w:rPr>
          <w:t xml:space="preserve">Semantic Web for Earth and Environment Technology ontology</w:t>
        </w:r>
      </w:hyperlink>
      <w:r>
        <w:t xml:space="preserve"> </w:t>
      </w:r>
      <w:r>
        <w:t xml:space="preserve">(SWEET); and</w:t>
      </w:r>
      <w:r>
        <w:t xml:space="preserve"> </w:t>
      </w:r>
      <w:hyperlink r:id="rId134">
        <w:r>
          <w:rPr>
            <w:rStyle w:val="Hyperlink"/>
          </w:rPr>
          <w:t xml:space="preserve">Environment Ontology</w:t>
        </w:r>
      </w:hyperlink>
      <w:r>
        <w:t xml:space="preserve">.</w:t>
      </w:r>
    </w:p>
    <w:bookmarkEnd w:id="135"/>
    <w:bookmarkEnd w:id="136"/>
    <w:bookmarkEnd w:id="137"/>
    <w:bookmarkStart w:id="185"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41"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38">
        <w:r>
          <w:rPr>
            <w:rStyle w:val="Hyperlink"/>
          </w:rPr>
          <w:t xml:space="preserve">DataONE</w:t>
        </w:r>
      </w:hyperlink>
      <w:r>
        <w:t xml:space="preserve">,</w:t>
      </w:r>
      <w:r>
        <w:t xml:space="preserve"> </w:t>
      </w:r>
      <w:hyperlink r:id="rId139">
        <w:r>
          <w:rPr>
            <w:rStyle w:val="Hyperlink"/>
          </w:rPr>
          <w:t xml:space="preserve">ProvONE</w:t>
        </w:r>
      </w:hyperlink>
      <w:r>
        <w:t xml:space="preserve">,</w:t>
      </w:r>
      <w:r>
        <w:t xml:space="preserve"> </w:t>
      </w:r>
      <w:hyperlink r:id="rId140">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41"/>
    <w:bookmarkStart w:id="151" w:name="recommendations-for-data-packages-5"/>
    <w:p>
      <w:pPr>
        <w:pStyle w:val="Heading2"/>
      </w:pPr>
      <w:r>
        <w:t xml:space="preserve">6.2 Recommendations for data packages</w:t>
      </w:r>
    </w:p>
    <w:bookmarkStart w:id="143"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42">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43"/>
    <w:bookmarkStart w:id="144"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44"/>
    <w:bookmarkStart w:id="150"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88">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45">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46">
        <w:r>
          <w:rPr>
            <w:rStyle w:val="Hyperlink"/>
          </w:rPr>
          <w:t xml:space="preserve">automatic generation of provenance metadata</w:t>
        </w:r>
      </w:hyperlink>
      <w:r>
        <w:t xml:space="preserve"> </w:t>
      </w:r>
      <w:r>
        <w:t xml:space="preserve">EML snippets for datasets in EDI. The</w:t>
      </w:r>
      <w:r>
        <w:t xml:space="preserve"> </w:t>
      </w:r>
      <w:hyperlink r:id="rId147">
        <w:r>
          <w:rPr>
            <w:rStyle w:val="Hyperlink"/>
          </w:rPr>
          <w:t xml:space="preserve">EMLassemblyline</w:t>
        </w:r>
      </w:hyperlink>
      <w:r>
        <w:t xml:space="preserve"> </w:t>
      </w:r>
      <w:r>
        <w:t xml:space="preserve">and</w:t>
      </w:r>
      <w:r>
        <w:t xml:space="preserve"> </w:t>
      </w:r>
      <w:hyperlink r:id="rId148">
        <w:r>
          <w:rPr>
            <w:rStyle w:val="Hyperlink"/>
          </w:rPr>
          <w:t xml:space="preserve">MetaEgress</w:t>
        </w:r>
      </w:hyperlink>
      <w:r>
        <w:t xml:space="preserve"> </w:t>
      </w:r>
      <w:r>
        <w:t xml:space="preserve">(in connection with</w:t>
      </w:r>
      <w:r>
        <w:t xml:space="preserve"> </w:t>
      </w:r>
      <w:hyperlink r:id="rId149">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50"/>
    <w:bookmarkEnd w:id="151"/>
    <w:bookmarkStart w:id="158"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52">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57"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53">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54">
        <w:r>
          <w:rPr>
            <w:rStyle w:val="Hyperlink"/>
          </w:rPr>
          <w:t xml:space="preserve">https://www.ncbi.nlm.nih.gov/nuccore/AY741555</w:t>
        </w:r>
      </w:hyperlink>
      <w:r>
        <w:t xml:space="preserve">). Referring to a range of accession numbers, may involve providing a search URL that will return the desired list, e.g. (</w:t>
      </w:r>
      <w:hyperlink r:id="rId155">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53">
        <w:r>
          <w:rPr>
            <w:rStyle w:val="Hyperlink"/>
          </w:rPr>
          <w:t xml:space="preserve">MixS templates</w:t>
        </w:r>
      </w:hyperlink>
      <w:r>
        <w:t xml:space="preserve"> </w:t>
      </w:r>
      <w:r>
        <w:t xml:space="preserve">and</w:t>
      </w:r>
      <w:r>
        <w:t xml:space="preserve"> </w:t>
      </w:r>
      <w:hyperlink r:id="rId156">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57"/>
    <w:bookmarkEnd w:id="158"/>
    <w:bookmarkStart w:id="159"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59"/>
    <w:bookmarkStart w:id="184"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75"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60">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61">
        <w:r>
          <w:rPr>
            <w:rStyle w:val="Hyperlink"/>
            <w:i/>
            <w:iCs/>
          </w:rPr>
          <w:t xml:space="preserve">Nucleic Acids Research</w:t>
        </w:r>
      </w:hyperlink>
      <w:r>
        <w:t xml:space="preserve"> </w:t>
      </w:r>
      <w:r>
        <w:t xml:space="preserve">(summarized on</w:t>
      </w:r>
      <w:r>
        <w:t xml:space="preserve"> </w:t>
      </w:r>
      <w:hyperlink r:id="rId162">
        <w:r>
          <w:rPr>
            <w:rStyle w:val="Hyperlink"/>
          </w:rPr>
          <w:t xml:space="preserve">this page</w:t>
        </w:r>
      </w:hyperlink>
      <w:r>
        <w:t xml:space="preserve">). Metadata standards and collaborative structures among these repositories are governed by the</w:t>
      </w:r>
      <w:r>
        <w:t xml:space="preserve"> </w:t>
      </w:r>
      <w:hyperlink r:id="rId163">
        <w:r>
          <w:rPr>
            <w:rStyle w:val="Hyperlink"/>
          </w:rPr>
          <w:t xml:space="preserve">International Nucleotide Sequence Database Collaboration</w:t>
        </w:r>
      </w:hyperlink>
      <w:r>
        <w:t xml:space="preserve"> </w:t>
      </w:r>
      <w:r>
        <w:t xml:space="preserve">(INSDC, more guidance</w:t>
      </w:r>
      <w:r>
        <w:t xml:space="preserve"> </w:t>
      </w:r>
      <w:hyperlink r:id="rId164">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65">
        <w:r>
          <w:rPr>
            <w:rStyle w:val="Hyperlink"/>
          </w:rPr>
          <w:t xml:space="preserve">NCBI Databases</w:t>
        </w:r>
      </w:hyperlink>
      <w:r>
        <w:t xml:space="preserve"> </w:t>
      </w:r>
      <w:r>
        <w:t xml:space="preserve">- list of various databases with search capabilities. See also</w:t>
      </w:r>
      <w:r>
        <w:t xml:space="preserve"> </w:t>
      </w:r>
      <w:hyperlink r:id="rId166">
        <w:r>
          <w:rPr>
            <w:rStyle w:val="Hyperlink"/>
          </w:rPr>
          <w:t xml:space="preserve">How to submit data to GenBank</w:t>
        </w:r>
      </w:hyperlink>
      <w:r>
        <w:t xml:space="preserve">.</w:t>
      </w:r>
    </w:p>
    <w:p>
      <w:pPr>
        <w:pStyle w:val="Compact"/>
        <w:numPr>
          <w:ilvl w:val="0"/>
          <w:numId w:val="1027"/>
        </w:numPr>
      </w:pPr>
      <w:hyperlink r:id="rId167">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68">
        <w:r>
          <w:rPr>
            <w:rStyle w:val="Hyperlink"/>
          </w:rPr>
          <w:t xml:space="preserve">DNA DataBank of Japan (DDBJ)</w:t>
        </w:r>
      </w:hyperlink>
      <w:r>
        <w:t xml:space="preserve"> </w:t>
      </w:r>
      <w:r>
        <w:t xml:space="preserve">- list of various databases with search capabilities. See also</w:t>
      </w:r>
      <w:r>
        <w:t xml:space="preserve"> </w:t>
      </w:r>
      <w:hyperlink r:id="rId169">
        <w:r>
          <w:rPr>
            <w:rStyle w:val="Hyperlink"/>
          </w:rPr>
          <w:t xml:space="preserve">Submissions</w:t>
        </w:r>
      </w:hyperlink>
      <w:r>
        <w:t xml:space="preserve">.</w:t>
      </w:r>
    </w:p>
    <w:p>
      <w:pPr>
        <w:pStyle w:val="Compact"/>
        <w:numPr>
          <w:ilvl w:val="0"/>
          <w:numId w:val="1027"/>
        </w:numPr>
      </w:pPr>
      <w:hyperlink r:id="rId170">
        <w:r>
          <w:rPr>
            <w:rStyle w:val="Hyperlink"/>
          </w:rPr>
          <w:t xml:space="preserve">European Nucleotide Archive (ENA)</w:t>
        </w:r>
      </w:hyperlink>
      <w:r>
        <w:t xml:space="preserve"> </w:t>
      </w:r>
      <w:r>
        <w:t xml:space="preserve">- list of various databases with search capabilities. See also</w:t>
      </w:r>
      <w:r>
        <w:t xml:space="preserve"> </w:t>
      </w:r>
      <w:hyperlink r:id="rId171">
        <w:r>
          <w:rPr>
            <w:rStyle w:val="Hyperlink"/>
          </w:rPr>
          <w:t xml:space="preserve">Submit and update</w:t>
        </w:r>
      </w:hyperlink>
      <w:r>
        <w:t xml:space="preserve">.</w:t>
      </w:r>
    </w:p>
    <w:p>
      <w:pPr>
        <w:pStyle w:val="Compact"/>
        <w:numPr>
          <w:ilvl w:val="0"/>
          <w:numId w:val="1027"/>
        </w:numPr>
      </w:pPr>
      <w:hyperlink r:id="rId172">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73">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74">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75"/>
    <w:bookmarkStart w:id="180"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65">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176">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77">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178">
        <w:r>
          <w:rPr>
            <w:rStyle w:val="Hyperlink"/>
          </w:rPr>
          <w:t xml:space="preserve">Examining Data on the NCBI SRA Database</w:t>
        </w:r>
      </w:hyperlink>
    </w:p>
    <w:p>
      <w:pPr>
        <w:pStyle w:val="Compact"/>
        <w:numPr>
          <w:ilvl w:val="0"/>
          <w:numId w:val="1028"/>
        </w:numPr>
      </w:pPr>
      <w:hyperlink r:id="rId179">
        <w:r>
          <w:rPr>
            <w:rStyle w:val="Hyperlink"/>
          </w:rPr>
          <w:t xml:space="preserve">BCO-DMO examples</w:t>
        </w:r>
      </w:hyperlink>
      <w:r>
        <w:t xml:space="preserve"> </w:t>
      </w:r>
      <w:r>
        <w:t xml:space="preserve">for contributing sequence accession numbers.</w:t>
      </w:r>
    </w:p>
    <w:bookmarkEnd w:id="180"/>
    <w:bookmarkStart w:id="183"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81">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82">
        <w:r>
          <w:rPr>
            <w:rStyle w:val="Hyperlink"/>
          </w:rPr>
          <w:t xml:space="preserve">http://www.boldsystems.org/index.php/Public_RecordView?processid=SNLBE002-17</w:t>
        </w:r>
      </w:hyperlink>
      <w:r>
        <w:t xml:space="preserve">).</w:t>
      </w:r>
    </w:p>
    <w:bookmarkEnd w:id="183"/>
    <w:bookmarkEnd w:id="184"/>
    <w:bookmarkEnd w:id="185"/>
    <w:bookmarkStart w:id="210" w:name="large-data-sets"/>
    <w:p>
      <w:pPr>
        <w:pStyle w:val="Heading1"/>
      </w:pPr>
      <w:r>
        <w:t xml:space="preserve">7. Large Data Sets</w:t>
      </w:r>
    </w:p>
    <w:p>
      <w:pPr>
        <w:pStyle w:val="FirstParagraph"/>
      </w:pPr>
      <w:r>
        <w:t xml:space="preserve">Contributors: Margaret O’Brien, Corinna Gries, Mark Servilla</w:t>
      </w:r>
    </w:p>
    <w:bookmarkStart w:id="188"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86">
        <w:r>
          <w:rPr>
            <w:rStyle w:val="Hyperlink"/>
          </w:rPr>
          <w:t xml:space="preserve">support@edirepository.org</w:t>
        </w:r>
      </w:hyperlink>
      <w:r>
        <w:t xml:space="preserve">). Below are recommendations for the EDI repository’s handling of data packages that have an offline component.</w:t>
      </w:r>
    </w:p>
    <w:bookmarkStart w:id="187"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87"/>
    <w:bookmarkEnd w:id="188"/>
    <w:bookmarkStart w:id="196" w:name="recommendations-for-data-packages-6"/>
    <w:p>
      <w:pPr>
        <w:pStyle w:val="Heading2"/>
      </w:pPr>
      <w:r>
        <w:t xml:space="preserve">7.2 Recommendations for data packages</w:t>
      </w:r>
    </w:p>
    <w:bookmarkStart w:id="189"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89"/>
    <w:bookmarkStart w:id="190"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90"/>
    <w:bookmarkStart w:id="191"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191"/>
    <w:bookmarkStart w:id="192"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192"/>
    <w:bookmarkStart w:id="195"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93"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93"/>
          <w:p/>
        </w:tc>
      </w:tr>
    </w:tbl>
    <w:p>
      <w:pPr>
        <w:pStyle w:val="BodyText"/>
      </w:pPr>
      <w:r>
        <w:rPr>
          <w:b/>
          <w:bCs/>
        </w:rPr>
        <w:t xml:space="preserve">Example 1.</w:t>
      </w:r>
      <w:r>
        <w:t xml:space="preserve"> </w:t>
      </w:r>
      <w:r>
        <w:t xml:space="preserve">Sample XML, offline entity</w:t>
      </w:r>
    </w:p>
    <w:bookmarkStart w:id="194"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94"/>
    <w:bookmarkEnd w:id="195"/>
    <w:bookmarkEnd w:id="196"/>
    <w:bookmarkStart w:id="199" w:name="references"/>
    <w:p>
      <w:pPr>
        <w:pStyle w:val="Heading2"/>
      </w:pPr>
      <w:r>
        <w:t xml:space="preserve">7.3 References</w:t>
      </w:r>
    </w:p>
    <w:bookmarkStart w:id="198" w:name="eml-documentation"/>
    <w:p>
      <w:pPr>
        <w:pStyle w:val="Heading3"/>
      </w:pPr>
      <w:r>
        <w:t xml:space="preserve">7.3.1 EML documentation</w:t>
      </w:r>
    </w:p>
    <w:p>
      <w:pPr>
        <w:pStyle w:val="FirstParagraph"/>
      </w:pPr>
      <w:hyperlink r:id="rId197">
        <w:r>
          <w:rPr>
            <w:rStyle w:val="Hyperlink"/>
          </w:rPr>
          <w:t xml:space="preserve">https://eml.ecoinformatics.org/schema/index.html</w:t>
        </w:r>
      </w:hyperlink>
    </w:p>
    <w:p>
      <w:pPr>
        <w:pStyle w:val="BodyText"/>
      </w:pPr>
      <w:r>
        <w:t xml:space="preserve">Look for the PhysicalDistributionType</w:t>
      </w:r>
    </w:p>
    <w:bookmarkEnd w:id="198"/>
    <w:bookmarkEnd w:id="199"/>
    <w:bookmarkStart w:id="209"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08" w:name="refs"/>
    <w:bookmarkStart w:id="201"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00">
        <w:r>
          <w:rPr>
            <w:rStyle w:val="Hyperlink"/>
          </w:rPr>
          <w:t xml:space="preserve">https://www.jasss.org/11/2/6.html</w:t>
        </w:r>
      </w:hyperlink>
      <w:r>
        <w:t xml:space="preserve">.</w:t>
      </w:r>
    </w:p>
    <w:bookmarkEnd w:id="201"/>
    <w:bookmarkStart w:id="203"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02">
        <w:r>
          <w:rPr>
            <w:rStyle w:val="Hyperlink"/>
          </w:rPr>
          <w:t xml:space="preserve">https://eartharxiv.org/repository/view/260/</w:t>
        </w:r>
      </w:hyperlink>
      <w:r>
        <w:t xml:space="preserve">.</w:t>
      </w:r>
    </w:p>
    <w:bookmarkEnd w:id="203"/>
    <w:bookmarkStart w:id="205"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04">
        <w:r>
          <w:rPr>
            <w:rStyle w:val="Hyperlink"/>
          </w:rPr>
          <w:t xml:space="preserve">https://doi.org/10.5281/zenodo.4124167</w:t>
        </w:r>
      </w:hyperlink>
      <w:r>
        <w:t xml:space="preserve">.</w:t>
      </w:r>
    </w:p>
    <w:bookmarkEnd w:id="205"/>
    <w:bookmarkStart w:id="207"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06">
        <w:r>
          <w:rPr>
            <w:rStyle w:val="Hyperlink"/>
          </w:rPr>
          <w:t xml:space="preserve">https://doi.org/10.3390/rs11151797</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2026-09-22T17:39:29Z</dcterms:created>
  <dcterms:modified xsi:type="dcterms:W3CDTF">2026-09-22T17:39:29Z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