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2021-02-19</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data-package-design-for-special-cases"/>
    <w:p>
      <w:pPr>
        <w:pStyle w:val="Heading1"/>
      </w:pPr>
      <w:r>
        <w:t xml:space="preserve">1. Data Package Design for Special Cases</w:t>
      </w:r>
    </w:p>
    <w:p>
      <w:pPr>
        <w:pStyle w:val="FirstParagraph"/>
      </w:pPr>
      <w:r>
        <w:t xml:space="preserve">Version 1.1</w:t>
      </w:r>
    </w:p>
    <w:p>
      <w:pPr>
        <w:pStyle w:val="BodyText"/>
      </w:pPr>
      <w:r>
        <w:t xml:space="preserve">This book covers considerations for creating well-designed datasets for</w:t>
      </w:r>
      <w:r>
        <w:t xml:space="preserve"> </w:t>
      </w:r>
      <w:r>
        <w:t xml:space="preserve">publishing data types outside the most common cases for research data.</w:t>
      </w:r>
      <w:r>
        <w:t xml:space="preserve"> </w:t>
      </w:r>
      <w:r>
        <w:t xml:space="preserve">Specialized needs for preparing and publishing a dataset may arise</w:t>
      </w:r>
      <w:r>
        <w:t xml:space="preserve"> </w:t>
      </w:r>
      <w:r>
        <w:t xml:space="preserve">because the data are not tabular in structure, are stored in</w:t>
      </w:r>
      <w:r>
        <w:t xml:space="preserve"> </w:t>
      </w:r>
      <w:r>
        <w:t xml:space="preserve">non-standard file formats, are collected with unique or new acquisition</w:t>
      </w:r>
      <w:r>
        <w:t xml:space="preserve"> </w:t>
      </w:r>
      <w:r>
        <w:t xml:space="preserve">methods, or are large in size. Some examples of specialized data types</w:t>
      </w:r>
      <w:r>
        <w:t xml:space="preserve"> </w:t>
      </w:r>
      <w:r>
        <w:t xml:space="preserve">described here are imagery, code, document archives, spatial data files,</w:t>
      </w:r>
      <w:r>
        <w:t xml:space="preserve"> </w:t>
      </w:r>
      <w:r>
        <w:t xml:space="preserve">and raw genomic data stored in other repositories. This is the first</w:t>
      </w:r>
      <w:r>
        <w:t xml:space="preserve"> </w:t>
      </w:r>
      <w:r>
        <w:t xml:space="preserve">version of the book, written and edited in 2019 through 2021 by the</w:t>
      </w:r>
      <w:r>
        <w:t xml:space="preserve"> </w:t>
      </w:r>
      <w:r>
        <w:t xml:space="preserve">Non-tabular Data Working Group of the U.S. LTER Network Information</w:t>
      </w:r>
      <w:r>
        <w:t xml:space="preserve"> </w:t>
      </w:r>
      <w:r>
        <w:t xml:space="preserve">Management Committee. Minor edits and reformatting took place in 2021,</w:t>
      </w:r>
      <w:r>
        <w:t xml:space="preserve"> </w:t>
      </w:r>
      <w:r>
        <w:t xml:space="preserve">2022 and 2024 to produce this current online version (Version 1.1).</w:t>
      </w:r>
    </w:p>
    <w:p>
      <w:pPr>
        <w:pStyle w:val="BodyText"/>
      </w:pPr>
      <w:r>
        <w:br/>
      </w:r>
    </w:p>
    <w:bookmarkEnd w:id="9"/>
    <w:bookmarkStart w:id="42" w:name="code"/>
    <w:p>
      <w:pPr>
        <w:pStyle w:val="Heading1"/>
      </w:pPr>
      <w:r>
        <w:t xml:space="preserve">2. Code</w:t>
      </w:r>
    </w:p>
    <w:p>
      <w:pPr>
        <w:pStyle w:val="FirstParagraph"/>
      </w:pPr>
      <w:r>
        <w:t xml:space="preserve">Contributors: An T. Nguyen, Tim Whiteaker</w:t>
      </w:r>
    </w:p>
    <w:bookmarkStart w:id="14" w:name="introduction"/>
    <w:p>
      <w:pPr>
        <w:pStyle w:val="Heading2"/>
      </w:pPr>
      <w:r>
        <w:t xml:space="preserve">2.1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10">
        <w:r>
          <w:rPr>
            <w:rStyle w:val="Hyperlink"/>
          </w:rPr>
          <w:t xml:space="preserve">CoMSES Net</w:t>
        </w:r>
      </w:hyperlink>
      <w:r>
        <w:t xml:space="preserve">, which focuses on sharing models related to social and ecological sciences, and</w:t>
      </w:r>
      <w:r>
        <w:t xml:space="preserve"> </w:t>
      </w:r>
      <w:hyperlink r:id="rId11">
        <w:r>
          <w:rPr>
            <w:rStyle w:val="Hyperlink"/>
          </w:rPr>
          <w:t xml:space="preserve">Zenodo</w:t>
        </w:r>
      </w:hyperlink>
      <w:r>
        <w:t xml:space="preserve">, a popular DOI-minting all-purpose repository, that can conveniently archive a specific version of</w:t>
      </w:r>
      <w:r>
        <w:t xml:space="preserve"> </w:t>
      </w:r>
      <w:hyperlink r:id="rId12">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13">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14"/>
    <w:bookmarkStart w:id="34" w:name="recommendations-for-data-packages"/>
    <w:p>
      <w:pPr>
        <w:pStyle w:val="Heading2"/>
      </w:pPr>
      <w:r>
        <w:t xml:space="preserve">2.2 Recommendations for data packages</w:t>
      </w:r>
    </w:p>
    <w:bookmarkStart w:id="16" w:name="X4b1ac178bc7534d94ec158fb6a00dd33543e9c9"/>
    <w:p>
      <w:pPr>
        <w:pStyle w:val="Heading3"/>
      </w:pPr>
      <w:r>
        <w:t xml:space="preserve">2.2.1 Considerations for archiving software or code</w:t>
      </w:r>
    </w:p>
    <w:p>
      <w:pPr>
        <w:pStyle w:val="Compact"/>
        <w:numPr>
          <w:ilvl w:val="0"/>
          <w:numId w:val="1001"/>
        </w:numPr>
      </w:pPr>
      <w:r>
        <w:t xml:space="preserve">If it is a model and/or a model-based dataset, please see the</w:t>
      </w:r>
      <w:r>
        <w:t xml:space="preserve"> </w:t>
      </w:r>
      <w:hyperlink r:id="rId15">
        <w:r>
          <w:rPr>
            <w:rStyle w:val="Hyperlink"/>
          </w:rPr>
          <w:t xml:space="preserve">best practices for archiving model-based datasets</w:t>
        </w:r>
      </w:hyperlink>
      <w:r>
        <w:t xml:space="preserve">.</w:t>
      </w:r>
    </w:p>
    <w:p>
      <w:pPr>
        <w:pStyle w:val="Compact"/>
        <w:numPr>
          <w:ilvl w:val="0"/>
          <w:numId w:val="1001"/>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1"/>
        </w:numPr>
      </w:pPr>
      <w:r>
        <w:t xml:space="preserve">Should the code be archived as a separate package or with the data?</w:t>
      </w:r>
    </w:p>
    <w:p>
      <w:pPr>
        <w:pStyle w:val="Compact"/>
        <w:numPr>
          <w:ilvl w:val="1"/>
          <w:numId w:val="1002"/>
        </w:numPr>
      </w:pPr>
      <w:r>
        <w:t xml:space="preserve">If the code is used to generate several independent datasets it should be archived as a separate package.</w:t>
      </w:r>
    </w:p>
    <w:p>
      <w:pPr>
        <w:pStyle w:val="Compact"/>
        <w:numPr>
          <w:ilvl w:val="1"/>
          <w:numId w:val="1002"/>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2"/>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2"/>
        </w:numPr>
      </w:pPr>
      <w:r>
        <w:t xml:space="preserve">In most other cases, it is recommended to archive code and data together for context.</w:t>
      </w:r>
    </w:p>
    <w:p>
      <w:pPr>
        <w:pStyle w:val="Compact"/>
        <w:numPr>
          <w:ilvl w:val="0"/>
          <w:numId w:val="1001"/>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1"/>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16"/>
    <w:bookmarkStart w:id="25" w:name="documenting-softwarecode"/>
    <w:p>
      <w:pPr>
        <w:pStyle w:val="Heading3"/>
      </w:pPr>
      <w:r>
        <w:t xml:space="preserve">2.2.2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17">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20" w:name="software-license"/>
    <w:p>
      <w:pPr>
        <w:pStyle w:val="Heading4"/>
      </w:pPr>
      <w:r>
        <w:t xml:space="preserve">2.2.2.1 Software License</w:t>
      </w:r>
    </w:p>
    <w:p>
      <w:pPr>
        <w:pStyle w:val="FirstParagraph"/>
      </w:pPr>
      <w:r>
        <w:t xml:space="preserve">It is important to include a use license to make it clear how others can use your work. We recommend the</w:t>
      </w:r>
      <w:r>
        <w:t xml:space="preserve"> </w:t>
      </w:r>
      <w:hyperlink r:id="rId18">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19">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20"/>
    <w:bookmarkStart w:id="23" w:name="codemeta"/>
    <w:p>
      <w:pPr>
        <w:pStyle w:val="Heading4"/>
      </w:pPr>
      <w:r>
        <w:t xml:space="preserve">2.2.2.2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21">
        <w:r>
          <w:rPr>
            <w:rStyle w:val="Hyperlink"/>
          </w:rPr>
          <w:t xml:space="preserve">codemetar example</w:t>
        </w:r>
      </w:hyperlink>
      <w:r>
        <w:t xml:space="preserve"> </w:t>
      </w:r>
      <w:r>
        <w:t xml:space="preserve">and the available</w:t>
      </w:r>
      <w:r>
        <w:t xml:space="preserve"> </w:t>
      </w:r>
      <w:hyperlink r:id="rId22">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23"/>
    <w:bookmarkStart w:id="24" w:name="metadata-to-enable-reproducibility"/>
    <w:p>
      <w:pPr>
        <w:pStyle w:val="Heading4"/>
      </w:pPr>
      <w:r>
        <w:t xml:space="preserve">2.2.2.3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24"/>
    <w:bookmarkEnd w:id="25"/>
    <w:bookmarkStart w:id="32" w:name="linking-code-and-data"/>
    <w:p>
      <w:pPr>
        <w:pStyle w:val="Heading3"/>
      </w:pPr>
      <w:r>
        <w:t xml:space="preserve">2.2.3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26" w:name="descriptive-approach"/>
    <w:p>
      <w:pPr>
        <w:pStyle w:val="Heading4"/>
      </w:pPr>
      <w:r>
        <w:t xml:space="preserve">2.2.3.1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26"/>
    <w:bookmarkStart w:id="28" w:name="the-eml-datasource-element"/>
    <w:p>
      <w:pPr>
        <w:pStyle w:val="Heading4"/>
      </w:pPr>
      <w:r>
        <w:t xml:space="preserve">2.2.3.2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27">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28"/>
    <w:bookmarkStart w:id="31" w:name="provone"/>
    <w:p>
      <w:pPr>
        <w:pStyle w:val="Heading4"/>
      </w:pPr>
      <w:r>
        <w:t xml:space="preserve">2.2.3.3 ProvONE</w:t>
      </w:r>
    </w:p>
    <w:p>
      <w:pPr>
        <w:pStyle w:val="FirstParagraph"/>
      </w:pPr>
      <w:hyperlink r:id="rId29">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30">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31"/>
    <w:bookmarkEnd w:id="32"/>
    <w:bookmarkStart w:id="33" w:name="external-software"/>
    <w:p>
      <w:pPr>
        <w:pStyle w:val="Heading3"/>
      </w:pPr>
      <w:r>
        <w:t xml:space="preserve">2.2.4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3"/>
        </w:numPr>
      </w:pPr>
      <w:r>
        <w:t xml:space="preserve">Briefly describe the software/code and its relationship to the data in EML’s methods/methodStep/description element.</w:t>
      </w:r>
    </w:p>
    <w:p>
      <w:pPr>
        <w:pStyle w:val="Compact"/>
        <w:numPr>
          <w:ilvl w:val="0"/>
          <w:numId w:val="1003"/>
        </w:numPr>
      </w:pPr>
      <w:r>
        <w:t xml:space="preserve">Names of all software used. Include both the common acronym and the full spelling.</w:t>
      </w:r>
    </w:p>
    <w:p>
      <w:pPr>
        <w:pStyle w:val="Compact"/>
        <w:numPr>
          <w:ilvl w:val="0"/>
          <w:numId w:val="1003"/>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3"/>
        </w:numPr>
      </w:pPr>
      <w:r>
        <w:t xml:space="preserve">Broadly, the system setup used, if relevant.</w:t>
      </w:r>
    </w:p>
    <w:p>
      <w:pPr>
        <w:pStyle w:val="Compact"/>
        <w:numPr>
          <w:ilvl w:val="0"/>
          <w:numId w:val="1003"/>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3"/>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33"/>
    <w:bookmarkEnd w:id="34"/>
    <w:bookmarkStart w:id="41" w:name="resources"/>
    <w:p>
      <w:pPr>
        <w:pStyle w:val="Heading2"/>
      </w:pPr>
      <w:r>
        <w:t xml:space="preserve">2.3 Resources</w:t>
      </w:r>
    </w:p>
    <w:p>
      <w:pPr>
        <w:pStyle w:val="FirstParagraph"/>
      </w:pPr>
      <w:hyperlink r:id="rId35">
        <w:r>
          <w:rPr>
            <w:rStyle w:val="Hyperlink"/>
          </w:rPr>
          <w:t xml:space="preserve">CodeMeta</w:t>
        </w:r>
      </w:hyperlink>
      <w:r>
        <w:t xml:space="preserve"> </w:t>
      </w:r>
      <w:r>
        <w:t xml:space="preserve">website</w:t>
      </w:r>
    </w:p>
    <w:p>
      <w:pPr>
        <w:pStyle w:val="BodyText"/>
      </w:pPr>
      <w:hyperlink r:id="rId36">
        <w:r>
          <w:rPr>
            <w:rStyle w:val="Hyperlink"/>
          </w:rPr>
          <w:t xml:space="preserve">CodeMeta generator</w:t>
        </w:r>
      </w:hyperlink>
      <w:r>
        <w:t xml:space="preserve"> </w:t>
      </w:r>
      <w:r>
        <w:t xml:space="preserve">for creating CodeMeta</w:t>
      </w:r>
    </w:p>
    <w:p>
      <w:pPr>
        <w:pStyle w:val="BodyText"/>
      </w:pPr>
      <w:hyperlink r:id="rId37">
        <w:r>
          <w:rPr>
            <w:rStyle w:val="Hyperlink"/>
          </w:rPr>
          <w:t xml:space="preserve">CodeMeta crosswalks</w:t>
        </w:r>
      </w:hyperlink>
      <w:r>
        <w:t xml:space="preserve"> </w:t>
      </w:r>
      <w:r>
        <w:t xml:space="preserve">for a number of popular software</w:t>
      </w:r>
    </w:p>
    <w:p>
      <w:pPr>
        <w:pStyle w:val="BodyText"/>
      </w:pPr>
      <w:hyperlink r:id="rId22">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38">
        <w:r>
          <w:rPr>
            <w:rStyle w:val="Hyperlink"/>
          </w:rPr>
          <w:t xml:space="preserve">software licenses</w:t>
        </w:r>
      </w:hyperlink>
    </w:p>
    <w:p>
      <w:pPr>
        <w:pStyle w:val="BodyText"/>
      </w:pPr>
      <w:hyperlink r:id="rId15">
        <w:r>
          <w:rPr>
            <w:rStyle w:val="Hyperlink"/>
          </w:rPr>
          <w:t xml:space="preserve">Best practices document to archiving model-based datasets</w:t>
        </w:r>
      </w:hyperlink>
    </w:p>
    <w:p>
      <w:pPr>
        <w:pStyle w:val="BodyText"/>
      </w:pPr>
      <w:hyperlink r:id="rId29">
        <w:r>
          <w:rPr>
            <w:rStyle w:val="Hyperlink"/>
          </w:rPr>
          <w:t xml:space="preserve">ProvONE documentation</w:t>
        </w:r>
      </w:hyperlink>
    </w:p>
    <w:p>
      <w:pPr>
        <w:pStyle w:val="BodyText"/>
      </w:pPr>
      <w:hyperlink r:id="rId39">
        <w:r>
          <w:rPr>
            <w:rStyle w:val="Hyperlink"/>
          </w:rPr>
          <w:t xml:space="preserve">W3C PROV-O documentation</w:t>
        </w:r>
      </w:hyperlink>
    </w:p>
    <w:p>
      <w:pPr>
        <w:pStyle w:val="BodyText"/>
      </w:pPr>
      <w:hyperlink r:id="rId40">
        <w:r>
          <w:rPr>
            <w:rStyle w:val="Hyperlink"/>
          </w:rPr>
          <w:t xml:space="preserve">Licensing software as part of an EDI data package</w:t>
        </w:r>
      </w:hyperlink>
    </w:p>
    <w:bookmarkEnd w:id="41"/>
    <w:bookmarkEnd w:id="42"/>
    <w:bookmarkStart w:id="61" w:name="model-based-datasets"/>
    <w:p>
      <w:pPr>
        <w:pStyle w:val="Heading1"/>
      </w:pPr>
      <w:r>
        <w:t xml:space="preserve">3. Model-Based Datasets</w:t>
      </w:r>
    </w:p>
    <w:p>
      <w:pPr>
        <w:pStyle w:val="FirstParagraph"/>
      </w:pPr>
      <w:r>
        <w:t xml:space="preserve">Contributors: An T. Nguyen, Tim Whiteaker, Corinna Gries</w:t>
      </w:r>
    </w:p>
    <w:bookmarkStart w:id="43" w:name="introduction-1"/>
    <w:p>
      <w:pPr>
        <w:pStyle w:val="Heading2"/>
      </w:pPr>
      <w:r>
        <w:t xml:space="preserve">3.1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43"/>
    <w:bookmarkStart w:id="58" w:name="recommendations-for-data-packages-1"/>
    <w:p>
      <w:pPr>
        <w:pStyle w:val="Heading2"/>
      </w:pPr>
      <w:r>
        <w:t xml:space="preserve">3.2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45" name="Picture"/>
            <a:graphic>
              <a:graphicData uri="http://schemas.openxmlformats.org/drawingml/2006/picture">
                <pic:pic>
                  <pic:nvPicPr>
                    <pic:cNvPr descr="img/guide-special-cases-model-fig1.png" id="46" name="Picture"/>
                    <pic:cNvPicPr>
                      <a:picLocks noChangeArrowheads="1" noChangeAspect="1"/>
                    </pic:cNvPicPr>
                  </pic:nvPicPr>
                  <pic:blipFill>
                    <a:blip r:embed="rId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52" w:name="referencing-models-in-eml"/>
    <w:p>
      <w:pPr>
        <w:pStyle w:val="Heading3"/>
      </w:pPr>
      <w:r>
        <w:t xml:space="preserve">3.2.1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47">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48" w:name="model-code"/>
    <w:p>
      <w:pPr>
        <w:pStyle w:val="Heading4"/>
      </w:pPr>
      <w:r>
        <w:t xml:space="preserve">3.2.1.1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47">
        <w:r>
          <w:rPr>
            <w:rStyle w:val="Hyperlink"/>
          </w:rPr>
          <w:t xml:space="preserve">best practices for publishing code</w:t>
        </w:r>
      </w:hyperlink>
      <w:r>
        <w:t xml:space="preserve">.</w:t>
      </w:r>
    </w:p>
    <w:bookmarkEnd w:id="48"/>
    <w:bookmarkStart w:id="49" w:name="model-code-and-data-in-the-same-package"/>
    <w:p>
      <w:pPr>
        <w:pStyle w:val="Heading4"/>
      </w:pPr>
      <w:r>
        <w:t xml:space="preserve">3.2.1.2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47">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49"/>
    <w:bookmarkStart w:id="50" w:name="model-code-as-standalone-package"/>
    <w:p>
      <w:pPr>
        <w:pStyle w:val="Heading4"/>
      </w:pPr>
      <w:r>
        <w:t xml:space="preserve">3.2.1.3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50"/>
    <w:bookmarkStart w:id="51" w:name="model-code-archivedmaintained-elsewhere"/>
    <w:p>
      <w:pPr>
        <w:pStyle w:val="Heading4"/>
      </w:pPr>
      <w:r>
        <w:t xml:space="preserve">3.2.1.4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10">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51"/>
    <w:bookmarkEnd w:id="52"/>
    <w:bookmarkStart w:id="56" w:name="model-input-and-output-data"/>
    <w:p>
      <w:pPr>
        <w:pStyle w:val="Heading3"/>
      </w:pPr>
      <w:r>
        <w:t xml:space="preserve">3.2.2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53">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54">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55">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56"/>
    <w:bookmarkStart w:id="57" w:name="model-parameters"/>
    <w:p>
      <w:pPr>
        <w:pStyle w:val="Heading3"/>
      </w:pPr>
      <w:r>
        <w:t xml:space="preserve">3.2.3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57"/>
    <w:bookmarkEnd w:id="58"/>
    <w:bookmarkStart w:id="59" w:name="example-data-packages-in-edi"/>
    <w:p>
      <w:pPr>
        <w:pStyle w:val="Heading2"/>
      </w:pPr>
      <w:r>
        <w:t xml:space="preserve">3.3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59"/>
    <w:bookmarkStart w:id="60" w:name="resources-1"/>
    <w:p>
      <w:pPr>
        <w:pStyle w:val="Heading2"/>
      </w:pPr>
      <w:r>
        <w:t xml:space="preserve">3.4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60"/>
    <w:bookmarkEnd w:id="61"/>
    <w:bookmarkStart w:id="83" w:name="images-and-documents-as-data"/>
    <w:p>
      <w:pPr>
        <w:pStyle w:val="Heading1"/>
      </w:pPr>
      <w:r>
        <w:t xml:space="preserve">4. Images and Documents as Data</w:t>
      </w:r>
    </w:p>
    <w:p>
      <w:pPr>
        <w:pStyle w:val="FirstParagraph"/>
      </w:pPr>
      <w:r>
        <w:t xml:space="preserve">Contributors: Renée F. Brown (lead), Stace Beaulieu, Sarah Elmendorf, Gastil Gastil-Buhl, Corinna Gries, Li Kui, Mary Martin, Greg Maurer, John Porter, Tim Whiteaker</w:t>
      </w:r>
    </w:p>
    <w:bookmarkStart w:id="66" w:name="introduction-2"/>
    <w:p>
      <w:pPr>
        <w:pStyle w:val="Heading2"/>
      </w:pPr>
      <w:r>
        <w:t xml:space="preserve">4.1 Introduction</w:t>
      </w:r>
    </w:p>
    <w:p>
      <w:pPr>
        <w:pStyle w:val="FirstParagraph"/>
      </w:pPr>
      <w:r>
        <w:t xml:space="preserve">This chapter describes best practices for archiving images and other documents as data. The</w:t>
      </w:r>
      <w:r>
        <w:t xml:space="preserve"> </w:t>
      </w:r>
      <w:hyperlink r:id="rId62">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63">
        <w:r>
          <w:rPr>
            <w:rStyle w:val="Hyperlink"/>
          </w:rPr>
          <w:t xml:space="preserve">Data in Other Repositories</w:t>
        </w:r>
      </w:hyperlink>
      <w:r>
        <w:t xml:space="preserve">, for additional information on how to handle images from uncrewed (underwater or aerial) vehicles refer to</w:t>
      </w:r>
      <w:r>
        <w:t xml:space="preserve"> </w:t>
      </w:r>
      <w:hyperlink r:id="rId64">
        <w:r>
          <w:rPr>
            <w:rStyle w:val="Hyperlink"/>
          </w:rPr>
          <w:t xml:space="preserve">Data Gathered with Small Moving Platforms</w:t>
        </w:r>
      </w:hyperlink>
      <w:r>
        <w:t xml:space="preserve">, and for geospatial imagery refer to</w:t>
      </w:r>
      <w:r>
        <w:t xml:space="preserve"> </w:t>
      </w:r>
      <w:hyperlink r:id="rId65">
        <w:r>
          <w:rPr>
            <w:rStyle w:val="Hyperlink"/>
          </w:rPr>
          <w:t xml:space="preserve">Spatial Data</w:t>
        </w:r>
      </w:hyperlink>
      <w:r>
        <w:t xml:space="preserve">.</w:t>
      </w:r>
    </w:p>
    <w:bookmarkEnd w:id="66"/>
    <w:bookmarkStart w:id="77" w:name="recommendations-for-data-packages-2"/>
    <w:p>
      <w:pPr>
        <w:pStyle w:val="Heading2"/>
      </w:pPr>
      <w:r>
        <w:t xml:space="preserve">4.2 Recommendations for data packages</w:t>
      </w:r>
    </w:p>
    <w:bookmarkStart w:id="67" w:name="reasons-to-archive-documents-as-data"/>
    <w:p>
      <w:pPr>
        <w:pStyle w:val="Heading3"/>
      </w:pPr>
      <w:r>
        <w:t xml:space="preserve">4.2.1 Reasons to archive documents as data</w:t>
      </w:r>
    </w:p>
    <w:p>
      <w:pPr>
        <w:pStyle w:val="Compact"/>
        <w:numPr>
          <w:ilvl w:val="0"/>
          <w:numId w:val="1004"/>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4"/>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4"/>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67"/>
    <w:bookmarkStart w:id="68" w:name="Xc4b31282fe97ee2bf135fa27c993e55e68e1cb8"/>
    <w:p>
      <w:pPr>
        <w:pStyle w:val="Heading3"/>
      </w:pPr>
      <w:r>
        <w:t xml:space="preserve">4.2.2 Considerations for data package structure</w:t>
      </w:r>
    </w:p>
    <w:p>
      <w:pPr>
        <w:pStyle w:val="Compact"/>
        <w:numPr>
          <w:ilvl w:val="0"/>
          <w:numId w:val="1005"/>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53">
        <w:r>
          <w:rPr>
            <w:rStyle w:val="Hyperlink"/>
          </w:rPr>
          <w:t xml:space="preserve">Large Data Sets</w:t>
        </w:r>
      </w:hyperlink>
      <w:r>
        <w:t xml:space="preserve">.</w:t>
      </w:r>
    </w:p>
    <w:p>
      <w:pPr>
        <w:pStyle w:val="Compact"/>
        <w:numPr>
          <w:ilvl w:val="0"/>
          <w:numId w:val="1005"/>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5"/>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5"/>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5"/>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5"/>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68"/>
    <w:bookmarkStart w:id="76" w:name="documenting-data-packages"/>
    <w:p>
      <w:pPr>
        <w:pStyle w:val="Heading3"/>
      </w:pPr>
      <w:r>
        <w:t xml:space="preserve">4.2.3 Documenting data packages</w:t>
      </w:r>
    </w:p>
    <w:bookmarkStart w:id="72" w:name="ecological-metadata-language"/>
    <w:p>
      <w:pPr>
        <w:pStyle w:val="Heading4"/>
      </w:pPr>
      <w:r>
        <w:t xml:space="preserve">4.2.3.1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69">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70">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62">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71">
        <w:r>
          <w:rPr>
            <w:rStyle w:val="Hyperlink"/>
          </w:rPr>
          <w:t xml:space="preserve">photograph</w:t>
        </w:r>
      </w:hyperlink>
      <w:r>
        <w:t xml:space="preserve">). It is recommended the most specific applicable concept be used.</w:t>
      </w:r>
    </w:p>
    <w:bookmarkEnd w:id="72"/>
    <w:bookmarkStart w:id="75" w:name="data-inventory-table"/>
    <w:p>
      <w:pPr>
        <w:pStyle w:val="Heading4"/>
      </w:pPr>
      <w:r>
        <w:t xml:space="preserve">4.2.3.2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73">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74">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75"/>
    <w:bookmarkEnd w:id="76"/>
    <w:bookmarkEnd w:id="77"/>
    <w:bookmarkStart w:id="78" w:name="example-data-packages-in-edi-1"/>
    <w:p>
      <w:pPr>
        <w:pStyle w:val="Heading2"/>
      </w:pPr>
      <w:r>
        <w:t xml:space="preserve">4.3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78"/>
    <w:bookmarkStart w:id="82" w:name="resources-2"/>
    <w:p>
      <w:pPr>
        <w:pStyle w:val="Heading2"/>
      </w:pPr>
      <w:r>
        <w:t xml:space="preserve">4.4 Resources</w:t>
      </w:r>
    </w:p>
    <w:bookmarkStart w:id="81" w:name="considerations-for-digitizing-documents"/>
    <w:p>
      <w:pPr>
        <w:pStyle w:val="Heading3"/>
      </w:pPr>
      <w:r>
        <w:t xml:space="preserve">4.4.1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79">
        <w:r>
          <w:rPr>
            <w:rStyle w:val="Hyperlink"/>
            <w:i/>
            <w:iCs/>
          </w:rPr>
          <w:t xml:space="preserve">Technical Guidelines for Digitizing Archival Materials for Electronic Access</w:t>
        </w:r>
      </w:hyperlink>
      <w:r>
        <w:t xml:space="preserve">.</w:t>
      </w:r>
    </w:p>
    <w:p>
      <w:pPr>
        <w:pStyle w:val="Compact"/>
        <w:numPr>
          <w:ilvl w:val="0"/>
          <w:numId w:val="1006"/>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6"/>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6"/>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6"/>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6"/>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80">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81"/>
    <w:bookmarkEnd w:id="82"/>
    <w:bookmarkEnd w:id="83"/>
    <w:bookmarkStart w:id="100" w:name="spatial-data"/>
    <w:p>
      <w:pPr>
        <w:pStyle w:val="Heading1"/>
      </w:pPr>
      <w:r>
        <w:t xml:space="preserve">5. Spatial Data</w:t>
      </w:r>
    </w:p>
    <w:p>
      <w:pPr>
        <w:pStyle w:val="FirstParagraph"/>
      </w:pPr>
      <w:r>
        <w:t xml:space="preserve">Contributors: Tim Whiteaker, John Porter, Mary Martin</w:t>
      </w:r>
    </w:p>
    <w:bookmarkStart w:id="84" w:name="introduction-3"/>
    <w:p>
      <w:pPr>
        <w:pStyle w:val="Heading2"/>
      </w:pPr>
      <w:r>
        <w:t xml:space="preserve">5.1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84"/>
    <w:bookmarkStart w:id="99" w:name="recommendations-for-data-packages-3"/>
    <w:p>
      <w:pPr>
        <w:pStyle w:val="Heading2"/>
      </w:pPr>
      <w:r>
        <w:t xml:space="preserve">5.2 Recommendations for data packages</w:t>
      </w:r>
    </w:p>
    <w:bookmarkStart w:id="87" w:name="X41c20d8cfac2176d993fbbcf4844c2c74dc3aac"/>
    <w:p>
      <w:pPr>
        <w:pStyle w:val="Heading3"/>
      </w:pPr>
      <w:r>
        <w:t xml:space="preserve">5.2.1 Considerations for archiving spatial data</w:t>
      </w:r>
    </w:p>
    <w:bookmarkStart w:id="86" w:name="data-formats"/>
    <w:p>
      <w:pPr>
        <w:pStyle w:val="Heading4"/>
      </w:pPr>
      <w:r>
        <w:t xml:space="preserve">5.2.1.1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7"/>
        </w:numPr>
      </w:pPr>
      <w:r>
        <w:rPr>
          <w:b/>
          <w:bCs/>
        </w:rPr>
        <w:t xml:space="preserve">GeoTIFF</w:t>
      </w:r>
      <w:r>
        <w:t xml:space="preserve"> </w:t>
      </w:r>
      <w:r>
        <w:t xml:space="preserve">- An open format for storing spatial raster data and metadata in a TIFF file.</w:t>
      </w:r>
    </w:p>
    <w:p>
      <w:pPr>
        <w:pStyle w:val="Compact"/>
        <w:numPr>
          <w:ilvl w:val="0"/>
          <w:numId w:val="1007"/>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8"/>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8"/>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8"/>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09"/>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09"/>
        </w:numPr>
      </w:pPr>
      <w:r>
        <w:rPr>
          <w:b/>
          <w:bCs/>
        </w:rPr>
        <w:t xml:space="preserve">Shapefile</w:t>
      </w:r>
      <w:r>
        <w:t xml:space="preserve"> </w:t>
      </w:r>
      <w:r>
        <w:t xml:space="preserve">- A legacy format for vector data which is widely supported. Be aware of</w:t>
      </w:r>
      <w:r>
        <w:t xml:space="preserve"> </w:t>
      </w:r>
      <w:hyperlink r:id="rId85">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86"/>
    <w:bookmarkEnd w:id="87"/>
    <w:bookmarkStart w:id="98" w:name="documenting-spatial-data-packages"/>
    <w:p>
      <w:pPr>
        <w:pStyle w:val="Heading3"/>
      </w:pPr>
      <w:r>
        <w:t xml:space="preserve">5.2.2 Documenting spatial data packages</w:t>
      </w:r>
    </w:p>
    <w:bookmarkStart w:id="88" w:name="Xfd6d3aae6aec3baacd5d8a6f255f91b0dd17b8e"/>
    <w:p>
      <w:pPr>
        <w:pStyle w:val="Heading4"/>
      </w:pPr>
      <w:r>
        <w:t xml:space="preserve">5.2.2.1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88"/>
    <w:bookmarkStart w:id="90" w:name="otherentity"/>
    <w:p>
      <w:pPr>
        <w:pStyle w:val="Heading4"/>
      </w:pPr>
      <w:r>
        <w:t xml:space="preserve">5.2.2.2</w:t>
      </w:r>
      <w:r>
        <w:t xml:space="preserve"> </w:t>
      </w:r>
      <w:hyperlink r:id="rId89">
        <w:r>
          <w:rPr>
            <w:rStyle w:val="Hyperlink"/>
          </w:rPr>
          <w:t xml:space="preserve">otherEntity</w:t>
        </w:r>
      </w:hyperlink>
    </w:p>
    <w:p>
      <w:pPr>
        <w:pStyle w:val="Compact"/>
        <w:numPr>
          <w:ilvl w:val="0"/>
          <w:numId w:val="1010"/>
        </w:numPr>
      </w:pPr>
      <w:r>
        <w:t xml:space="preserve">Pros</w:t>
      </w:r>
    </w:p>
    <w:p>
      <w:pPr>
        <w:pStyle w:val="Compact"/>
        <w:numPr>
          <w:ilvl w:val="1"/>
          <w:numId w:val="1011"/>
        </w:numPr>
      </w:pPr>
      <w:r>
        <w:t xml:space="preserve">EML preparation is simpler than with the spatial EML types</w:t>
      </w:r>
    </w:p>
    <w:p>
      <w:pPr>
        <w:pStyle w:val="Compact"/>
        <w:numPr>
          <w:ilvl w:val="1"/>
          <w:numId w:val="1011"/>
        </w:numPr>
      </w:pPr>
      <w:r>
        <w:t xml:space="preserve">Allows aggregated data structures (e.g., file geodatabases)</w:t>
      </w:r>
    </w:p>
    <w:p>
      <w:pPr>
        <w:pStyle w:val="Compact"/>
        <w:numPr>
          <w:ilvl w:val="0"/>
          <w:numId w:val="1010"/>
        </w:numPr>
      </w:pPr>
      <w:r>
        <w:t xml:space="preserve">Cons</w:t>
      </w:r>
    </w:p>
    <w:p>
      <w:pPr>
        <w:pStyle w:val="Compact"/>
        <w:numPr>
          <w:ilvl w:val="1"/>
          <w:numId w:val="1012"/>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2"/>
        </w:numPr>
      </w:pPr>
      <w:r>
        <w:t xml:space="preserve">There is currently no controlled keywording to identify spatial data files that are included as otherEntity in EML</w:t>
      </w:r>
    </w:p>
    <w:p>
      <w:pPr>
        <w:pStyle w:val="Compact"/>
        <w:numPr>
          <w:ilvl w:val="1"/>
          <w:numId w:val="1012"/>
        </w:numPr>
      </w:pPr>
      <w:r>
        <w:t xml:space="preserve">Tabular attributes of geometric entities may not be described in detail</w:t>
      </w:r>
    </w:p>
    <w:p>
      <w:pPr>
        <w:pStyle w:val="Compact"/>
        <w:numPr>
          <w:ilvl w:val="1"/>
          <w:numId w:val="1012"/>
        </w:numPr>
      </w:pPr>
      <w:r>
        <w:t xml:space="preserve">Units (latitude/longitude vs meters vs feet) and projections may not be identified</w:t>
      </w:r>
    </w:p>
    <w:bookmarkEnd w:id="90"/>
    <w:bookmarkStart w:id="93" w:name="spatialrastervector"/>
    <w:p>
      <w:pPr>
        <w:pStyle w:val="Heading4"/>
      </w:pPr>
      <w:r>
        <w:t xml:space="preserve">5.2.2.3 spatial[</w:t>
      </w:r>
      <w:hyperlink r:id="rId91">
        <w:r>
          <w:rPr>
            <w:rStyle w:val="Hyperlink"/>
          </w:rPr>
          <w:t xml:space="preserve">Raster</w:t>
        </w:r>
      </w:hyperlink>
      <w:r>
        <w:t xml:space="preserve">,</w:t>
      </w:r>
      <w:hyperlink r:id="rId92">
        <w:r>
          <w:rPr>
            <w:rStyle w:val="Hyperlink"/>
          </w:rPr>
          <w:t xml:space="preserve">Vector</w:t>
        </w:r>
      </w:hyperlink>
      <w:r>
        <w:t xml:space="preserve">]</w:t>
      </w:r>
    </w:p>
    <w:p>
      <w:pPr>
        <w:pStyle w:val="Compact"/>
        <w:numPr>
          <w:ilvl w:val="0"/>
          <w:numId w:val="1013"/>
        </w:numPr>
      </w:pPr>
      <w:r>
        <w:t xml:space="preserve">Pros</w:t>
      </w:r>
    </w:p>
    <w:p>
      <w:pPr>
        <w:pStyle w:val="Compact"/>
        <w:numPr>
          <w:ilvl w:val="1"/>
          <w:numId w:val="1014"/>
        </w:numPr>
      </w:pPr>
      <w:r>
        <w:t xml:space="preserve">EML more fully describes vector attributes</w:t>
      </w:r>
    </w:p>
    <w:p>
      <w:pPr>
        <w:pStyle w:val="Compact"/>
        <w:numPr>
          <w:ilvl w:val="1"/>
          <w:numId w:val="1014"/>
        </w:numPr>
      </w:pPr>
      <w:r>
        <w:t xml:space="preserve">There is a well documented path from Esri metadata to EML</w:t>
      </w:r>
    </w:p>
    <w:p>
      <w:pPr>
        <w:pStyle w:val="Compact"/>
        <w:numPr>
          <w:ilvl w:val="1"/>
          <w:numId w:val="1014"/>
        </w:numPr>
      </w:pPr>
      <w:r>
        <w:t xml:space="preserve">An EML metadata search (on EDI or elsewhere) clearly identifies these as spatial datasets through the use of spatialRaster or spatialVector entities</w:t>
      </w:r>
    </w:p>
    <w:p>
      <w:pPr>
        <w:pStyle w:val="Compact"/>
        <w:numPr>
          <w:ilvl w:val="1"/>
          <w:numId w:val="1014"/>
        </w:numPr>
      </w:pPr>
      <w:r>
        <w:t xml:space="preserve">LTER has built applications based on spatial[Raster,Vector] entities</w:t>
      </w:r>
    </w:p>
    <w:p>
      <w:pPr>
        <w:pStyle w:val="Compact"/>
        <w:numPr>
          <w:ilvl w:val="0"/>
          <w:numId w:val="1013"/>
        </w:numPr>
      </w:pPr>
      <w:r>
        <w:t xml:space="preserve">Cons</w:t>
      </w:r>
    </w:p>
    <w:p>
      <w:pPr>
        <w:pStyle w:val="Compact"/>
        <w:numPr>
          <w:ilvl w:val="1"/>
          <w:numId w:val="1015"/>
        </w:numPr>
      </w:pPr>
      <w:r>
        <w:t xml:space="preserve">Data may not originate in ArcGIS, requiring a custom workflow to generate spatial entity EML</w:t>
      </w:r>
    </w:p>
    <w:p>
      <w:pPr>
        <w:pStyle w:val="Compact"/>
        <w:numPr>
          <w:ilvl w:val="1"/>
          <w:numId w:val="1015"/>
        </w:numPr>
      </w:pPr>
      <w:r>
        <w:t xml:space="preserve">Spatial[Raster,Vector] can’t describe multi-layer aggregates of GIS data (e.g., geodatabases containing multiple feature classes)</w:t>
      </w:r>
    </w:p>
    <w:bookmarkEnd w:id="93"/>
    <w:bookmarkStart w:id="94" w:name="keywords"/>
    <w:p>
      <w:pPr>
        <w:pStyle w:val="Heading4"/>
      </w:pPr>
      <w:r>
        <w:t xml:space="preserve">5.2.2.4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94"/>
    <w:bookmarkStart w:id="95" w:name="gis-software-compatible-metadata"/>
    <w:p>
      <w:pPr>
        <w:pStyle w:val="Heading4"/>
      </w:pPr>
      <w:r>
        <w:t xml:space="preserve">5.2.2.5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95"/>
    <w:bookmarkStart w:id="96" w:name="X836812eba376e882f5e55683219ea8923badcc8"/>
    <w:p>
      <w:pPr>
        <w:pStyle w:val="Heading4"/>
      </w:pPr>
      <w:r>
        <w:t xml:space="preserve">5.2.2.6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89">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96"/>
    <w:bookmarkStart w:id="97" w:name="Xda3cfdc1e5c75e62d3814ab6a2d7220913e8813"/>
    <w:p>
      <w:pPr>
        <w:pStyle w:val="Heading4"/>
      </w:pPr>
      <w:r>
        <w:t xml:space="preserve">5.2.2.7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17">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6"/>
        </w:numPr>
      </w:pPr>
      <w:r>
        <w:t xml:space="preserve">Esri Shapefile (zipped)</w:t>
      </w:r>
    </w:p>
    <w:p>
      <w:pPr>
        <w:pStyle w:val="Compact"/>
        <w:numPr>
          <w:ilvl w:val="0"/>
          <w:numId w:val="1016"/>
        </w:numPr>
      </w:pPr>
      <w:r>
        <w:t xml:space="preserve">Google Earth Keyhole Markup Language (KML)</w:t>
      </w:r>
    </w:p>
    <w:p>
      <w:pPr>
        <w:pStyle w:val="Compact"/>
        <w:numPr>
          <w:ilvl w:val="0"/>
          <w:numId w:val="1016"/>
        </w:numPr>
      </w:pPr>
      <w:r>
        <w:t xml:space="preserve">Google Earth Keyhole Markup Language (KML) Compressed archive</w:t>
      </w:r>
    </w:p>
    <w:p>
      <w:pPr>
        <w:pStyle w:val="Compact"/>
        <w:numPr>
          <w:ilvl w:val="0"/>
          <w:numId w:val="1016"/>
        </w:numPr>
      </w:pPr>
      <w:r>
        <w:t xml:space="preserve">Network Common Data Format, version 4</w:t>
      </w:r>
    </w:p>
    <w:p>
      <w:pPr>
        <w:pStyle w:val="Compact"/>
        <w:numPr>
          <w:ilvl w:val="0"/>
          <w:numId w:val="1016"/>
        </w:numPr>
      </w:pPr>
      <w:r>
        <w:t xml:space="preserve">Hierarchical Data Format version 5 (HDF5)</w:t>
      </w:r>
    </w:p>
    <w:p>
      <w:pPr>
        <w:pStyle w:val="Compact"/>
        <w:numPr>
          <w:ilvl w:val="0"/>
          <w:numId w:val="1016"/>
        </w:numPr>
      </w:pPr>
      <w:r>
        <w:t xml:space="preserve">GeoTIFF</w:t>
      </w:r>
    </w:p>
    <w:p>
      <w:pPr>
        <w:pStyle w:val="Compact"/>
        <w:numPr>
          <w:ilvl w:val="0"/>
          <w:numId w:val="1016"/>
        </w:numPr>
      </w:pPr>
      <w:r>
        <w:t xml:space="preserve">GeoPackage Encoding Standard (OGC) Format Family</w:t>
      </w:r>
    </w:p>
    <w:p>
      <w:pPr>
        <w:pStyle w:val="Compact"/>
        <w:numPr>
          <w:ilvl w:val="0"/>
          <w:numId w:val="1016"/>
        </w:numPr>
      </w:pPr>
      <w:r>
        <w:t xml:space="preserve">Esri File Geodatabase (zipped)</w:t>
      </w:r>
    </w:p>
    <w:p>
      <w:pPr>
        <w:pStyle w:val="Compact"/>
        <w:numPr>
          <w:ilvl w:val="0"/>
          <w:numId w:val="1016"/>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97"/>
    <w:bookmarkEnd w:id="98"/>
    <w:bookmarkEnd w:id="99"/>
    <w:bookmarkEnd w:id="100"/>
    <w:bookmarkStart w:id="123" w:name="Xb336df26922dd60cfb4fc38fb99f47471eeb413"/>
    <w:p>
      <w:pPr>
        <w:pStyle w:val="Heading1"/>
      </w:pPr>
      <w:r>
        <w:t xml:space="preserve">6.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01" w:name="introduction-4"/>
    <w:p>
      <w:pPr>
        <w:pStyle w:val="Heading2"/>
      </w:pPr>
      <w:r>
        <w:t xml:space="preserve">6.1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01"/>
    <w:bookmarkStart w:id="112" w:name="recommendations-for-data-packages-4"/>
    <w:p>
      <w:pPr>
        <w:pStyle w:val="Heading2"/>
      </w:pPr>
      <w:r>
        <w:t xml:space="preserve">6.2 Recommendations for data packages</w:t>
      </w:r>
    </w:p>
    <w:p>
      <w:pPr>
        <w:pStyle w:val="FirstParagraph"/>
      </w:pPr>
      <w:r>
        <w:t xml:space="preserve">General considerations for archiving data from moving sensor platforms</w:t>
      </w:r>
    </w:p>
    <w:p>
      <w:pPr>
        <w:pStyle w:val="Compact"/>
        <w:numPr>
          <w:ilvl w:val="0"/>
          <w:numId w:val="1017"/>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02">
        <w:r>
          <w:rPr>
            <w:rStyle w:val="Hyperlink"/>
          </w:rPr>
          <w:t xml:space="preserve">https://opentopography.org/</w:t>
        </w:r>
      </w:hyperlink>
      <w:r>
        <w:t xml:space="preserve">); for AUV data, the U.S. Marine Geoscience Data System (MGDS) (</w:t>
      </w:r>
      <w:hyperlink r:id="rId103">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04">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63">
        <w:r>
          <w:rPr>
            <w:rStyle w:val="Hyperlink"/>
          </w:rPr>
          <w:t xml:space="preserve">Data in Other Repositories</w:t>
        </w:r>
      </w:hyperlink>
      <w:r>
        <w:t xml:space="preserve"> </w:t>
      </w:r>
      <w:r>
        <w:t xml:space="preserve">chapter may apply.</w:t>
      </w:r>
    </w:p>
    <w:p>
      <w:pPr>
        <w:pStyle w:val="Compact"/>
        <w:numPr>
          <w:ilvl w:val="0"/>
          <w:numId w:val="1017"/>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05">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7"/>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06">
        <w:r>
          <w:rPr>
            <w:rStyle w:val="Hyperlink"/>
          </w:rPr>
          <w:t xml:space="preserve">Images and Documents as Data</w:t>
        </w:r>
      </w:hyperlink>
      <w:r>
        <w:t xml:space="preserve"> </w:t>
      </w:r>
      <w:r>
        <w:t xml:space="preserve">chapter. For derived geospatial files, such as DEMs, refer to the</w:t>
      </w:r>
      <w:r>
        <w:t xml:space="preserve"> </w:t>
      </w:r>
      <w:hyperlink r:id="rId107">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47">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09" w:name="Xdee79c3f26affef1a27a47f7a6cb3c58554e985"/>
    <w:p>
      <w:pPr>
        <w:pStyle w:val="Heading3"/>
      </w:pPr>
      <w:r>
        <w:t xml:space="preserve">6.2.1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8"/>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8"/>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8"/>
        </w:numPr>
      </w:pPr>
      <w:r>
        <w:rPr>
          <w:b/>
          <w:bCs/>
        </w:rPr>
        <w:t xml:space="preserve">Software:</w:t>
      </w:r>
      <w:r>
        <w:t xml:space="preserve"> </w:t>
      </w:r>
      <w:r>
        <w:t xml:space="preserve">(see also</w:t>
      </w:r>
      <w:r>
        <w:t xml:space="preserve"> </w:t>
      </w:r>
      <w:hyperlink r:id="rId47">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8"/>
        </w:numPr>
      </w:pPr>
      <w:r>
        <w:rPr>
          <w:b/>
          <w:bCs/>
        </w:rPr>
        <w:t xml:space="preserve">People with specified role:</w:t>
      </w:r>
      <w:r>
        <w:t xml:space="preserve"> </w:t>
      </w:r>
      <w:r>
        <w:t xml:space="preserve">drone operator, image processor</w:t>
      </w:r>
    </w:p>
    <w:p>
      <w:pPr>
        <w:pStyle w:val="Compact"/>
        <w:numPr>
          <w:ilvl w:val="0"/>
          <w:numId w:val="1018"/>
        </w:numPr>
      </w:pPr>
      <w:r>
        <w:rPr>
          <w:b/>
          <w:bCs/>
        </w:rPr>
        <w:t xml:space="preserve">Geographic Information:</w:t>
      </w:r>
      <w:r>
        <w:t xml:space="preserve"> </w:t>
      </w:r>
      <w:r>
        <w:t xml:space="preserve">(see also</w:t>
      </w:r>
      <w:r>
        <w:t xml:space="preserve"> </w:t>
      </w:r>
      <w:hyperlink r:id="rId108">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8"/>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8"/>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65">
        <w:r>
          <w:rPr>
            <w:rStyle w:val="Hyperlink"/>
          </w:rPr>
          <w:t xml:space="preserve">Spatial Data chapter</w:t>
        </w:r>
      </w:hyperlink>
      <w:r>
        <w:t xml:space="preserve"> </w:t>
      </w:r>
      <w:r>
        <w:t xml:space="preserve">are largely applicable.</w:t>
      </w:r>
    </w:p>
    <w:bookmarkEnd w:id="109"/>
    <w:bookmarkStart w:id="111" w:name="Xde7a4fca87e71be831f0191db08098acc08f179"/>
    <w:p>
      <w:pPr>
        <w:pStyle w:val="Heading3"/>
      </w:pPr>
      <w:r>
        <w:t xml:space="preserve">6.2.2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10">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11"/>
    <w:bookmarkEnd w:id="112"/>
    <w:bookmarkStart w:id="122" w:name="resources-3"/>
    <w:p>
      <w:pPr>
        <w:pStyle w:val="Heading2"/>
      </w:pPr>
      <w:r>
        <w:t xml:space="preserve">6.3 Resources</w:t>
      </w:r>
    </w:p>
    <w:bookmarkStart w:id="114" w:name="tips-and-tricks"/>
    <w:p>
      <w:pPr>
        <w:pStyle w:val="Heading3"/>
      </w:pPr>
      <w:r>
        <w:t xml:space="preserve">6.3.1 Tips and Tricks</w:t>
      </w:r>
    </w:p>
    <w:p>
      <w:pPr>
        <w:pStyle w:val="FirstParagraph"/>
      </w:pPr>
      <w:r>
        <w:t xml:space="preserve">For making an image catalog (.csv) from a directory of images, consider using the exif tool</w:t>
      </w:r>
      <w:r>
        <w:t xml:space="preserve"> </w:t>
      </w:r>
      <w:hyperlink r:id="rId11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14"/>
    <w:bookmarkStart w:id="121" w:name="semantic-annotation"/>
    <w:p>
      <w:pPr>
        <w:pStyle w:val="Heading3"/>
      </w:pPr>
      <w:r>
        <w:t xml:space="preserve">6.3.2 Semantic Annotation</w:t>
      </w:r>
    </w:p>
    <w:p>
      <w:pPr>
        <w:pStyle w:val="FirstParagraph"/>
      </w:pPr>
      <w:r>
        <w:t xml:space="preserve">Semantic annotation of drone imagery is a rapidly developing field. Ontologies that provide relevant terms include:</w:t>
      </w:r>
      <w:r>
        <w:t xml:space="preserve"> </w:t>
      </w:r>
      <w:hyperlink r:id="rId115">
        <w:r>
          <w:rPr>
            <w:rStyle w:val="Hyperlink"/>
          </w:rPr>
          <w:t xml:space="preserve">dronetology</w:t>
        </w:r>
      </w:hyperlink>
      <w:r>
        <w:t xml:space="preserve">;</w:t>
      </w:r>
      <w:r>
        <w:t xml:space="preserve"> </w:t>
      </w:r>
      <w:hyperlink r:id="rId116">
        <w:r>
          <w:rPr>
            <w:rStyle w:val="Hyperlink"/>
          </w:rPr>
          <w:t xml:space="preserve">sensorML</w:t>
        </w:r>
      </w:hyperlink>
      <w:r>
        <w:t xml:space="preserve">;</w:t>
      </w:r>
      <w:r>
        <w:t xml:space="preserve"> </w:t>
      </w:r>
      <w:hyperlink r:id="rId11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18">
        <w:r>
          <w:rPr>
            <w:rStyle w:val="Hyperlink"/>
          </w:rPr>
          <w:t xml:space="preserve">Semantic Sensor Network ontology</w:t>
        </w:r>
      </w:hyperlink>
      <w:r>
        <w:t xml:space="preserve"> </w:t>
      </w:r>
      <w:r>
        <w:t xml:space="preserve">(SSN, including the SOSA core);</w:t>
      </w:r>
      <w:r>
        <w:t xml:space="preserve"> </w:t>
      </w:r>
      <w:hyperlink r:id="rId119">
        <w:r>
          <w:rPr>
            <w:rStyle w:val="Hyperlink"/>
          </w:rPr>
          <w:t xml:space="preserve">Semantic Web for Earth and Environment Technology ontology</w:t>
        </w:r>
      </w:hyperlink>
      <w:r>
        <w:t xml:space="preserve"> </w:t>
      </w:r>
      <w:r>
        <w:t xml:space="preserve">(SWEET); and</w:t>
      </w:r>
      <w:r>
        <w:t xml:space="preserve"> </w:t>
      </w:r>
      <w:hyperlink r:id="rId120">
        <w:r>
          <w:rPr>
            <w:rStyle w:val="Hyperlink"/>
          </w:rPr>
          <w:t xml:space="preserve">Environment Ontology</w:t>
        </w:r>
      </w:hyperlink>
      <w:r>
        <w:t xml:space="preserve">.</w:t>
      </w:r>
    </w:p>
    <w:bookmarkEnd w:id="121"/>
    <w:bookmarkEnd w:id="122"/>
    <w:bookmarkEnd w:id="123"/>
    <w:bookmarkStart w:id="171" w:name="data-in-other-repositories"/>
    <w:p>
      <w:pPr>
        <w:pStyle w:val="Heading1"/>
      </w:pPr>
      <w:r>
        <w:t xml:space="preserve">7.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27" w:name="introduction-5"/>
    <w:p>
      <w:pPr>
        <w:pStyle w:val="Heading2"/>
      </w:pPr>
      <w:r>
        <w:t xml:space="preserve">7.1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24">
        <w:r>
          <w:rPr>
            <w:rStyle w:val="Hyperlink"/>
          </w:rPr>
          <w:t xml:space="preserve">DataONE</w:t>
        </w:r>
      </w:hyperlink>
      <w:r>
        <w:t xml:space="preserve">,</w:t>
      </w:r>
      <w:r>
        <w:t xml:space="preserve"> </w:t>
      </w:r>
      <w:hyperlink r:id="rId125">
        <w:r>
          <w:rPr>
            <w:rStyle w:val="Hyperlink"/>
          </w:rPr>
          <w:t xml:space="preserve">ProvONE</w:t>
        </w:r>
      </w:hyperlink>
      <w:r>
        <w:t xml:space="preserve">,</w:t>
      </w:r>
      <w:r>
        <w:t xml:space="preserve"> </w:t>
      </w:r>
      <w:hyperlink r:id="rId12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27"/>
    <w:bookmarkStart w:id="137" w:name="recommendations-for-data-packages-5"/>
    <w:p>
      <w:pPr>
        <w:pStyle w:val="Heading2"/>
      </w:pPr>
      <w:r>
        <w:t xml:space="preserve">7.2 Recommendations for data packages</w:t>
      </w:r>
    </w:p>
    <w:bookmarkStart w:id="129" w:name="considerations-for-creating-linked-data"/>
    <w:p>
      <w:pPr>
        <w:pStyle w:val="Heading3"/>
      </w:pPr>
      <w:r>
        <w:t xml:space="preserve">7.2.1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2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19"/>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19"/>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19"/>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19"/>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19"/>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29"/>
    <w:bookmarkStart w:id="130" w:name="Xe04291de54418b43a7d4df1948b27f117aee3c5"/>
    <w:p>
      <w:pPr>
        <w:pStyle w:val="Heading3"/>
      </w:pPr>
      <w:r>
        <w:t xml:space="preserve">7.2.2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0"/>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0"/>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0"/>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0"/>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30"/>
    <w:bookmarkStart w:id="136" w:name="X30d5282e2645dd7a0f1fe09a6dcd4b2e9775593"/>
    <w:p>
      <w:pPr>
        <w:pStyle w:val="Heading3"/>
      </w:pPr>
      <w:r>
        <w:t xml:space="preserve">7.2.3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1"/>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1"/>
        </w:numPr>
      </w:pPr>
      <w:r>
        <w:t xml:space="preserve">Include instructions on how to access and cite the original data if the original repository is lacking in such guidance.</w:t>
      </w:r>
    </w:p>
    <w:p>
      <w:pPr>
        <w:pStyle w:val="Compact"/>
        <w:numPr>
          <w:ilvl w:val="0"/>
          <w:numId w:val="1021"/>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1"/>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2"/>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2"/>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74">
        <w:r>
          <w:rPr>
            <w:rStyle w:val="Hyperlink"/>
          </w:rPr>
          <w:t xml:space="preserve">dataTable</w:t>
        </w:r>
      </w:hyperlink>
      <w:r>
        <w:t xml:space="preserve"> </w:t>
      </w:r>
      <w:r>
        <w:t xml:space="preserve">entity.</w:t>
      </w:r>
    </w:p>
    <w:p>
      <w:pPr>
        <w:pStyle w:val="Compact"/>
        <w:numPr>
          <w:ilvl w:val="0"/>
          <w:numId w:val="1022"/>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2"/>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3"/>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3"/>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3"/>
        </w:numPr>
      </w:pPr>
      <w:r>
        <w:t xml:space="preserve">Other cross-repository standards for provenance metadata are still being developed and are not widely adopted, e.g.,</w:t>
      </w:r>
      <w:r>
        <w:t xml:space="preserve"> </w:t>
      </w:r>
      <w:hyperlink r:id="rId131">
        <w:r>
          <w:rPr>
            <w:rStyle w:val="Hyperlink"/>
          </w:rPr>
          <w:t xml:space="preserve">ProvONE</w:t>
        </w:r>
      </w:hyperlink>
      <w:r>
        <w:t xml:space="preserve">.</w:t>
      </w:r>
    </w:p>
    <w:p>
      <w:pPr>
        <w:pStyle w:val="Compact"/>
        <w:numPr>
          <w:ilvl w:val="0"/>
          <w:numId w:val="1023"/>
        </w:numPr>
      </w:pPr>
      <w:r>
        <w:t xml:space="preserve">The EDI portal interface provides</w:t>
      </w:r>
      <w:r>
        <w:t xml:space="preserve"> </w:t>
      </w:r>
      <w:hyperlink r:id="rId132">
        <w:r>
          <w:rPr>
            <w:rStyle w:val="Hyperlink"/>
          </w:rPr>
          <w:t xml:space="preserve">automatic generation of provenance metadata</w:t>
        </w:r>
      </w:hyperlink>
      <w:r>
        <w:t xml:space="preserve"> </w:t>
      </w:r>
      <w:r>
        <w:t xml:space="preserve">EML snippets for datasets in EDI. The</w:t>
      </w:r>
      <w:r>
        <w:t xml:space="preserve"> </w:t>
      </w:r>
      <w:hyperlink r:id="rId133">
        <w:r>
          <w:rPr>
            <w:rStyle w:val="Hyperlink"/>
          </w:rPr>
          <w:t xml:space="preserve">EMLassemblyline</w:t>
        </w:r>
      </w:hyperlink>
      <w:r>
        <w:t xml:space="preserve"> </w:t>
      </w:r>
      <w:r>
        <w:t xml:space="preserve">and</w:t>
      </w:r>
      <w:r>
        <w:t xml:space="preserve"> </w:t>
      </w:r>
      <w:hyperlink r:id="rId134">
        <w:r>
          <w:rPr>
            <w:rStyle w:val="Hyperlink"/>
          </w:rPr>
          <w:t xml:space="preserve">MetaEgress</w:t>
        </w:r>
      </w:hyperlink>
      <w:r>
        <w:t xml:space="preserve"> </w:t>
      </w:r>
      <w:r>
        <w:t xml:space="preserve">(in connection with</w:t>
      </w:r>
      <w:r>
        <w:t xml:space="preserve"> </w:t>
      </w:r>
      <w:hyperlink r:id="rId135">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36"/>
    <w:bookmarkEnd w:id="137"/>
    <w:bookmarkStart w:id="144" w:name="nucleotide-sequence-and-genomic-data"/>
    <w:p>
      <w:pPr>
        <w:pStyle w:val="Heading2"/>
      </w:pPr>
      <w:r>
        <w:t xml:space="preserve">7.3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38">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43" w:name="X6c0e1ddde02843bac3667eda807cda690a7c983"/>
    <w:p>
      <w:pPr>
        <w:pStyle w:val="Heading3"/>
      </w:pPr>
      <w:r>
        <w:t xml:space="preserve">7.3.1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39">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4"/>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4"/>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4"/>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4"/>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4"/>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4"/>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40">
        <w:r>
          <w:rPr>
            <w:rStyle w:val="Hyperlink"/>
          </w:rPr>
          <w:t xml:space="preserve">https://www.ncbi.nlm.nih.gov/nuccore/AY741555</w:t>
        </w:r>
      </w:hyperlink>
      <w:r>
        <w:t xml:space="preserve">). Referring to a range of accession numbers, may involve providing a search URL that will return the desired list, e.g. (</w:t>
      </w:r>
      <w:hyperlink r:id="rId141">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5"/>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5"/>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39">
        <w:r>
          <w:rPr>
            <w:rStyle w:val="Hyperlink"/>
          </w:rPr>
          <w:t xml:space="preserve">MixS templates</w:t>
        </w:r>
      </w:hyperlink>
      <w:r>
        <w:t xml:space="preserve"> </w:t>
      </w:r>
      <w:r>
        <w:t xml:space="preserve">and</w:t>
      </w:r>
      <w:r>
        <w:t xml:space="preserve"> </w:t>
      </w:r>
      <w:hyperlink r:id="rId142">
        <w:r>
          <w:rPr>
            <w:rStyle w:val="Hyperlink"/>
          </w:rPr>
          <w:t xml:space="preserve">EnvO</w:t>
        </w:r>
      </w:hyperlink>
      <w:r>
        <w:t xml:space="preserve">.</w:t>
      </w:r>
    </w:p>
    <w:p>
      <w:pPr>
        <w:pStyle w:val="Compact"/>
        <w:numPr>
          <w:ilvl w:val="0"/>
          <w:numId w:val="1025"/>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43"/>
    <w:bookmarkEnd w:id="144"/>
    <w:bookmarkStart w:id="145" w:name="example-data-packages-in-edi-2"/>
    <w:p>
      <w:pPr>
        <w:pStyle w:val="Heading2"/>
      </w:pPr>
      <w:r>
        <w:t xml:space="preserve">7.4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45"/>
    <w:bookmarkStart w:id="170" w:name="appendix-tips-and-repository-information"/>
    <w:p>
      <w:pPr>
        <w:pStyle w:val="Heading2"/>
      </w:pPr>
      <w:r>
        <w:t xml:space="preserve">7.5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61" w:name="X06569ec26e86255cfb80bace1d973f54a6d18f2"/>
    <w:p>
      <w:pPr>
        <w:pStyle w:val="Heading3"/>
      </w:pPr>
      <w:r>
        <w:t xml:space="preserve">7.5.1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46">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47">
        <w:r>
          <w:rPr>
            <w:rStyle w:val="Hyperlink"/>
            <w:i/>
            <w:iCs/>
          </w:rPr>
          <w:t xml:space="preserve">Nucleic Acids Research</w:t>
        </w:r>
      </w:hyperlink>
      <w:r>
        <w:t xml:space="preserve"> </w:t>
      </w:r>
      <w:r>
        <w:t xml:space="preserve">(summarized on</w:t>
      </w:r>
      <w:r>
        <w:t xml:space="preserve"> </w:t>
      </w:r>
      <w:hyperlink r:id="rId148">
        <w:r>
          <w:rPr>
            <w:rStyle w:val="Hyperlink"/>
          </w:rPr>
          <w:t xml:space="preserve">this page</w:t>
        </w:r>
      </w:hyperlink>
      <w:r>
        <w:t xml:space="preserve">). Metadata standards and collaborative structures among these repositories are governed by the</w:t>
      </w:r>
      <w:r>
        <w:t xml:space="preserve"> </w:t>
      </w:r>
      <w:hyperlink r:id="rId149">
        <w:r>
          <w:rPr>
            <w:rStyle w:val="Hyperlink"/>
          </w:rPr>
          <w:t xml:space="preserve">International Nucleotide Sequence Database Collaboration</w:t>
        </w:r>
      </w:hyperlink>
      <w:r>
        <w:t xml:space="preserve"> </w:t>
      </w:r>
      <w:r>
        <w:t xml:space="preserve">(INSDC, more guidance</w:t>
      </w:r>
      <w:r>
        <w:t xml:space="preserve"> </w:t>
      </w:r>
      <w:hyperlink r:id="rId150">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6"/>
        </w:numPr>
      </w:pPr>
      <w:hyperlink r:id="rId151">
        <w:r>
          <w:rPr>
            <w:rStyle w:val="Hyperlink"/>
          </w:rPr>
          <w:t xml:space="preserve">NCBI Databases</w:t>
        </w:r>
      </w:hyperlink>
      <w:r>
        <w:t xml:space="preserve"> </w:t>
      </w:r>
      <w:r>
        <w:t xml:space="preserve">- list of various databases with search capabilities. See also</w:t>
      </w:r>
      <w:r>
        <w:t xml:space="preserve"> </w:t>
      </w:r>
      <w:hyperlink r:id="rId152">
        <w:r>
          <w:rPr>
            <w:rStyle w:val="Hyperlink"/>
          </w:rPr>
          <w:t xml:space="preserve">How to submit data to GenBank</w:t>
        </w:r>
      </w:hyperlink>
      <w:r>
        <w:t xml:space="preserve">.</w:t>
      </w:r>
    </w:p>
    <w:p>
      <w:pPr>
        <w:pStyle w:val="Compact"/>
        <w:numPr>
          <w:ilvl w:val="0"/>
          <w:numId w:val="1026"/>
        </w:numPr>
      </w:pPr>
      <w:hyperlink r:id="rId153">
        <w:r>
          <w:rPr>
            <w:rStyle w:val="Hyperlink"/>
          </w:rPr>
          <w:t xml:space="preserve">NCBI Accession Number prefixes</w:t>
        </w:r>
      </w:hyperlink>
      <w:r>
        <w:t xml:space="preserve"> </w:t>
      </w:r>
      <w:r>
        <w:t xml:space="preserve">- Explanation of accession number prefix codes.</w:t>
      </w:r>
    </w:p>
    <w:p>
      <w:pPr>
        <w:pStyle w:val="Compact"/>
        <w:numPr>
          <w:ilvl w:val="0"/>
          <w:numId w:val="1026"/>
        </w:numPr>
      </w:pPr>
      <w:hyperlink r:id="rId154">
        <w:r>
          <w:rPr>
            <w:rStyle w:val="Hyperlink"/>
          </w:rPr>
          <w:t xml:space="preserve">DNA DataBank of Japan (DDBJ)</w:t>
        </w:r>
      </w:hyperlink>
      <w:r>
        <w:t xml:space="preserve"> </w:t>
      </w:r>
      <w:r>
        <w:t xml:space="preserve">- list of various databases with search capabilities. See also</w:t>
      </w:r>
      <w:r>
        <w:t xml:space="preserve"> </w:t>
      </w:r>
      <w:hyperlink r:id="rId155">
        <w:r>
          <w:rPr>
            <w:rStyle w:val="Hyperlink"/>
          </w:rPr>
          <w:t xml:space="preserve">Submissions</w:t>
        </w:r>
      </w:hyperlink>
      <w:r>
        <w:t xml:space="preserve">.</w:t>
      </w:r>
    </w:p>
    <w:p>
      <w:pPr>
        <w:pStyle w:val="Compact"/>
        <w:numPr>
          <w:ilvl w:val="0"/>
          <w:numId w:val="1026"/>
        </w:numPr>
      </w:pPr>
      <w:hyperlink r:id="rId156">
        <w:r>
          <w:rPr>
            <w:rStyle w:val="Hyperlink"/>
          </w:rPr>
          <w:t xml:space="preserve">European Nucleotide Archive (ENA)</w:t>
        </w:r>
      </w:hyperlink>
      <w:r>
        <w:t xml:space="preserve"> </w:t>
      </w:r>
      <w:r>
        <w:t xml:space="preserve">- list of various databases with search capabilities. See also</w:t>
      </w:r>
      <w:r>
        <w:t xml:space="preserve"> </w:t>
      </w:r>
      <w:hyperlink r:id="rId157">
        <w:r>
          <w:rPr>
            <w:rStyle w:val="Hyperlink"/>
          </w:rPr>
          <w:t xml:space="preserve">Submit and update</w:t>
        </w:r>
      </w:hyperlink>
      <w:r>
        <w:t xml:space="preserve">.</w:t>
      </w:r>
    </w:p>
    <w:p>
      <w:pPr>
        <w:pStyle w:val="Compact"/>
        <w:numPr>
          <w:ilvl w:val="0"/>
          <w:numId w:val="1026"/>
        </w:numPr>
      </w:pPr>
      <w:hyperlink r:id="rId158">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6"/>
        </w:numPr>
      </w:pPr>
      <w:hyperlink r:id="rId159">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6"/>
        </w:numPr>
      </w:pPr>
      <w:hyperlink r:id="rId160">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61"/>
    <w:bookmarkStart w:id="166" w:name="X2a5c3aafb7ebf2b847b5402d5615cd48e1be6ad"/>
    <w:p>
      <w:pPr>
        <w:pStyle w:val="Heading3"/>
      </w:pPr>
      <w:r>
        <w:t xml:space="preserve">7.5.2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7"/>
        </w:numPr>
      </w:pPr>
      <w:r>
        <w:t xml:space="preserve">For data in NCBI, go to the</w:t>
      </w:r>
      <w:r>
        <w:t xml:space="preserve"> </w:t>
      </w:r>
      <w:hyperlink r:id="rId151">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7"/>
        </w:numPr>
      </w:pPr>
      <w:r>
        <w:t xml:space="preserve">For sequences submitted to the</w:t>
      </w:r>
      <w:r>
        <w:t xml:space="preserve"> </w:t>
      </w:r>
      <w:hyperlink r:id="rId162">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63">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7"/>
        </w:numPr>
      </w:pPr>
      <w:r>
        <w:t xml:space="preserve">A full Data Carpentry tutorial on accessing data on the NCBI SRA database can be found here:</w:t>
      </w:r>
      <w:r>
        <w:t xml:space="preserve"> </w:t>
      </w:r>
      <w:hyperlink r:id="rId164">
        <w:r>
          <w:rPr>
            <w:rStyle w:val="Hyperlink"/>
          </w:rPr>
          <w:t xml:space="preserve">Examining Data on the NCBI SRA Database</w:t>
        </w:r>
      </w:hyperlink>
    </w:p>
    <w:p>
      <w:pPr>
        <w:pStyle w:val="Compact"/>
        <w:numPr>
          <w:ilvl w:val="0"/>
          <w:numId w:val="1027"/>
        </w:numPr>
      </w:pPr>
      <w:hyperlink r:id="rId165">
        <w:r>
          <w:rPr>
            <w:rStyle w:val="Hyperlink"/>
          </w:rPr>
          <w:t xml:space="preserve">BCO-DMO examples</w:t>
        </w:r>
      </w:hyperlink>
      <w:r>
        <w:t xml:space="preserve"> </w:t>
      </w:r>
      <w:r>
        <w:t xml:space="preserve">for contributing sequence accession numbers.</w:t>
      </w:r>
    </w:p>
    <w:bookmarkEnd w:id="166"/>
    <w:bookmarkStart w:id="169" w:name="darwin-core-standard-for-sequence-data"/>
    <w:p>
      <w:pPr>
        <w:pStyle w:val="Heading3"/>
      </w:pPr>
      <w:r>
        <w:t xml:space="preserve">7.5.3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67">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68">
        <w:r>
          <w:rPr>
            <w:rStyle w:val="Hyperlink"/>
          </w:rPr>
          <w:t xml:space="preserve">http://www.boldsystems.org/index.php/Public_RecordView?processid=SNLBE002-17</w:t>
        </w:r>
      </w:hyperlink>
      <w:r>
        <w:t xml:space="preserve">).</w:t>
      </w:r>
    </w:p>
    <w:bookmarkEnd w:id="169"/>
    <w:bookmarkEnd w:id="170"/>
    <w:bookmarkEnd w:id="171"/>
    <w:bookmarkStart w:id="196" w:name="large-data-sets"/>
    <w:p>
      <w:pPr>
        <w:pStyle w:val="Heading1"/>
      </w:pPr>
      <w:r>
        <w:t xml:space="preserve">8. Large Data Sets</w:t>
      </w:r>
    </w:p>
    <w:p>
      <w:pPr>
        <w:pStyle w:val="FirstParagraph"/>
      </w:pPr>
      <w:r>
        <w:t xml:space="preserve">Contributors: Margaret O’Brien, Corinna Gries, Mark Servilla</w:t>
      </w:r>
    </w:p>
    <w:bookmarkStart w:id="174" w:name="introduction-6"/>
    <w:p>
      <w:pPr>
        <w:pStyle w:val="Heading2"/>
      </w:pPr>
      <w:r>
        <w:t xml:space="preserve">8.1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72">
        <w:r>
          <w:rPr>
            <w:rStyle w:val="Hyperlink"/>
          </w:rPr>
          <w:t xml:space="preserve">support@edirepository.org</w:t>
        </w:r>
      </w:hyperlink>
      <w:r>
        <w:t xml:space="preserve">). Below are recommendations for the EDI repository’s handling of data packages that have an offline component.</w:t>
      </w:r>
    </w:p>
    <w:bookmarkStart w:id="173" w:name="background"/>
    <w:p>
      <w:pPr>
        <w:pStyle w:val="Heading3"/>
      </w:pPr>
      <w:r>
        <w:t xml:space="preserve">8.1.1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73"/>
    <w:bookmarkEnd w:id="174"/>
    <w:bookmarkStart w:id="182" w:name="recommendations-for-data-packages-6"/>
    <w:p>
      <w:pPr>
        <w:pStyle w:val="Heading2"/>
      </w:pPr>
      <w:r>
        <w:t xml:space="preserve">8.2 Recommendations for data packages</w:t>
      </w:r>
    </w:p>
    <w:bookmarkStart w:id="175" w:name="physical-storage"/>
    <w:p>
      <w:pPr>
        <w:pStyle w:val="Heading3"/>
      </w:pPr>
      <w:r>
        <w:t xml:space="preserve">8.2.1 Physical Storage</w:t>
      </w:r>
    </w:p>
    <w:p>
      <w:pPr>
        <w:numPr>
          <w:ilvl w:val="0"/>
          <w:numId w:val="1028"/>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8"/>
        </w:numPr>
      </w:pPr>
      <w:r>
        <w:t xml:space="preserve">Add data to external drive in native (non-compressed, non-tarred, non-zipped) format, deliver to EDI (e.g., by physical mail).</w:t>
      </w:r>
    </w:p>
    <w:p>
      <w:pPr>
        <w:numPr>
          <w:ilvl w:val="0"/>
          <w:numId w:val="1028"/>
        </w:numPr>
      </w:pPr>
      <w:r>
        <w:t xml:space="preserve">EDI will store three copies, one external hard drive each in New Mexico and in Wisconsin, one copy in general EDI backup cloud storage.</w:t>
      </w:r>
    </w:p>
    <w:p>
      <w:pPr>
        <w:numPr>
          <w:ilvl w:val="0"/>
          <w:numId w:val="1028"/>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75"/>
    <w:bookmarkStart w:id="176" w:name="access"/>
    <w:p>
      <w:pPr>
        <w:pStyle w:val="Heading3"/>
      </w:pPr>
      <w:r>
        <w:t xml:space="preserve">8.2.2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76"/>
    <w:bookmarkStart w:id="177" w:name="data-package"/>
    <w:p>
      <w:pPr>
        <w:pStyle w:val="Heading3"/>
      </w:pPr>
      <w:r>
        <w:t xml:space="preserve">8.2.3 Data package</w:t>
      </w:r>
    </w:p>
    <w:p>
      <w:pPr>
        <w:pStyle w:val="Compact"/>
        <w:numPr>
          <w:ilvl w:val="0"/>
          <w:numId w:val="1029"/>
        </w:numPr>
      </w:pPr>
      <w:r>
        <w:t xml:space="preserve">The external hard drive should contain at least two entities: the data (which will be offline) and an inventory or manifest that describe the contents of the external hard drive.</w:t>
      </w:r>
    </w:p>
    <w:p>
      <w:pPr>
        <w:pStyle w:val="Compact"/>
        <w:numPr>
          <w:ilvl w:val="0"/>
          <w:numId w:val="1029"/>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29"/>
        </w:numPr>
      </w:pPr>
      <w:r>
        <w:t xml:space="preserve">Suggested columns are:</w:t>
      </w:r>
    </w:p>
    <w:p>
      <w:pPr>
        <w:pStyle w:val="Compact"/>
        <w:numPr>
          <w:ilvl w:val="1"/>
          <w:numId w:val="1030"/>
        </w:numPr>
      </w:pPr>
      <w:r>
        <w:t xml:space="preserve">Filename(s)</w:t>
      </w:r>
    </w:p>
    <w:p>
      <w:pPr>
        <w:pStyle w:val="Compact"/>
        <w:numPr>
          <w:ilvl w:val="1"/>
          <w:numId w:val="1030"/>
        </w:numPr>
      </w:pPr>
      <w:r>
        <w:t xml:space="preserve">Format (netCDF, tabular csv, etc.)</w:t>
      </w:r>
    </w:p>
    <w:p>
      <w:pPr>
        <w:pStyle w:val="Compact"/>
        <w:numPr>
          <w:ilvl w:val="1"/>
          <w:numId w:val="1030"/>
        </w:numPr>
      </w:pPr>
      <w:r>
        <w:t xml:space="preserve">Start_datetime</w:t>
      </w:r>
    </w:p>
    <w:p>
      <w:pPr>
        <w:pStyle w:val="Compact"/>
        <w:numPr>
          <w:ilvl w:val="1"/>
          <w:numId w:val="1030"/>
        </w:numPr>
      </w:pPr>
      <w:r>
        <w:t xml:space="preserve">End_datetime</w:t>
      </w:r>
    </w:p>
    <w:p>
      <w:pPr>
        <w:pStyle w:val="Compact"/>
        <w:numPr>
          <w:ilvl w:val="1"/>
          <w:numId w:val="1030"/>
        </w:numPr>
      </w:pPr>
      <w:r>
        <w:t xml:space="preserve">Location_lat</w:t>
      </w:r>
    </w:p>
    <w:p>
      <w:pPr>
        <w:pStyle w:val="Compact"/>
        <w:numPr>
          <w:ilvl w:val="1"/>
          <w:numId w:val="1030"/>
        </w:numPr>
      </w:pPr>
      <w:r>
        <w:t xml:space="preserve">Location_lon</w:t>
      </w:r>
    </w:p>
    <w:p>
      <w:pPr>
        <w:pStyle w:val="Compact"/>
        <w:numPr>
          <w:ilvl w:val="1"/>
          <w:numId w:val="1030"/>
        </w:numPr>
      </w:pPr>
      <w:r>
        <w:t xml:space="preserve">(other params the PIs may feel are essential)</w:t>
      </w:r>
    </w:p>
    <w:p>
      <w:pPr>
        <w:pStyle w:val="Compact"/>
        <w:numPr>
          <w:ilvl w:val="1"/>
          <w:numId w:val="1030"/>
        </w:numPr>
      </w:pPr>
      <w:r>
        <w:t xml:space="preserve">Checksum</w:t>
      </w:r>
    </w:p>
    <w:bookmarkEnd w:id="177"/>
    <w:bookmarkStart w:id="178" w:name="package-metadata"/>
    <w:p>
      <w:pPr>
        <w:pStyle w:val="Heading3"/>
      </w:pPr>
      <w:r>
        <w:t xml:space="preserve">8.2.4 Package Metadata</w:t>
      </w:r>
    </w:p>
    <w:p>
      <w:pPr>
        <w:pStyle w:val="FirstParagraph"/>
      </w:pPr>
      <w:r>
        <w:t xml:space="preserve">(in EDI metadata template and converted to EML - generally, as for any data package)</w:t>
      </w:r>
    </w:p>
    <w:p>
      <w:pPr>
        <w:pStyle w:val="Compact"/>
        <w:numPr>
          <w:ilvl w:val="0"/>
          <w:numId w:val="1031"/>
        </w:numPr>
      </w:pPr>
      <w:r>
        <w:t xml:space="preserve">Abstract: describe the collection generally. If individual files require specific software to read, provide the name of that software.</w:t>
      </w:r>
    </w:p>
    <w:p>
      <w:pPr>
        <w:pStyle w:val="Compact"/>
        <w:numPr>
          <w:ilvl w:val="0"/>
          <w:numId w:val="1031"/>
        </w:numPr>
      </w:pPr>
      <w:r>
        <w:t xml:space="preserve">Creators</w:t>
      </w:r>
    </w:p>
    <w:p>
      <w:pPr>
        <w:pStyle w:val="Compact"/>
        <w:numPr>
          <w:ilvl w:val="0"/>
          <w:numId w:val="1031"/>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2"/>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2"/>
        </w:numPr>
      </w:pPr>
      <w:r>
        <w:t xml:space="preserve">Data Entities</w:t>
      </w:r>
    </w:p>
    <w:p>
      <w:pPr>
        <w:pStyle w:val="Compact"/>
        <w:numPr>
          <w:ilvl w:val="1"/>
          <w:numId w:val="1033"/>
        </w:numPr>
      </w:pPr>
      <w:r>
        <w:t xml:space="preserve">Offline Entity:</w:t>
      </w:r>
    </w:p>
    <w:p>
      <w:pPr>
        <w:pStyle w:val="Compact"/>
        <w:numPr>
          <w:ilvl w:val="2"/>
          <w:numId w:val="1034"/>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8.1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3"/>
        </w:numPr>
      </w:pPr>
      <w:r>
        <w:t xml:space="preserve">Manifest (inventory of the offline holdings)</w:t>
      </w:r>
    </w:p>
    <w:p>
      <w:pPr>
        <w:pStyle w:val="Compact"/>
        <w:numPr>
          <w:ilvl w:val="2"/>
          <w:numId w:val="1035"/>
        </w:numPr>
      </w:pPr>
      <w:r>
        <w:t xml:space="preserve">Column descriptions as for any data table</w:t>
      </w:r>
    </w:p>
    <w:bookmarkEnd w:id="178"/>
    <w:bookmarkStart w:id="181" w:name="eml"/>
    <w:p>
      <w:pPr>
        <w:pStyle w:val="Heading3"/>
      </w:pPr>
      <w:r>
        <w:t xml:space="preserve">8.2.5 EML</w:t>
      </w:r>
    </w:p>
    <w:p>
      <w:pPr>
        <w:pStyle w:val="FirstParagraph"/>
      </w:pPr>
      <w:r>
        <w:t xml:space="preserve">In addition to basic resource-level metadata, at least two entities should be described:</w:t>
      </w:r>
    </w:p>
    <w:p>
      <w:pPr>
        <w:pStyle w:val="Compact"/>
        <w:numPr>
          <w:ilvl w:val="0"/>
          <w:numId w:val="1036"/>
        </w:numPr>
      </w:pPr>
      <w:r>
        <w:t xml:space="preserve">Manifest (inventory) should be a tableEntity: will be the online entity and described as all</w:t>
      </w:r>
    </w:p>
    <w:p>
      <w:pPr>
        <w:pStyle w:val="Compact"/>
        <w:numPr>
          <w:ilvl w:val="0"/>
          <w:numId w:val="1036"/>
        </w:numPr>
      </w:pPr>
      <w:r>
        <w:t xml:space="preserve">Offline entity:</w:t>
      </w:r>
    </w:p>
    <w:p>
      <w:pPr>
        <w:pStyle w:val="Compact"/>
        <w:numPr>
          <w:ilvl w:val="1"/>
          <w:numId w:val="1037"/>
        </w:numPr>
      </w:pPr>
      <w:r>
        <w:t xml:space="preserve">Fill out high-level fields as for an online resource. Restate the software needed to read the individual files if this is important to a user.</w:t>
      </w:r>
    </w:p>
    <w:p>
      <w:pPr>
        <w:pStyle w:val="Compact"/>
        <w:numPr>
          <w:ilvl w:val="1"/>
          <w:numId w:val="1037"/>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79" w:name="tbl-1"/>
          <w:p>
            <w:pPr>
              <w:jc w:val="center"/>
            </w:pPr>
            <w:pPr>
              <w:jc w:val="left"/>
              <w:spacing w:before="200"/>
              <w:pStyle w:val="ImageCaption"/>
            </w:pPr>
            <w:r>
              <w:t xml:space="preserve">Table 8.1: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79"/>
          <w:p/>
        </w:tc>
      </w:tr>
    </w:tbl>
    <w:p>
      <w:pPr>
        <w:pStyle w:val="BodyText"/>
      </w:pPr>
      <w:r>
        <w:rPr>
          <w:b/>
          <w:bCs/>
        </w:rPr>
        <w:t xml:space="preserve">Example 1.</w:t>
      </w:r>
      <w:r>
        <w:t xml:space="preserve"> </w:t>
      </w:r>
      <w:r>
        <w:t xml:space="preserve">Sample XML, offline entity</w:t>
      </w:r>
    </w:p>
    <w:bookmarkStart w:id="180"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80"/>
    <w:bookmarkEnd w:id="181"/>
    <w:bookmarkEnd w:id="182"/>
    <w:bookmarkStart w:id="185" w:name="references"/>
    <w:p>
      <w:pPr>
        <w:pStyle w:val="Heading2"/>
      </w:pPr>
      <w:r>
        <w:t xml:space="preserve">8.3 References</w:t>
      </w:r>
    </w:p>
    <w:bookmarkStart w:id="184" w:name="eml-documentation"/>
    <w:p>
      <w:pPr>
        <w:pStyle w:val="Heading3"/>
      </w:pPr>
      <w:r>
        <w:t xml:space="preserve">8.3.1 EML documentation</w:t>
      </w:r>
    </w:p>
    <w:p>
      <w:pPr>
        <w:pStyle w:val="FirstParagraph"/>
      </w:pPr>
      <w:hyperlink r:id="rId183">
        <w:r>
          <w:rPr>
            <w:rStyle w:val="Hyperlink"/>
          </w:rPr>
          <w:t xml:space="preserve">https://eml.ecoinformatics.org/schema/index.html</w:t>
        </w:r>
      </w:hyperlink>
    </w:p>
    <w:p>
      <w:pPr>
        <w:pStyle w:val="BodyText"/>
      </w:pPr>
      <w:r>
        <w:t xml:space="preserve">Look for the PhysicalDistributionType</w:t>
      </w:r>
    </w:p>
    <w:bookmarkEnd w:id="184"/>
    <w:bookmarkEnd w:id="185"/>
    <w:bookmarkStart w:id="195" w:name="potential-issues"/>
    <w:p>
      <w:pPr>
        <w:pStyle w:val="Heading2"/>
      </w:pPr>
      <w:r>
        <w:t xml:space="preserve">8.4 Potential Issues</w:t>
      </w:r>
    </w:p>
    <w:p>
      <w:pPr>
        <w:pStyle w:val="Compact"/>
        <w:numPr>
          <w:ilvl w:val="0"/>
          <w:numId w:val="1038"/>
        </w:numPr>
      </w:pPr>
      <w:r>
        <w:t xml:space="preserve">SSD formatting (eventually, whatever we use, it will become unusable).</w:t>
      </w:r>
    </w:p>
    <w:p>
      <w:pPr>
        <w:pStyle w:val="Compact"/>
        <w:numPr>
          <w:ilvl w:val="0"/>
          <w:numId w:val="1038"/>
        </w:numPr>
      </w:pPr>
      <w:r>
        <w:t xml:space="preserve">Even with cloud storage, eventually a binary format will become unusable.</w:t>
      </w:r>
    </w:p>
    <w:bookmarkStart w:id="194" w:name="refs"/>
    <w:bookmarkStart w:id="187"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186">
        <w:r>
          <w:rPr>
            <w:rStyle w:val="Hyperlink"/>
          </w:rPr>
          <w:t xml:space="preserve">https://www.jasss.org/11/2/6.html</w:t>
        </w:r>
      </w:hyperlink>
      <w:r>
        <w:t xml:space="preserve">.</w:t>
      </w:r>
    </w:p>
    <w:bookmarkEnd w:id="187"/>
    <w:bookmarkStart w:id="189"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188">
        <w:r>
          <w:rPr>
            <w:rStyle w:val="Hyperlink"/>
          </w:rPr>
          <w:t xml:space="preserve">https://eartharxiv.org/repository/view/260/</w:t>
        </w:r>
      </w:hyperlink>
      <w:r>
        <w:t xml:space="preserve">.</w:t>
      </w:r>
    </w:p>
    <w:bookmarkEnd w:id="189"/>
    <w:bookmarkStart w:id="191"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190">
        <w:r>
          <w:rPr>
            <w:rStyle w:val="Hyperlink"/>
          </w:rPr>
          <w:t xml:space="preserve">https://doi.org/10.5281/zenodo.4124167</w:t>
        </w:r>
      </w:hyperlink>
      <w:r>
        <w:t xml:space="preserve">.</w:t>
      </w:r>
    </w:p>
    <w:bookmarkEnd w:id="191"/>
    <w:bookmarkStart w:id="193"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192">
        <w:r>
          <w:rPr>
            <w:rStyle w:val="Hyperlink"/>
          </w:rPr>
          <w:t xml:space="preserve">https://doi.org/10.3390/rs11151797</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2026-08-26T04:03:33Z</dcterms:created>
  <dcterms:modified xsi:type="dcterms:W3CDTF">2026-08-26T04:03:33Z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2021-02-19</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