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2017-11-01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6b07d44d85d270faff2521df2125f8bdb00d1bf"/>
    <w:p>
      <w:pPr>
        <w:pStyle w:val="Heading1"/>
      </w:pPr>
      <w:r>
        <w:t xml:space="preserve">1. Best Practices for Dataset Metadata in Ecological Metadata Language (EML)</w:t>
      </w:r>
    </w:p>
    <w:p>
      <w:pPr>
        <w:pStyle w:val="FirstParagraph"/>
      </w:pPr>
      <w:r>
        <w:t xml:space="preserve">Version 3.1</w:t>
      </w:r>
    </w:p>
    <w:p>
      <w:pPr>
        <w:pStyle w:val="BodyText"/>
      </w:pPr>
      <w:r>
        <w:t xml:space="preserve">This book presents “best practice” recommendations for creating metadata</w:t>
      </w:r>
      <w:r>
        <w:t xml:space="preserve"> </w:t>
      </w:r>
      <w:r>
        <w:t xml:space="preserve">documents in the Ecological Metadata Language (EML), a widely accepted</w:t>
      </w:r>
      <w:r>
        <w:t xml:space="preserve"> </w:t>
      </w:r>
      <w:r>
        <w:t xml:space="preserve">standard for research metadata exchange in the environmental sciences.</w:t>
      </w:r>
      <w:r>
        <w:t xml:space="preserve"> </w:t>
      </w:r>
      <w:r>
        <w:t xml:space="preserve">The document focuses the most common use-cases for EML and recommends</w:t>
      </w:r>
      <w:r>
        <w:t xml:space="preserve"> </w:t>
      </w:r>
      <w:r>
        <w:t xml:space="preserve">content and formatting for its most important and frequently-used</w:t>
      </w:r>
      <w:r>
        <w:t xml:space="preserve"> </w:t>
      </w:r>
      <w:r>
        <w:t xml:space="preserve">metadata elements. As such, these recommendations can be applied to most</w:t>
      </w:r>
      <w:r>
        <w:t xml:space="preserve"> </w:t>
      </w:r>
      <w:r>
        <w:t xml:space="preserve">research datasets that include EML metadata. There are also</w:t>
      </w:r>
      <w:r>
        <w:t xml:space="preserve"> </w:t>
      </w:r>
      <w:r>
        <w:t xml:space="preserve">recommendations specific to the U.S. LTER Network and Environmental Data</w:t>
      </w:r>
      <w:r>
        <w:t xml:space="preserve"> </w:t>
      </w:r>
      <w:r>
        <w:t xml:space="preserve">Initiative (EDI) repository. This is the third version of the book, with</w:t>
      </w:r>
      <w:r>
        <w:t xml:space="preserve"> </w:t>
      </w:r>
      <w:r>
        <w:t xml:space="preserve">content updated in 2017 by the EML Best Practices working group of the</w:t>
      </w:r>
      <w:r>
        <w:t xml:space="preserve"> </w:t>
      </w:r>
      <w:r>
        <w:t xml:space="preserve">LTER Network Information Management Committee. Minor edits and</w:t>
      </w:r>
      <w:r>
        <w:t xml:space="preserve"> </w:t>
      </w:r>
      <w:r>
        <w:t xml:space="preserve">reformatting took place in 2019 to produce this current online version</w:t>
      </w:r>
      <w:r>
        <w:t xml:space="preserve"> </w:t>
      </w:r>
      <w:r>
        <w:t xml:space="preserve">(Version 3.1).</w:t>
      </w:r>
    </w:p>
    <w:p>
      <w:pPr>
        <w:pStyle w:val="BodyText"/>
      </w:pPr>
      <w:r>
        <w:br/>
      </w: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2.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2.1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2.2 General Recommendations</w:t>
      </w:r>
    </w:p>
    <w:p>
      <w:pPr>
        <w:pStyle w:val="FirstParagraph"/>
      </w:pPr>
      <w:r>
        <w:t xml:space="preserve">Following are general best practices for handling EML dataset metadata:</w:t>
      </w:r>
    </w:p>
    <w:bookmarkStart w:id="18" w:name="metadata-distribution"/>
    <w:p>
      <w:pPr>
        <w:pStyle w:val="Heading3"/>
      </w:pPr>
      <w:r>
        <w:t xml:space="preserve">2.2.1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2.2.2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2.2.3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3.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3.0.1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3.0.2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3.1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3.1.1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3.1.2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3.1.3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3.1.3.1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3.1.3.2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3.1.4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3.2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3.2.1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3.2.2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3.2.3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3.2.4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3.2.5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3.2.6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3.3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3.4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3.5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3.6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3.7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3.7.1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3.7.2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3.8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3.8.1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3.8.2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3.8.3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3.9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3.10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3.10.1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3.10.1.1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3.10.1.2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3.10.2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3.10.3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3.11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3.12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3.13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3.13.1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3.13.2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3.14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2026-09-16T00:45:33Z</dcterms:created>
  <dcterms:modified xsi:type="dcterms:W3CDTF">2026-09-16T00:45:33Z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2017-11-01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