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200" w:line="276" w:lineRule="auto"/>
      </w:pPr>
      <w:r>
        <w:rPr>
          <w:rFonts w:ascii="Calibri" w:cs="Calibri" w:hAnsi="Calibri" w:eastAsia="Calibri"/>
          <w:sz w:val="22"/>
          <w:szCs w:val="22"/>
          <w:rtl w:val="0"/>
          <w:lang w:val="en-US"/>
        </w:rPr>
        <w:t>Understanding factors that influence ecological stability is a key question in ecology. Population ecology has highlighted that synchrony within a species over space is an important indicator of species stability. Community ecology, in contrast, has highlighted that asynchrony between species within space may enhance the stability of aggregate properties (such as total productivity). We compiled xxx LTER and other data to integrate population and community approaches to synchrony to understand drivers of ecosystem stability at different scales.</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