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5AFAC" w14:textId="12E125CB" w:rsidR="00A67B29" w:rsidRPr="002B653D" w:rsidRDefault="00915CC9" w:rsidP="002B653D">
      <w:r w:rsidRPr="002B653D">
        <w:t>Using a 1.2-m long point frame anchored permanently in each plot with PVC tubes, we characterized bog plant community composition for 5 years beginning in 2011 between July 17-19 of each year.  We recorded all species touched by a vertical 1-mm rod from 30 points placed 3.5 cm apart o</w:t>
      </w:r>
      <w:bookmarkStart w:id="0" w:name="_GoBack"/>
      <w:bookmarkEnd w:id="0"/>
      <w:r w:rsidRPr="002B653D">
        <w:t>n the frame and calculated relative frequencies for each plot.</w:t>
      </w:r>
    </w:p>
    <w:sectPr w:rsidR="00A67B29" w:rsidRPr="002B653D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2B653D"/>
    <w:rsid w:val="00382833"/>
    <w:rsid w:val="00915CC9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64227"/>
  <w14:defaultImageDpi w14:val="300"/>
  <w15:docId w15:val="{92B2D5BF-DF39-4D83-A1CA-07D084DF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3</cp:revision>
  <dcterms:created xsi:type="dcterms:W3CDTF">2019-05-21T21:26:00Z</dcterms:created>
  <dcterms:modified xsi:type="dcterms:W3CDTF">2020-02-28T18:32:00Z</dcterms:modified>
</cp:coreProperties>
</file>