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2609" w14:textId="13FB81E9" w:rsidR="00336E6D" w:rsidRDefault="00336E6D" w:rsidP="00336E6D">
      <w:pPr>
        <w:rPr>
          <w:i/>
          <w:iCs/>
        </w:rPr>
      </w:pPr>
      <w:r w:rsidRPr="006258DC">
        <w:rPr>
          <w:i/>
          <w:iCs/>
        </w:rPr>
        <w:t>Flux measurements</w:t>
      </w:r>
    </w:p>
    <w:p w14:paraId="32B371AE" w14:textId="77777777" w:rsidR="00336E6D" w:rsidRPr="006258DC" w:rsidRDefault="00336E6D" w:rsidP="00336E6D">
      <w:pPr>
        <w:rPr>
          <w:i/>
          <w:iCs/>
        </w:rPr>
      </w:pPr>
    </w:p>
    <w:p w14:paraId="189B0C47" w14:textId="77777777" w:rsidR="00336E6D" w:rsidRDefault="00336E6D" w:rsidP="00336E6D">
      <w:pPr>
        <w:contextualSpacing/>
        <w:jc w:val="both"/>
        <w:rPr>
          <w:rFonts w:ascii="Times New Roman" w:hAnsi="Times New Roman" w:cs="Times New Roman"/>
        </w:rPr>
      </w:pPr>
      <w:r w:rsidRPr="00F240ED">
        <w:rPr>
          <w:rFonts w:ascii="Times New Roman" w:hAnsi="Times New Roman" w:cs="Times New Roman"/>
        </w:rPr>
        <w:t xml:space="preserve">The experimental set up focused on comparing vascular and non-vascular plant communities in the restored peat fields and former drainage ditches at the restored peatland. Six vascular plots and three non-vascular plots were set up in the features (field, ditch), respectively, for a total of 18 plots. Plot selection was done based on the dominant vegetation within the respective features, with </w:t>
      </w:r>
      <w:r w:rsidRPr="00F240ED">
        <w:rPr>
          <w:rFonts w:ascii="Times New Roman" w:hAnsi="Times New Roman" w:cs="Times New Roman"/>
          <w:i/>
        </w:rPr>
        <w:t xml:space="preserve">E. </w:t>
      </w:r>
      <w:proofErr w:type="spellStart"/>
      <w:r w:rsidRPr="00F240ED">
        <w:rPr>
          <w:rFonts w:ascii="Times New Roman" w:hAnsi="Times New Roman" w:cs="Times New Roman"/>
          <w:i/>
        </w:rPr>
        <w:t>vaginatum</w:t>
      </w:r>
      <w:proofErr w:type="spellEnd"/>
      <w:r w:rsidRPr="00F240ED">
        <w:rPr>
          <w:rFonts w:ascii="Times New Roman" w:hAnsi="Times New Roman" w:cs="Times New Roman"/>
        </w:rPr>
        <w:t xml:space="preserve"> and </w:t>
      </w:r>
      <w:r w:rsidRPr="00F240ED">
        <w:rPr>
          <w:rFonts w:ascii="Times New Roman" w:hAnsi="Times New Roman" w:cs="Times New Roman"/>
          <w:i/>
        </w:rPr>
        <w:t>Sphagnum</w:t>
      </w:r>
      <w:r w:rsidRPr="00F240ED">
        <w:rPr>
          <w:rFonts w:ascii="Times New Roman" w:hAnsi="Times New Roman" w:cs="Times New Roman"/>
        </w:rPr>
        <w:t xml:space="preserve"> spp. chosen in the restored peat field while plots with </w:t>
      </w:r>
      <w:r w:rsidRPr="00F240ED">
        <w:rPr>
          <w:rFonts w:ascii="Times New Roman" w:hAnsi="Times New Roman" w:cs="Times New Roman"/>
          <w:i/>
        </w:rPr>
        <w:t>Typha latifolia</w:t>
      </w:r>
      <w:r w:rsidRPr="00F240ED">
        <w:rPr>
          <w:rFonts w:ascii="Times New Roman" w:hAnsi="Times New Roman" w:cs="Times New Roman"/>
        </w:rPr>
        <w:t xml:space="preserve"> and bare ditch areas were selected in the former ditches. While the bare ditch plots were initially devoid of vegetation, vascular plants did spread through the area over the course of the season. Sprouts within the collars were removed on a regular basis. Boardwalks were used to span the former ditches and to traverse the restored peatland. An additional six </w:t>
      </w:r>
      <w:r w:rsidRPr="00F240ED">
        <w:rPr>
          <w:rFonts w:ascii="Times New Roman" w:hAnsi="Times New Roman" w:cs="Times New Roman"/>
          <w:i/>
        </w:rPr>
        <w:t>Sphagnum</w:t>
      </w:r>
      <w:r w:rsidRPr="00F240ED">
        <w:rPr>
          <w:rFonts w:ascii="Times New Roman" w:hAnsi="Times New Roman" w:cs="Times New Roman"/>
        </w:rPr>
        <w:t xml:space="preserve"> plots were created in the adjacent undisturbed peatland, located within the same peatland complex, which was used as a reference site. </w:t>
      </w:r>
    </w:p>
    <w:p w14:paraId="0F32AD94" w14:textId="77777777" w:rsidR="00336E6D" w:rsidRDefault="00336E6D" w:rsidP="00336E6D">
      <w:pPr>
        <w:contextualSpacing/>
        <w:jc w:val="both"/>
        <w:rPr>
          <w:rFonts w:ascii="Times New Roman" w:hAnsi="Times New Roman" w:cs="Times New Roman"/>
        </w:rPr>
      </w:pPr>
    </w:p>
    <w:p w14:paraId="2639B992" w14:textId="77777777" w:rsidR="00336E6D" w:rsidRDefault="00336E6D" w:rsidP="00336E6D">
      <w:pPr>
        <w:contextualSpacing/>
        <w:jc w:val="both"/>
        <w:rPr>
          <w:rFonts w:ascii="Times New Roman" w:hAnsi="Times New Roman" w:cs="Times New Roman"/>
        </w:rPr>
      </w:pPr>
      <w:r w:rsidRPr="00F240ED">
        <w:rPr>
          <w:rFonts w:ascii="Times New Roman" w:hAnsi="Times New Roman" w:cs="Times New Roman"/>
        </w:rPr>
        <w:t>Net CO</w:t>
      </w:r>
      <w:r w:rsidRPr="00F240ED">
        <w:rPr>
          <w:rFonts w:ascii="Times New Roman" w:hAnsi="Times New Roman" w:cs="Times New Roman"/>
          <w:vertAlign w:val="subscript"/>
        </w:rPr>
        <w:t>2</w:t>
      </w:r>
      <w:r w:rsidRPr="00F240ED">
        <w:rPr>
          <w:rFonts w:ascii="Times New Roman" w:hAnsi="Times New Roman" w:cs="Times New Roman"/>
        </w:rPr>
        <w:t xml:space="preserve"> and CH</w:t>
      </w:r>
      <w:r w:rsidRPr="00F240ED">
        <w:rPr>
          <w:rFonts w:ascii="Times New Roman" w:hAnsi="Times New Roman" w:cs="Times New Roman"/>
          <w:vertAlign w:val="subscript"/>
        </w:rPr>
        <w:t>4</w:t>
      </w:r>
      <w:r w:rsidRPr="00F240ED">
        <w:rPr>
          <w:rFonts w:ascii="Times New Roman" w:hAnsi="Times New Roman" w:cs="Times New Roman"/>
        </w:rPr>
        <w:t xml:space="preserve"> flux measurements were carried out using the closed chamber technique on permanently installed collars. A laser gas analyzer (LGR-UGGA, Los Gatos Research, CA, USA) connected to a clear polycarbonate chamber enabled simultaneous measurements of CO</w:t>
      </w:r>
      <w:r w:rsidRPr="00F240ED">
        <w:rPr>
          <w:rFonts w:ascii="Times New Roman" w:hAnsi="Times New Roman" w:cs="Times New Roman"/>
          <w:vertAlign w:val="subscript"/>
        </w:rPr>
        <w:t>2</w:t>
      </w:r>
      <w:r w:rsidRPr="00F240ED">
        <w:rPr>
          <w:rFonts w:ascii="Times New Roman" w:hAnsi="Times New Roman" w:cs="Times New Roman"/>
        </w:rPr>
        <w:t xml:space="preserve"> and CH</w:t>
      </w:r>
      <w:r w:rsidRPr="00F240ED">
        <w:rPr>
          <w:rFonts w:ascii="Times New Roman" w:hAnsi="Times New Roman" w:cs="Times New Roman"/>
          <w:vertAlign w:val="subscript"/>
        </w:rPr>
        <w:t>4</w:t>
      </w:r>
      <w:r w:rsidRPr="00F240ED">
        <w:rPr>
          <w:rFonts w:ascii="Times New Roman" w:hAnsi="Times New Roman" w:cs="Times New Roman"/>
        </w:rPr>
        <w:t xml:space="preserve"> (and H</w:t>
      </w:r>
      <w:r w:rsidRPr="00F240ED">
        <w:rPr>
          <w:rFonts w:ascii="Times New Roman" w:hAnsi="Times New Roman" w:cs="Times New Roman"/>
          <w:vertAlign w:val="subscript"/>
        </w:rPr>
        <w:t>2</w:t>
      </w:r>
      <w:r w:rsidRPr="00F240ED">
        <w:rPr>
          <w:rFonts w:ascii="Times New Roman" w:hAnsi="Times New Roman" w:cs="Times New Roman"/>
        </w:rPr>
        <w:t>O) concentration at 1 Hz. A rectangular chamber (</w:t>
      </w:r>
      <w:r>
        <w:rPr>
          <w:rFonts w:ascii="Times New Roman" w:hAnsi="Times New Roman" w:cs="Times New Roman"/>
        </w:rPr>
        <w:t>60 x 60 x 30 cm; 0.</w:t>
      </w:r>
      <w:r w:rsidRPr="00F240ED">
        <w:rPr>
          <w:rFonts w:ascii="Times New Roman" w:hAnsi="Times New Roman" w:cs="Times New Roman"/>
        </w:rPr>
        <w:t xml:space="preserve">108 </w:t>
      </w:r>
      <w:r>
        <w:rPr>
          <w:rFonts w:ascii="Times New Roman" w:hAnsi="Times New Roman" w:cs="Times New Roman"/>
        </w:rPr>
        <w:t>m</w:t>
      </w:r>
      <w:r>
        <w:rPr>
          <w:rFonts w:ascii="Times New Roman" w:hAnsi="Times New Roman" w:cs="Times New Roman"/>
          <w:vertAlign w:val="superscript"/>
        </w:rPr>
        <w:t>3</w:t>
      </w:r>
      <w:r w:rsidRPr="00F240ED">
        <w:rPr>
          <w:rFonts w:ascii="Times New Roman" w:hAnsi="Times New Roman" w:cs="Times New Roman"/>
        </w:rPr>
        <w:t>) and collar combination was used at the restored field plots while a cylindrical chamber (</w:t>
      </w:r>
      <w:r>
        <w:rPr>
          <w:rFonts w:ascii="Times New Roman" w:hAnsi="Times New Roman" w:cs="Times New Roman"/>
        </w:rPr>
        <w:t>100 cm height x 26 cm diameter; 0.0</w:t>
      </w:r>
      <w:r w:rsidRPr="00F240ED">
        <w:rPr>
          <w:rFonts w:ascii="Times New Roman" w:hAnsi="Times New Roman" w:cs="Times New Roman"/>
        </w:rPr>
        <w:t xml:space="preserve">53 </w:t>
      </w:r>
      <w:r>
        <w:rPr>
          <w:rFonts w:ascii="Times New Roman" w:hAnsi="Times New Roman" w:cs="Times New Roman"/>
        </w:rPr>
        <w:t>m</w:t>
      </w:r>
      <w:r>
        <w:rPr>
          <w:rFonts w:ascii="Times New Roman" w:hAnsi="Times New Roman" w:cs="Times New Roman"/>
          <w:vertAlign w:val="superscript"/>
        </w:rPr>
        <w:t>3</w:t>
      </w:r>
      <w:r w:rsidRPr="00F240ED">
        <w:rPr>
          <w:rFonts w:ascii="Times New Roman" w:hAnsi="Times New Roman" w:cs="Times New Roman"/>
        </w:rPr>
        <w:t xml:space="preserve">) and collar combination was deployed in the former ditches, to accommodate vertical growth of </w:t>
      </w:r>
      <w:r w:rsidRPr="00F240ED">
        <w:rPr>
          <w:rFonts w:ascii="Times New Roman" w:hAnsi="Times New Roman" w:cs="Times New Roman"/>
          <w:i/>
        </w:rPr>
        <w:t>T. latifolia</w:t>
      </w:r>
      <w:r w:rsidRPr="00F240ED">
        <w:rPr>
          <w:rFonts w:ascii="Times New Roman" w:hAnsi="Times New Roman" w:cs="Times New Roman"/>
        </w:rPr>
        <w:t>. We equipped the chambers with fans to maintain a well-mixed headspace, as well as a cooling system to prevent excessive warming during closure. NEE and CH</w:t>
      </w:r>
      <w:r w:rsidRPr="00F240ED">
        <w:rPr>
          <w:rFonts w:ascii="Times New Roman" w:hAnsi="Times New Roman" w:cs="Times New Roman"/>
          <w:vertAlign w:val="subscript"/>
        </w:rPr>
        <w:t>4</w:t>
      </w:r>
      <w:r w:rsidRPr="00F240ED">
        <w:rPr>
          <w:rFonts w:ascii="Times New Roman" w:hAnsi="Times New Roman" w:cs="Times New Roman"/>
        </w:rPr>
        <w:t xml:space="preserve"> flux were calculated from the linear change in CO</w:t>
      </w:r>
      <w:r w:rsidRPr="00F240ED">
        <w:rPr>
          <w:rFonts w:ascii="Times New Roman" w:hAnsi="Times New Roman" w:cs="Times New Roman"/>
          <w:vertAlign w:val="subscript"/>
        </w:rPr>
        <w:t>2</w:t>
      </w:r>
      <w:r w:rsidRPr="00F240ED">
        <w:rPr>
          <w:rFonts w:ascii="Times New Roman" w:hAnsi="Times New Roman" w:cs="Times New Roman"/>
        </w:rPr>
        <w:t xml:space="preserve"> and CH</w:t>
      </w:r>
      <w:r w:rsidRPr="00F240ED">
        <w:rPr>
          <w:rFonts w:ascii="Times New Roman" w:hAnsi="Times New Roman" w:cs="Times New Roman"/>
          <w:vertAlign w:val="subscript"/>
        </w:rPr>
        <w:t>4</w:t>
      </w:r>
      <w:r w:rsidRPr="00F240ED">
        <w:rPr>
          <w:rFonts w:ascii="Times New Roman" w:hAnsi="Times New Roman" w:cs="Times New Roman"/>
        </w:rPr>
        <w:t xml:space="preserve"> headspace concentration, respectively, over a measurement period of 2 min. A tarp was used to block incoming radiation within the chamber over a successive closure. Gross primary productivity (GPP) was calculated from the difference between the unshrouded measurement (NEE) and the fully dark measurement which provided ecosystem CO</w:t>
      </w:r>
      <w:r w:rsidRPr="00F240ED">
        <w:rPr>
          <w:rFonts w:ascii="Times New Roman" w:hAnsi="Times New Roman" w:cs="Times New Roman"/>
          <w:vertAlign w:val="subscript"/>
        </w:rPr>
        <w:t>2</w:t>
      </w:r>
      <w:r w:rsidRPr="00F240ED">
        <w:rPr>
          <w:rFonts w:ascii="Times New Roman" w:hAnsi="Times New Roman" w:cs="Times New Roman"/>
        </w:rPr>
        <w:t xml:space="preserve"> respiration (ER).</w:t>
      </w:r>
    </w:p>
    <w:p w14:paraId="0F90CF5D" w14:textId="77777777" w:rsidR="00336E6D" w:rsidRPr="00F240ED" w:rsidRDefault="00336E6D" w:rsidP="00336E6D">
      <w:pPr>
        <w:contextualSpacing/>
        <w:jc w:val="both"/>
        <w:rPr>
          <w:rFonts w:ascii="Times New Roman" w:hAnsi="Times New Roman" w:cs="Times New Roman"/>
        </w:rPr>
      </w:pPr>
    </w:p>
    <w:p w14:paraId="416FD48A" w14:textId="77777777" w:rsidR="00336E6D" w:rsidRPr="00F240ED" w:rsidRDefault="00336E6D" w:rsidP="00336E6D">
      <w:pPr>
        <w:contextualSpacing/>
        <w:jc w:val="both"/>
        <w:rPr>
          <w:rFonts w:ascii="Times New Roman" w:hAnsi="Times New Roman" w:cs="Times New Roman"/>
        </w:rPr>
      </w:pPr>
      <w:r w:rsidRPr="00F240ED">
        <w:rPr>
          <w:rFonts w:ascii="Times New Roman" w:hAnsi="Times New Roman" w:cs="Times New Roman"/>
        </w:rPr>
        <w:t>Gas temperature (T</w:t>
      </w:r>
      <w:r w:rsidRPr="00F240ED">
        <w:rPr>
          <w:rFonts w:ascii="Times New Roman" w:hAnsi="Times New Roman" w:cs="Times New Roman"/>
          <w:vertAlign w:val="subscript"/>
        </w:rPr>
        <w:t>SAMPLE</w:t>
      </w:r>
      <w:r w:rsidRPr="00F240ED">
        <w:rPr>
          <w:rFonts w:ascii="Times New Roman" w:hAnsi="Times New Roman" w:cs="Times New Roman"/>
        </w:rPr>
        <w:t xml:space="preserve">, °C) was measured at 1 Hz by the LGR-UGGA while photosynthetically active radiation (PAR; </w:t>
      </w:r>
      <w:r w:rsidRPr="00F240ED">
        <w:rPr>
          <w:rFonts w:ascii="Times New Roman" w:hAnsi="Times New Roman" w:cs="Times New Roman"/>
          <w:i/>
        </w:rPr>
        <w:t>µ</w:t>
      </w:r>
      <w:r w:rsidRPr="00F240ED">
        <w:rPr>
          <w:rFonts w:ascii="Times New Roman" w:hAnsi="Times New Roman" w:cs="Times New Roman"/>
        </w:rPr>
        <w:t>mol m</w:t>
      </w:r>
      <w:r w:rsidRPr="00F240ED">
        <w:rPr>
          <w:rFonts w:ascii="Times New Roman" w:hAnsi="Times New Roman" w:cs="Times New Roman"/>
          <w:vertAlign w:val="superscript"/>
        </w:rPr>
        <w:t>-2</w:t>
      </w:r>
      <w:r w:rsidRPr="00F240ED">
        <w:rPr>
          <w:rFonts w:ascii="Times New Roman" w:hAnsi="Times New Roman" w:cs="Times New Roman"/>
        </w:rPr>
        <w:t xml:space="preserve"> s</w:t>
      </w:r>
      <w:r w:rsidRPr="00F240ED">
        <w:rPr>
          <w:rFonts w:ascii="Times New Roman" w:hAnsi="Times New Roman" w:cs="Times New Roman"/>
          <w:vertAlign w:val="superscript"/>
        </w:rPr>
        <w:t>-1</w:t>
      </w:r>
      <w:r w:rsidRPr="00F240ED">
        <w:rPr>
          <w:rFonts w:ascii="Times New Roman" w:hAnsi="Times New Roman" w:cs="Times New Roman"/>
        </w:rPr>
        <w:t>) was recorded every 10 sec during chamber closure by a quantum sensor. Following chamber deployment, soil temperature (T</w:t>
      </w:r>
      <w:r w:rsidRPr="00F240ED">
        <w:rPr>
          <w:rFonts w:ascii="Times New Roman" w:hAnsi="Times New Roman" w:cs="Times New Roman"/>
          <w:vertAlign w:val="subscript"/>
        </w:rPr>
        <w:t>SOIL</w:t>
      </w:r>
      <w:r w:rsidRPr="00F240ED">
        <w:rPr>
          <w:rFonts w:ascii="Times New Roman" w:hAnsi="Times New Roman" w:cs="Times New Roman"/>
        </w:rPr>
        <w:t>) at 2, 5, 10, 15, 20, 25 and 30 cm was measured next to each collar using a digital thermocouple temperature probe,</w:t>
      </w:r>
      <w:r w:rsidRPr="00F240ED">
        <w:rPr>
          <w:rFonts w:ascii="Times New Roman" w:hAnsi="Times New Roman" w:cs="Times New Roman"/>
          <w:color w:val="00B050"/>
        </w:rPr>
        <w:t xml:space="preserve"> </w:t>
      </w:r>
      <w:r w:rsidRPr="00F240ED">
        <w:rPr>
          <w:rFonts w:ascii="Times New Roman" w:hAnsi="Times New Roman" w:cs="Times New Roman"/>
        </w:rPr>
        <w:t>while water table depth (WTD) was manually measured at adjacent wells. Dataloggers (CR5000 and CR23X, Campbell Scientific, AB, CAN) were used to record half hourly air temperature (T</w:t>
      </w:r>
      <w:r w:rsidRPr="00F240ED">
        <w:rPr>
          <w:rFonts w:ascii="Times New Roman" w:hAnsi="Times New Roman" w:cs="Times New Roman"/>
          <w:vertAlign w:val="subscript"/>
        </w:rPr>
        <w:t>AIR</w:t>
      </w:r>
      <w:r w:rsidRPr="00F240ED">
        <w:rPr>
          <w:rFonts w:ascii="Times New Roman" w:hAnsi="Times New Roman" w:cs="Times New Roman"/>
        </w:rPr>
        <w:t>), and T</w:t>
      </w:r>
      <w:r w:rsidRPr="00F240ED">
        <w:rPr>
          <w:rFonts w:ascii="Times New Roman" w:hAnsi="Times New Roman" w:cs="Times New Roman"/>
          <w:vertAlign w:val="subscript"/>
        </w:rPr>
        <w:t>SOIL</w:t>
      </w:r>
      <w:r w:rsidRPr="00F240ED">
        <w:rPr>
          <w:rFonts w:ascii="Times New Roman" w:hAnsi="Times New Roman" w:cs="Times New Roman"/>
        </w:rPr>
        <w:t xml:space="preserve"> at multiple depths (5, 10, 20, 40, 60, 80 cm) in the restored field and former ditch locations over the measurement season using type T thermocouples (Omega Engineering). Paired </w:t>
      </w:r>
      <w:proofErr w:type="spellStart"/>
      <w:r w:rsidRPr="00F240ED">
        <w:rPr>
          <w:rFonts w:ascii="Times New Roman" w:hAnsi="Times New Roman" w:cs="Times New Roman"/>
        </w:rPr>
        <w:t>Leveloggers</w:t>
      </w:r>
      <w:proofErr w:type="spellEnd"/>
      <w:r w:rsidRPr="00F240ED">
        <w:rPr>
          <w:rFonts w:ascii="Times New Roman" w:hAnsi="Times New Roman" w:cs="Times New Roman"/>
        </w:rPr>
        <w:t xml:space="preserve"> and </w:t>
      </w:r>
      <w:proofErr w:type="spellStart"/>
      <w:r w:rsidRPr="00F240ED">
        <w:rPr>
          <w:rFonts w:ascii="Times New Roman" w:hAnsi="Times New Roman" w:cs="Times New Roman"/>
        </w:rPr>
        <w:t>Barologgers</w:t>
      </w:r>
      <w:proofErr w:type="spellEnd"/>
      <w:r w:rsidRPr="00F240ED">
        <w:rPr>
          <w:rFonts w:ascii="Times New Roman" w:hAnsi="Times New Roman" w:cs="Times New Roman"/>
        </w:rPr>
        <w:t xml:space="preserve"> (Model 3001, </w:t>
      </w:r>
      <w:proofErr w:type="spellStart"/>
      <w:r w:rsidRPr="00F240ED">
        <w:rPr>
          <w:rFonts w:ascii="Times New Roman" w:hAnsi="Times New Roman" w:cs="Times New Roman"/>
        </w:rPr>
        <w:t>Solinst</w:t>
      </w:r>
      <w:proofErr w:type="spellEnd"/>
      <w:r w:rsidRPr="00F240ED">
        <w:rPr>
          <w:rFonts w:ascii="Times New Roman" w:hAnsi="Times New Roman" w:cs="Times New Roman"/>
        </w:rPr>
        <w:t>, Ontario, Canada) determined half hourly WTD in proximity to the T</w:t>
      </w:r>
      <w:r w:rsidRPr="00F240ED">
        <w:rPr>
          <w:rFonts w:ascii="Times New Roman" w:hAnsi="Times New Roman" w:cs="Times New Roman"/>
          <w:vertAlign w:val="subscript"/>
        </w:rPr>
        <w:t>SOIL</w:t>
      </w:r>
      <w:r w:rsidRPr="00F240ED">
        <w:rPr>
          <w:rFonts w:ascii="Times New Roman" w:hAnsi="Times New Roman" w:cs="Times New Roman"/>
        </w:rPr>
        <w:t xml:space="preserve"> profiles.</w:t>
      </w:r>
    </w:p>
    <w:p w14:paraId="7A397CFC" w14:textId="77777777" w:rsidR="00336E6D" w:rsidRDefault="00336E6D" w:rsidP="00336E6D">
      <w:pPr>
        <w:contextualSpacing/>
        <w:jc w:val="both"/>
        <w:rPr>
          <w:rFonts w:ascii="Times New Roman" w:hAnsi="Times New Roman" w:cs="Times New Roman"/>
        </w:rPr>
      </w:pPr>
      <w:r w:rsidRPr="00F240ED">
        <w:rPr>
          <w:rFonts w:ascii="Times New Roman" w:hAnsi="Times New Roman" w:cs="Times New Roman"/>
        </w:rPr>
        <w:t>A total of 600 chamber closures were performed over the snow-free season of 2016. Standard chamber flux calculations were made for linear changes in headspace CO</w:t>
      </w:r>
      <w:r w:rsidRPr="00F240ED">
        <w:rPr>
          <w:rFonts w:ascii="Times New Roman" w:hAnsi="Times New Roman" w:cs="Times New Roman"/>
          <w:vertAlign w:val="subscript"/>
        </w:rPr>
        <w:t>2</w:t>
      </w:r>
      <w:r w:rsidRPr="00F240ED">
        <w:rPr>
          <w:rFonts w:ascii="Times New Roman" w:hAnsi="Times New Roman" w:cs="Times New Roman"/>
        </w:rPr>
        <w:t xml:space="preserve"> and CH</w:t>
      </w:r>
      <w:r w:rsidRPr="00F240ED">
        <w:rPr>
          <w:rFonts w:ascii="Times New Roman" w:hAnsi="Times New Roman" w:cs="Times New Roman"/>
          <w:vertAlign w:val="subscript"/>
        </w:rPr>
        <w:t>4</w:t>
      </w:r>
      <w:r w:rsidRPr="00F240ED">
        <w:rPr>
          <w:rFonts w:ascii="Times New Roman" w:hAnsi="Times New Roman" w:cs="Times New Roman"/>
        </w:rPr>
        <w:t xml:space="preserve"> over time. In the case where CH</w:t>
      </w:r>
      <w:r w:rsidRPr="00F240ED">
        <w:rPr>
          <w:rFonts w:ascii="Times New Roman" w:hAnsi="Times New Roman" w:cs="Times New Roman"/>
          <w:vertAlign w:val="subscript"/>
        </w:rPr>
        <w:t>4</w:t>
      </w:r>
      <w:r w:rsidRPr="00F240ED">
        <w:rPr>
          <w:rFonts w:ascii="Times New Roman" w:hAnsi="Times New Roman" w:cs="Times New Roman"/>
        </w:rPr>
        <w:t xml:space="preserve"> bubbling was captured with the LGR-UGGA, a piece-wise linear fitting routine was used to separate linear from non-linear CH</w:t>
      </w:r>
      <w:r w:rsidRPr="00F240ED">
        <w:rPr>
          <w:rFonts w:ascii="Times New Roman" w:hAnsi="Times New Roman" w:cs="Times New Roman"/>
          <w:vertAlign w:val="subscript"/>
        </w:rPr>
        <w:t>4</w:t>
      </w:r>
      <w:r w:rsidRPr="00F240ED">
        <w:rPr>
          <w:rFonts w:ascii="Times New Roman" w:hAnsi="Times New Roman" w:cs="Times New Roman"/>
        </w:rPr>
        <w:t xml:space="preserve"> increase in headspace concentration. </w:t>
      </w:r>
      <w:r>
        <w:rPr>
          <w:rFonts w:ascii="Times New Roman" w:hAnsi="Times New Roman" w:cs="Times New Roman"/>
        </w:rPr>
        <w:t>Methane</w:t>
      </w:r>
      <w:r w:rsidRPr="00F240ED">
        <w:rPr>
          <w:rFonts w:ascii="Times New Roman" w:hAnsi="Times New Roman" w:cs="Times New Roman"/>
        </w:rPr>
        <w:t xml:space="preserve"> ebullition occurred repeatedly in the ditch plots and was characterized by a sudden break in the slope of the CH</w:t>
      </w:r>
      <w:r w:rsidRPr="00F240ED">
        <w:rPr>
          <w:rFonts w:ascii="Times New Roman" w:hAnsi="Times New Roman" w:cs="Times New Roman"/>
          <w:vertAlign w:val="subscript"/>
        </w:rPr>
        <w:t>4</w:t>
      </w:r>
      <w:r w:rsidRPr="00F240ED">
        <w:rPr>
          <w:rFonts w:ascii="Times New Roman" w:hAnsi="Times New Roman" w:cs="Times New Roman"/>
        </w:rPr>
        <w:t xml:space="preserve"> mixing ratio over short durations (generally &lt; 20 sec). The first difference of the CH</w:t>
      </w:r>
      <w:r w:rsidRPr="00F240ED">
        <w:rPr>
          <w:rFonts w:ascii="Times New Roman" w:hAnsi="Times New Roman" w:cs="Times New Roman"/>
          <w:vertAlign w:val="subscript"/>
        </w:rPr>
        <w:t>4</w:t>
      </w:r>
      <w:r w:rsidRPr="00F240ED">
        <w:rPr>
          <w:rFonts w:ascii="Times New Roman" w:hAnsi="Times New Roman" w:cs="Times New Roman"/>
        </w:rPr>
        <w:t xml:space="preserve"> mixing ratio time series and standard deviation of the first difference were used to distinguish non-linear events. In total, 78 non-linear events passed the criteria in 2016 </w:t>
      </w:r>
      <w:r w:rsidRPr="00F240ED">
        <w:rPr>
          <w:rFonts w:ascii="Times New Roman" w:hAnsi="Times New Roman" w:cs="Times New Roman"/>
        </w:rPr>
        <w:lastRenderedPageBreak/>
        <w:t xml:space="preserve">and were separated out from the linear dataset. The linear slope before and after the concentration jump was determined </w:t>
      </w:r>
      <w:proofErr w:type="gramStart"/>
      <w:r w:rsidRPr="00F240ED">
        <w:rPr>
          <w:rFonts w:ascii="Times New Roman" w:hAnsi="Times New Roman" w:cs="Times New Roman"/>
        </w:rPr>
        <w:t>in order to</w:t>
      </w:r>
      <w:proofErr w:type="gramEnd"/>
      <w:r w:rsidRPr="00F240ED">
        <w:rPr>
          <w:rFonts w:ascii="Times New Roman" w:hAnsi="Times New Roman" w:cs="Times New Roman"/>
        </w:rPr>
        <w:t xml:space="preserve"> quantify jump magnitude as well as baseline magnitude, which theoretically should continue during bubble events. Bubble magnitude was calculated as the difference between the jump magnitude and baseline magnitude and then converted to CH</w:t>
      </w:r>
      <w:r w:rsidRPr="00F240ED">
        <w:rPr>
          <w:rFonts w:ascii="Times New Roman" w:hAnsi="Times New Roman" w:cs="Times New Roman"/>
          <w:vertAlign w:val="subscript"/>
        </w:rPr>
        <w:t>4</w:t>
      </w:r>
      <w:r w:rsidRPr="00F240ED">
        <w:rPr>
          <w:rFonts w:ascii="Times New Roman" w:hAnsi="Times New Roman" w:cs="Times New Roman"/>
        </w:rPr>
        <w:t xml:space="preserve"> mass released (mg CH</w:t>
      </w:r>
      <w:r w:rsidRPr="00F240ED">
        <w:rPr>
          <w:rFonts w:ascii="Times New Roman" w:hAnsi="Times New Roman" w:cs="Times New Roman"/>
          <w:vertAlign w:val="subscript"/>
        </w:rPr>
        <w:t>4</w:t>
      </w:r>
      <w:r w:rsidRPr="00F240ED">
        <w:rPr>
          <w:rFonts w:ascii="Times New Roman" w:hAnsi="Times New Roman" w:cs="Times New Roman"/>
        </w:rPr>
        <w:t xml:space="preserve">) using chamber volume, </w:t>
      </w:r>
      <w:proofErr w:type="gramStart"/>
      <w:r w:rsidRPr="00F240ED">
        <w:rPr>
          <w:rFonts w:ascii="Times New Roman" w:hAnsi="Times New Roman" w:cs="Times New Roman"/>
        </w:rPr>
        <w:t>temperature</w:t>
      </w:r>
      <w:proofErr w:type="gramEnd"/>
      <w:r w:rsidRPr="00F240ED">
        <w:rPr>
          <w:rFonts w:ascii="Times New Roman" w:hAnsi="Times New Roman" w:cs="Times New Roman"/>
        </w:rPr>
        <w:t xml:space="preserve"> and pressure. The fraction of total emissions attributed to the ebullition pathway was estimated by calculating the cumulative ebullitive and diffusive flux over the periods where sampling took place. </w:t>
      </w:r>
    </w:p>
    <w:p w14:paraId="0A7CBAFF" w14:textId="77777777" w:rsidR="00336E6D" w:rsidRPr="00F240ED" w:rsidRDefault="00336E6D" w:rsidP="00336E6D">
      <w:pPr>
        <w:contextualSpacing/>
        <w:jc w:val="both"/>
        <w:rPr>
          <w:rFonts w:ascii="Times New Roman" w:hAnsi="Times New Roman" w:cs="Times New Roman"/>
        </w:rPr>
      </w:pPr>
    </w:p>
    <w:p w14:paraId="6E1E8E64" w14:textId="750602ED" w:rsidR="00336E6D" w:rsidRDefault="00336E6D" w:rsidP="00336E6D">
      <w:pPr>
        <w:rPr>
          <w:i/>
          <w:iCs/>
        </w:rPr>
      </w:pPr>
      <w:bookmarkStart w:id="0" w:name="_Toc16535785"/>
      <w:proofErr w:type="spellStart"/>
      <w:r w:rsidRPr="006258DC">
        <w:rPr>
          <w:i/>
          <w:iCs/>
        </w:rPr>
        <w:t>Pore</w:t>
      </w:r>
      <w:proofErr w:type="spellEnd"/>
      <w:r w:rsidRPr="006258DC">
        <w:rPr>
          <w:i/>
          <w:iCs/>
        </w:rPr>
        <w:t xml:space="preserve"> water sample collection and analyses</w:t>
      </w:r>
      <w:bookmarkEnd w:id="0"/>
    </w:p>
    <w:p w14:paraId="02AB41C0" w14:textId="77777777" w:rsidR="00336E6D" w:rsidRPr="006258DC" w:rsidRDefault="00336E6D" w:rsidP="00336E6D">
      <w:pPr>
        <w:rPr>
          <w:i/>
          <w:iCs/>
        </w:rPr>
      </w:pPr>
    </w:p>
    <w:p w14:paraId="254996A7" w14:textId="77777777" w:rsidR="00336E6D" w:rsidRDefault="00336E6D" w:rsidP="00336E6D">
      <w:pPr>
        <w:contextualSpacing/>
        <w:jc w:val="both"/>
        <w:rPr>
          <w:rFonts w:ascii="Times New Roman" w:hAnsi="Times New Roman" w:cs="Times New Roman"/>
        </w:rPr>
      </w:pPr>
      <w:r w:rsidRPr="00F240ED">
        <w:rPr>
          <w:rFonts w:ascii="Times New Roman" w:hAnsi="Times New Roman" w:cs="Times New Roman"/>
          <w:i/>
        </w:rPr>
        <w:t>In-situ</w:t>
      </w:r>
      <w:r w:rsidRPr="00F240ED">
        <w:rPr>
          <w:rFonts w:ascii="Times New Roman" w:hAnsi="Times New Roman" w:cs="Times New Roman"/>
        </w:rPr>
        <w:t xml:space="preserve"> concentration of dissolved organic carbon (DOC), DIC and dissolved CH</w:t>
      </w:r>
      <w:r w:rsidRPr="00F240ED">
        <w:rPr>
          <w:rFonts w:ascii="Times New Roman" w:hAnsi="Times New Roman" w:cs="Times New Roman"/>
          <w:vertAlign w:val="subscript"/>
        </w:rPr>
        <w:t>4</w:t>
      </w:r>
      <w:r w:rsidRPr="00F240ED">
        <w:rPr>
          <w:rFonts w:ascii="Times New Roman" w:hAnsi="Times New Roman" w:cs="Times New Roman"/>
        </w:rPr>
        <w:t xml:space="preserve"> (dCH</w:t>
      </w:r>
      <w:r w:rsidRPr="00F240ED">
        <w:rPr>
          <w:rFonts w:ascii="Times New Roman" w:hAnsi="Times New Roman" w:cs="Times New Roman"/>
          <w:vertAlign w:val="subscript"/>
        </w:rPr>
        <w:t>4</w:t>
      </w:r>
      <w:r w:rsidRPr="00F240ED">
        <w:rPr>
          <w:rFonts w:ascii="Times New Roman" w:hAnsi="Times New Roman" w:cs="Times New Roman"/>
        </w:rPr>
        <w:t xml:space="preserve">) was determined using six replicate sets of pore water samplers installed 0.2 m and 0.8 m below the former ditch and restored field surface, respectively, as well as at the reference site. </w:t>
      </w:r>
      <w:proofErr w:type="spellStart"/>
      <w:r w:rsidRPr="00F240ED">
        <w:rPr>
          <w:rFonts w:ascii="Times New Roman" w:hAnsi="Times New Roman" w:cs="Times New Roman"/>
        </w:rPr>
        <w:t>Pore</w:t>
      </w:r>
      <w:proofErr w:type="spellEnd"/>
      <w:r w:rsidRPr="00F240ED">
        <w:rPr>
          <w:rFonts w:ascii="Times New Roman" w:hAnsi="Times New Roman" w:cs="Times New Roman"/>
        </w:rPr>
        <w:t xml:space="preserve"> water samplers were made of a 0.2 m length of ABS pipe (25 mm I.D.) closed at both ends, slotted at the middle 0.1 m, and covered in mesh to prevent clogging. </w:t>
      </w:r>
      <w:proofErr w:type="spellStart"/>
      <w:r w:rsidRPr="00F240ED">
        <w:rPr>
          <w:rFonts w:ascii="Times New Roman" w:hAnsi="Times New Roman" w:cs="Times New Roman"/>
        </w:rPr>
        <w:t>Tygon</w:t>
      </w:r>
      <w:proofErr w:type="spellEnd"/>
      <w:r w:rsidRPr="00F240ED">
        <w:rPr>
          <w:rFonts w:ascii="Times New Roman" w:hAnsi="Times New Roman" w:cs="Times New Roman"/>
        </w:rPr>
        <w:t xml:space="preserve"> tubing connected to one end was extended above the soil surface to allow for water collection by syringe from a stopcock. Installations occurred 30 days in advance of sampling and temporally representative samples were obtained by removing 60 mL of pore water from each sampler 48 hours before sampling </w:t>
      </w:r>
      <w:r w:rsidRPr="00F240ED">
        <w:rPr>
          <w:rFonts w:ascii="Times New Roman" w:hAnsi="Times New Roman" w:cs="Times New Roman"/>
        </w:rPr>
        <w:fldChar w:fldCharType="begin" w:fldLock="1"/>
      </w:r>
      <w:r w:rsidRPr="00F240ED">
        <w:rPr>
          <w:rFonts w:ascii="Times New Roman" w:hAnsi="Times New Roman" w:cs="Times New Roman"/>
        </w:rPr>
        <w:instrText>ADDIN CSL_CITATION { "citationItems" : [ { "id" : "ITEM-1", "itemData" : { "DOI" : "10.1029/2007JG000472", "ISSN" : "0148-0227", "author" : [ { "dropping-particle" : "", "family" : "Strack", "given" : "M.", "non-dropping-particle" : "", "parse-names" : false, "suffix" : "" }, { "dropping-particle" : "", "family" : "Waddington", "given" : "J. M.", "non-dropping-particle" : "", "parse-names" : false, "suffix" : "" } ], "container-title" : "Journal of Geophysical Research", "id" : "ITEM-1", "issue" : "G2", "issued" : { "date-parts" : [ [ "2008", "4", "15" ] ] }, "page" : "G02010", "title" : "Spatiotemporal variability in peatland subsurface methane dynamics", "type" : "article-journal", "volume" : "113" }, "uris" : [ "http://www.mendeley.com/documents/?uuid=a594ff5a-341e-4d42-b18d-5bfbcc65b8cb" ] } ], "mendeley" : { "formattedCitation" : "(Strack &amp; Waddington 2008)", "plainTextFormattedCitation" : "(Strack &amp; Waddington 2008)", "previouslyFormattedCitation" : "(Strack &amp; Waddington 2008)" }, "properties" : { "noteIndex" : 0 }, "schema" : "https://github.com/citation-style-language/schema/raw/master/csl-citation.json" }</w:instrText>
      </w:r>
      <w:r w:rsidRPr="00F240ED">
        <w:rPr>
          <w:rFonts w:ascii="Times New Roman" w:hAnsi="Times New Roman" w:cs="Times New Roman"/>
        </w:rPr>
        <w:fldChar w:fldCharType="separate"/>
      </w:r>
      <w:r w:rsidRPr="00F240ED">
        <w:rPr>
          <w:rFonts w:ascii="Times New Roman" w:hAnsi="Times New Roman" w:cs="Times New Roman"/>
          <w:noProof/>
        </w:rPr>
        <w:t>(Strack and Waddington</w:t>
      </w:r>
      <w:r>
        <w:rPr>
          <w:rFonts w:ascii="Times New Roman" w:hAnsi="Times New Roman" w:cs="Times New Roman"/>
          <w:noProof/>
        </w:rPr>
        <w:t>,</w:t>
      </w:r>
      <w:r w:rsidRPr="00F240ED">
        <w:rPr>
          <w:rFonts w:ascii="Times New Roman" w:hAnsi="Times New Roman" w:cs="Times New Roman"/>
          <w:noProof/>
        </w:rPr>
        <w:t xml:space="preserve"> 2008)</w:t>
      </w:r>
      <w:r w:rsidRPr="00F240ED">
        <w:rPr>
          <w:rFonts w:ascii="Times New Roman" w:hAnsi="Times New Roman" w:cs="Times New Roman"/>
        </w:rPr>
        <w:fldChar w:fldCharType="end"/>
      </w:r>
      <w:r w:rsidRPr="00F240ED">
        <w:rPr>
          <w:rFonts w:ascii="Times New Roman" w:hAnsi="Times New Roman" w:cs="Times New Roman"/>
        </w:rPr>
        <w:t>. The headspace degassing technique was used to acquire gas from the water samples. Ambient air was drawn into the syringe in equal volume to the collected pore water (30 mL) and the sample was degassed by shaking the sample vigorously</w:t>
      </w:r>
      <w:r>
        <w:rPr>
          <w:rFonts w:ascii="Times New Roman" w:hAnsi="Times New Roman" w:cs="Times New Roman"/>
        </w:rPr>
        <w:t>.</w:t>
      </w:r>
      <w:r w:rsidRPr="00F240ED">
        <w:rPr>
          <w:rFonts w:ascii="Times New Roman" w:hAnsi="Times New Roman" w:cs="Times New Roman"/>
        </w:rPr>
        <w:t xml:space="preserve"> Gas samples were then transferred to evacuated 12 mL sealed vials (Exetainers, </w:t>
      </w:r>
      <w:proofErr w:type="spellStart"/>
      <w:r w:rsidRPr="00F240ED">
        <w:rPr>
          <w:rFonts w:ascii="Times New Roman" w:hAnsi="Times New Roman" w:cs="Times New Roman"/>
        </w:rPr>
        <w:t>Labco</w:t>
      </w:r>
      <w:proofErr w:type="spellEnd"/>
      <w:r w:rsidRPr="00F240ED">
        <w:rPr>
          <w:rFonts w:ascii="Times New Roman" w:hAnsi="Times New Roman" w:cs="Times New Roman"/>
        </w:rPr>
        <w:t>, UK) and stored in a cooler for transport to McGill University, Montreal, Canada for analysis. Gas concentrations of CH</w:t>
      </w:r>
      <w:r w:rsidRPr="00F240ED">
        <w:rPr>
          <w:rFonts w:ascii="Times New Roman" w:hAnsi="Times New Roman" w:cs="Times New Roman"/>
          <w:vertAlign w:val="subscript"/>
        </w:rPr>
        <w:t>4</w:t>
      </w:r>
      <w:r w:rsidRPr="00F240ED">
        <w:rPr>
          <w:rFonts w:ascii="Times New Roman" w:hAnsi="Times New Roman" w:cs="Times New Roman"/>
        </w:rPr>
        <w:t xml:space="preserve"> and CO</w:t>
      </w:r>
      <w:r w:rsidRPr="00F240ED">
        <w:rPr>
          <w:rFonts w:ascii="Times New Roman" w:hAnsi="Times New Roman" w:cs="Times New Roman"/>
          <w:vertAlign w:val="subscript"/>
        </w:rPr>
        <w:t>2</w:t>
      </w:r>
      <w:r w:rsidRPr="00F240ED">
        <w:rPr>
          <w:rFonts w:ascii="Times New Roman" w:hAnsi="Times New Roman" w:cs="Times New Roman"/>
        </w:rPr>
        <w:t xml:space="preserve"> were determined using a gas chromatograph (Mini-2, SRI Instruments, California, USA). The remaining water sample was passed through 0.45 µm paper filters (</w:t>
      </w:r>
      <w:proofErr w:type="spellStart"/>
      <w:r w:rsidRPr="00F240ED">
        <w:rPr>
          <w:rFonts w:ascii="Times New Roman" w:hAnsi="Times New Roman" w:cs="Times New Roman"/>
        </w:rPr>
        <w:t>Macherey</w:t>
      </w:r>
      <w:proofErr w:type="spellEnd"/>
      <w:r w:rsidRPr="00F240ED">
        <w:rPr>
          <w:rFonts w:ascii="Times New Roman" w:hAnsi="Times New Roman" w:cs="Times New Roman"/>
        </w:rPr>
        <w:t xml:space="preserve">-Nagel MN 85/90) and acidified before being analyzed for DOC concentration on a total organic carbon analyzer (TOC-V, Shimadzu, Maryland, USA). </w:t>
      </w:r>
    </w:p>
    <w:p w14:paraId="1325561E" w14:textId="77777777" w:rsidR="00336E6D" w:rsidRPr="00F240ED" w:rsidRDefault="00336E6D" w:rsidP="00336E6D">
      <w:pPr>
        <w:contextualSpacing/>
        <w:jc w:val="both"/>
        <w:rPr>
          <w:rFonts w:ascii="Times New Roman" w:hAnsi="Times New Roman" w:cs="Times New Roman"/>
        </w:rPr>
      </w:pPr>
    </w:p>
    <w:p w14:paraId="1A658163" w14:textId="77777777" w:rsidR="00336E6D" w:rsidRDefault="00336E6D" w:rsidP="00336E6D">
      <w:pPr>
        <w:contextualSpacing/>
        <w:jc w:val="both"/>
        <w:rPr>
          <w:rFonts w:ascii="Times New Roman" w:hAnsi="Times New Roman" w:cs="Times New Roman"/>
        </w:rPr>
      </w:pPr>
      <w:proofErr w:type="spellStart"/>
      <w:r w:rsidRPr="00F240ED">
        <w:rPr>
          <w:rFonts w:ascii="Times New Roman" w:hAnsi="Times New Roman" w:cs="Times New Roman"/>
        </w:rPr>
        <w:t>Pore</w:t>
      </w:r>
      <w:proofErr w:type="spellEnd"/>
      <w:r w:rsidRPr="00F240ED">
        <w:rPr>
          <w:rFonts w:ascii="Times New Roman" w:hAnsi="Times New Roman" w:cs="Times New Roman"/>
        </w:rPr>
        <w:t xml:space="preserve"> water sampling to determine δ</w:t>
      </w:r>
      <w:r w:rsidRPr="00F240ED">
        <w:rPr>
          <w:rFonts w:ascii="Times New Roman" w:hAnsi="Times New Roman" w:cs="Times New Roman"/>
          <w:vertAlign w:val="superscript"/>
        </w:rPr>
        <w:t>13</w:t>
      </w:r>
      <w:r w:rsidRPr="00F240ED">
        <w:rPr>
          <w:rFonts w:ascii="Times New Roman" w:hAnsi="Times New Roman" w:cs="Times New Roman"/>
        </w:rPr>
        <w:t xml:space="preserve">C and acetate concentration was undertaken on DOY 163 (June 11, 2016), 200-201 (July 18-19, 2016), 216-217 (August 3-4, 2016) and 242 (August 29, 2016). The experimental set-up targeted the root zone (0.2 m) and below the root zone in the cutover peat (0.8 m) using “sipper” sets (rhizosphere and deep) permanently installed in the flux collars. Sippers are 6 mm diameter stainless steel tubes with mesh-covered holes drilled at the base and a length of </w:t>
      </w:r>
      <w:proofErr w:type="spellStart"/>
      <w:r w:rsidRPr="00F240ED">
        <w:rPr>
          <w:rFonts w:ascii="Times New Roman" w:hAnsi="Times New Roman" w:cs="Times New Roman"/>
        </w:rPr>
        <w:t>Tygon</w:t>
      </w:r>
      <w:proofErr w:type="spellEnd"/>
      <w:r w:rsidRPr="00F240ED">
        <w:rPr>
          <w:rFonts w:ascii="Times New Roman" w:hAnsi="Times New Roman" w:cs="Times New Roman"/>
        </w:rPr>
        <w:t xml:space="preserve"> tubing with a stopcock. Sippers were flushed with a small amount of soil water prior to slowly drawing 20 mL using a syringe. Stable carbon isotope samples were filtered in the field through 0.1 µm in-line syringe filters (Whatman Grade GF/D glass microfiber) and injected into 11 mL evacuated glass vials sealed with 20 mm-thick butyl rubber septa. Samples were duplicated and acidified in the field with 1 mL of 30% H</w:t>
      </w:r>
      <w:r w:rsidRPr="00F240ED">
        <w:rPr>
          <w:rFonts w:ascii="Times New Roman" w:hAnsi="Times New Roman" w:cs="Times New Roman"/>
          <w:vertAlign w:val="subscript"/>
        </w:rPr>
        <w:t>3</w:t>
      </w:r>
      <w:r w:rsidRPr="00F240ED">
        <w:rPr>
          <w:rFonts w:ascii="Times New Roman" w:hAnsi="Times New Roman" w:cs="Times New Roman"/>
        </w:rPr>
        <w:t>PO</w:t>
      </w:r>
      <w:r w:rsidRPr="00F240ED">
        <w:rPr>
          <w:rFonts w:ascii="Times New Roman" w:hAnsi="Times New Roman" w:cs="Times New Roman"/>
          <w:vertAlign w:val="subscript"/>
        </w:rPr>
        <w:t>4</w:t>
      </w:r>
      <w:r w:rsidRPr="00F240ED">
        <w:rPr>
          <w:rFonts w:ascii="Times New Roman" w:hAnsi="Times New Roman" w:cs="Times New Roman"/>
        </w:rPr>
        <w:t>, and stored upside down on ice before being express shipped to Florida State University, Tallahassee, FL, USA. A 2-hour wait period was followed in the case of same-day sampling for δ</w:t>
      </w:r>
      <w:r w:rsidRPr="00F240ED">
        <w:rPr>
          <w:rFonts w:ascii="Times New Roman" w:hAnsi="Times New Roman" w:cs="Times New Roman"/>
          <w:vertAlign w:val="superscript"/>
        </w:rPr>
        <w:t>13</w:t>
      </w:r>
      <w:r w:rsidRPr="00F240ED">
        <w:rPr>
          <w:rFonts w:ascii="Times New Roman" w:hAnsi="Times New Roman" w:cs="Times New Roman"/>
        </w:rPr>
        <w:t xml:space="preserve">C and acetate. Duplicate acetate samples were filtered in the field through 0.1 µm in-line syringe filters into 5 mL plastic vials and frozen prior to being shipped to Lund University, Lund, Sweden. Acetate concentration was additionally sampled directly from the roots of </w:t>
      </w:r>
      <w:r w:rsidRPr="00F240ED">
        <w:rPr>
          <w:rFonts w:ascii="Times New Roman" w:hAnsi="Times New Roman" w:cs="Times New Roman"/>
          <w:i/>
        </w:rPr>
        <w:t xml:space="preserve">T. latifolia </w:t>
      </w:r>
      <w:r w:rsidRPr="00F240ED">
        <w:rPr>
          <w:rFonts w:ascii="Times New Roman" w:hAnsi="Times New Roman" w:cs="Times New Roman"/>
        </w:rPr>
        <w:t xml:space="preserve">and </w:t>
      </w:r>
      <w:r w:rsidRPr="00F240ED">
        <w:rPr>
          <w:rFonts w:ascii="Times New Roman" w:hAnsi="Times New Roman" w:cs="Times New Roman"/>
          <w:i/>
        </w:rPr>
        <w:t xml:space="preserve">E. </w:t>
      </w:r>
      <w:proofErr w:type="spellStart"/>
      <w:r w:rsidRPr="00F240ED">
        <w:rPr>
          <w:rFonts w:ascii="Times New Roman" w:hAnsi="Times New Roman" w:cs="Times New Roman"/>
          <w:i/>
        </w:rPr>
        <w:t>vaginatum</w:t>
      </w:r>
      <w:proofErr w:type="spellEnd"/>
      <w:r w:rsidRPr="00F240ED">
        <w:rPr>
          <w:rFonts w:ascii="Times New Roman" w:hAnsi="Times New Roman" w:cs="Times New Roman"/>
        </w:rPr>
        <w:t xml:space="preserve"> plants. This was undertaken by threading individual roots through a tiny hole in a syringe with attached </w:t>
      </w:r>
      <w:proofErr w:type="spellStart"/>
      <w:r w:rsidRPr="00F240ED">
        <w:rPr>
          <w:rFonts w:ascii="Times New Roman" w:hAnsi="Times New Roman" w:cs="Times New Roman"/>
        </w:rPr>
        <w:t>Tygon</w:t>
      </w:r>
      <w:proofErr w:type="spellEnd"/>
      <w:r w:rsidRPr="00F240ED">
        <w:rPr>
          <w:rFonts w:ascii="Times New Roman" w:hAnsi="Times New Roman" w:cs="Times New Roman"/>
        </w:rPr>
        <w:t xml:space="preserve"> tubing and stopcock.</w:t>
      </w:r>
      <w:r>
        <w:rPr>
          <w:rFonts w:ascii="Times New Roman" w:hAnsi="Times New Roman" w:cs="Times New Roman"/>
        </w:rPr>
        <w:t xml:space="preserve"> Three roots were sampled from for six plants of each species (36 roots total), with a blank syringe (root hole included) placed in the vicinity of each </w:t>
      </w:r>
      <w:r>
        <w:rPr>
          <w:rFonts w:ascii="Times New Roman" w:hAnsi="Times New Roman" w:cs="Times New Roman"/>
        </w:rPr>
        <w:lastRenderedPageBreak/>
        <w:t xml:space="preserve">sampled plant (12 blanks total). </w:t>
      </w:r>
      <w:r w:rsidRPr="00F240ED">
        <w:rPr>
          <w:rFonts w:ascii="Times New Roman" w:hAnsi="Times New Roman" w:cs="Times New Roman"/>
        </w:rPr>
        <w:t xml:space="preserve">Deionized water was replaced in the root syringes 24 hours prior to sampling </w:t>
      </w:r>
      <w:proofErr w:type="gramStart"/>
      <w:r w:rsidRPr="00F240ED">
        <w:rPr>
          <w:rFonts w:ascii="Times New Roman" w:hAnsi="Times New Roman" w:cs="Times New Roman"/>
        </w:rPr>
        <w:t>in order to</w:t>
      </w:r>
      <w:proofErr w:type="gramEnd"/>
      <w:r w:rsidRPr="00F240ED">
        <w:rPr>
          <w:rFonts w:ascii="Times New Roman" w:hAnsi="Times New Roman" w:cs="Times New Roman"/>
        </w:rPr>
        <w:t xml:space="preserve"> have a temporally representative sample. Note that δ</w:t>
      </w:r>
      <w:r w:rsidRPr="00F240ED">
        <w:rPr>
          <w:rFonts w:ascii="Times New Roman" w:hAnsi="Times New Roman" w:cs="Times New Roman"/>
          <w:vertAlign w:val="superscript"/>
        </w:rPr>
        <w:t>13</w:t>
      </w:r>
      <w:r w:rsidRPr="00F240ED">
        <w:rPr>
          <w:rFonts w:ascii="Times New Roman" w:hAnsi="Times New Roman" w:cs="Times New Roman"/>
        </w:rPr>
        <w:t>C and acetate sampling in the field plots was prevented beyond June by a water table deeper than 0.2 m and by strong resistance when drawing up pore water from 0.8 m. Extraction was made difficult by the nature of the cutover peat, which had low porosity caused by subsidence after drainage.</w:t>
      </w:r>
    </w:p>
    <w:p w14:paraId="43216731" w14:textId="77777777" w:rsidR="00336E6D" w:rsidRPr="00F240ED" w:rsidRDefault="00336E6D" w:rsidP="00336E6D">
      <w:pPr>
        <w:contextualSpacing/>
        <w:jc w:val="both"/>
        <w:rPr>
          <w:rFonts w:ascii="Times New Roman" w:hAnsi="Times New Roman" w:cs="Times New Roman"/>
        </w:rPr>
      </w:pPr>
    </w:p>
    <w:p w14:paraId="73808D6D" w14:textId="77777777" w:rsidR="00336E6D" w:rsidRDefault="00336E6D" w:rsidP="00336E6D">
      <w:pPr>
        <w:contextualSpacing/>
        <w:jc w:val="both"/>
        <w:rPr>
          <w:rFonts w:ascii="Times New Roman" w:hAnsi="Times New Roman" w:cs="Times New Roman"/>
        </w:rPr>
      </w:pPr>
      <w:r w:rsidRPr="00F240ED">
        <w:rPr>
          <w:rFonts w:ascii="Times New Roman" w:hAnsi="Times New Roman" w:cs="Times New Roman"/>
        </w:rPr>
        <w:t>Isotope samples were brought to ambient pressure with helium, pressurized to one atmosphere and shaken to extract gas into the headspace. The gas concentration and isotopic ratio in the headspace were determined by direct injection on a gas chromatograph combustion-interfaced isotope ratio mass spect</w:t>
      </w:r>
      <w:r>
        <w:rPr>
          <w:rFonts w:ascii="Times New Roman" w:hAnsi="Times New Roman" w:cs="Times New Roman"/>
        </w:rPr>
        <w:t>rometer (MAT Delta V, Finnigan</w:t>
      </w:r>
      <w:r w:rsidRPr="00F240ED">
        <w:rPr>
          <w:rFonts w:ascii="Times New Roman" w:hAnsi="Times New Roman" w:cs="Times New Roman"/>
        </w:rPr>
        <w:t>, USA). We determined the dominant CH</w:t>
      </w:r>
      <w:r w:rsidRPr="00F240ED">
        <w:rPr>
          <w:rFonts w:ascii="Times New Roman" w:hAnsi="Times New Roman" w:cs="Times New Roman"/>
          <w:vertAlign w:val="subscript"/>
        </w:rPr>
        <w:t>4</w:t>
      </w:r>
      <w:r w:rsidRPr="00F240ED">
        <w:rPr>
          <w:rFonts w:ascii="Times New Roman" w:hAnsi="Times New Roman" w:cs="Times New Roman"/>
        </w:rPr>
        <w:t xml:space="preserve"> production pathway at the sampling points in the soil profile using two stable isotope abundance metrics. First, acetate fermentation (</w:t>
      </w:r>
      <w:proofErr w:type="spellStart"/>
      <w:r w:rsidRPr="00F240ED">
        <w:rPr>
          <w:rFonts w:ascii="Times New Roman" w:hAnsi="Times New Roman" w:cs="Times New Roman"/>
        </w:rPr>
        <w:t>acetoclastic</w:t>
      </w:r>
      <w:proofErr w:type="spellEnd"/>
      <w:r w:rsidRPr="00F240ED">
        <w:rPr>
          <w:rFonts w:ascii="Times New Roman" w:hAnsi="Times New Roman" w:cs="Times New Roman"/>
        </w:rPr>
        <w:t xml:space="preserve"> methanogenesis) yields CH</w:t>
      </w:r>
      <w:r w:rsidRPr="00F240ED">
        <w:rPr>
          <w:rFonts w:ascii="Times New Roman" w:hAnsi="Times New Roman" w:cs="Times New Roman"/>
          <w:vertAlign w:val="subscript"/>
        </w:rPr>
        <w:t>4</w:t>
      </w:r>
      <w:r w:rsidRPr="00F240ED">
        <w:rPr>
          <w:rFonts w:ascii="Times New Roman" w:hAnsi="Times New Roman" w:cs="Times New Roman"/>
        </w:rPr>
        <w:t xml:space="preserve"> whose δ</w:t>
      </w:r>
      <w:r w:rsidRPr="00F240ED">
        <w:rPr>
          <w:rFonts w:ascii="Times New Roman" w:hAnsi="Times New Roman" w:cs="Times New Roman"/>
          <w:vertAlign w:val="superscript"/>
        </w:rPr>
        <w:t>13</w:t>
      </w:r>
      <w:r w:rsidRPr="00F240ED">
        <w:rPr>
          <w:rFonts w:ascii="Times New Roman" w:hAnsi="Times New Roman" w:cs="Times New Roman"/>
        </w:rPr>
        <w:t>C values fall within a typical range of -65 and -50‰ whereas CH</w:t>
      </w:r>
      <w:r w:rsidRPr="00F240ED">
        <w:rPr>
          <w:rFonts w:ascii="Times New Roman" w:hAnsi="Times New Roman" w:cs="Times New Roman"/>
          <w:vertAlign w:val="subscript"/>
        </w:rPr>
        <w:t>4</w:t>
      </w:r>
      <w:r w:rsidRPr="00F240ED">
        <w:rPr>
          <w:rFonts w:ascii="Times New Roman" w:hAnsi="Times New Roman" w:cs="Times New Roman"/>
        </w:rPr>
        <w:t xml:space="preserve"> from H</w:t>
      </w:r>
      <w:r w:rsidRPr="00F240ED">
        <w:rPr>
          <w:rFonts w:ascii="Times New Roman" w:hAnsi="Times New Roman" w:cs="Times New Roman"/>
          <w:vertAlign w:val="subscript"/>
        </w:rPr>
        <w:t>2</w:t>
      </w:r>
      <w:r w:rsidRPr="00F240ED">
        <w:rPr>
          <w:rFonts w:ascii="Times New Roman" w:hAnsi="Times New Roman" w:cs="Times New Roman"/>
        </w:rPr>
        <w:t>/CO</w:t>
      </w:r>
      <w:r w:rsidRPr="00F240ED">
        <w:rPr>
          <w:rFonts w:ascii="Times New Roman" w:hAnsi="Times New Roman" w:cs="Times New Roman"/>
          <w:vertAlign w:val="subscript"/>
        </w:rPr>
        <w:t>2</w:t>
      </w:r>
      <w:r w:rsidRPr="00F240ED">
        <w:rPr>
          <w:rFonts w:ascii="Times New Roman" w:hAnsi="Times New Roman" w:cs="Times New Roman"/>
        </w:rPr>
        <w:t xml:space="preserve"> reduction (hydrogenotrophic methanogenesis) has δ</w:t>
      </w:r>
      <w:r w:rsidRPr="00F240ED">
        <w:rPr>
          <w:rFonts w:ascii="Times New Roman" w:hAnsi="Times New Roman" w:cs="Times New Roman"/>
          <w:vertAlign w:val="superscript"/>
        </w:rPr>
        <w:t>13</w:t>
      </w:r>
      <w:r w:rsidRPr="00F240ED">
        <w:rPr>
          <w:rFonts w:ascii="Times New Roman" w:hAnsi="Times New Roman" w:cs="Times New Roman"/>
        </w:rPr>
        <w:t xml:space="preserve">C values typically between -110 and -60‰. Second, the apparent fractionation factor for carbon (α) </w:t>
      </w:r>
      <w:r>
        <w:rPr>
          <w:rFonts w:ascii="Times New Roman" w:hAnsi="Times New Roman" w:cs="Times New Roman"/>
        </w:rPr>
        <w:t xml:space="preserve">(see in Equation 2.8) </w:t>
      </w:r>
      <w:r w:rsidRPr="00F240ED">
        <w:rPr>
          <w:rFonts w:ascii="Times New Roman" w:hAnsi="Times New Roman" w:cs="Times New Roman"/>
        </w:rPr>
        <w:t>is a measure of the separation between CH</w:t>
      </w:r>
      <w:r w:rsidRPr="00F240ED">
        <w:rPr>
          <w:rFonts w:ascii="Times New Roman" w:hAnsi="Times New Roman" w:cs="Times New Roman"/>
          <w:vertAlign w:val="subscript"/>
        </w:rPr>
        <w:t>4</w:t>
      </w:r>
      <w:r w:rsidRPr="00F240ED">
        <w:rPr>
          <w:rFonts w:ascii="Times New Roman" w:hAnsi="Times New Roman" w:cs="Times New Roman"/>
        </w:rPr>
        <w:t xml:space="preserve"> and co-occurring CO</w:t>
      </w:r>
      <w:r w:rsidRPr="00F240ED">
        <w:rPr>
          <w:rFonts w:ascii="Times New Roman" w:hAnsi="Times New Roman" w:cs="Times New Roman"/>
          <w:vertAlign w:val="subscript"/>
        </w:rPr>
        <w:t>2</w:t>
      </w:r>
      <w:r>
        <w:rPr>
          <w:rFonts w:ascii="Times New Roman" w:hAnsi="Times New Roman" w:cs="Times New Roman"/>
        </w:rPr>
        <w:t xml:space="preserve">. </w:t>
      </w:r>
      <w:r w:rsidRPr="00F240ED">
        <w:rPr>
          <w:rFonts w:ascii="Times New Roman" w:hAnsi="Times New Roman" w:cs="Times New Roman"/>
        </w:rPr>
        <w:t>The factor is referred to as apparent, because while CO</w:t>
      </w:r>
      <w:r w:rsidRPr="00F240ED">
        <w:rPr>
          <w:rFonts w:ascii="Times New Roman" w:hAnsi="Times New Roman" w:cs="Times New Roman"/>
          <w:vertAlign w:val="subscript"/>
        </w:rPr>
        <w:t>2</w:t>
      </w:r>
      <w:r w:rsidRPr="00F240ED">
        <w:rPr>
          <w:rFonts w:ascii="Times New Roman" w:hAnsi="Times New Roman" w:cs="Times New Roman"/>
        </w:rPr>
        <w:t xml:space="preserve"> is a precursor for CO</w:t>
      </w:r>
      <w:r w:rsidRPr="00F240ED">
        <w:rPr>
          <w:rFonts w:ascii="Times New Roman" w:hAnsi="Times New Roman" w:cs="Times New Roman"/>
          <w:vertAlign w:val="subscript"/>
        </w:rPr>
        <w:t>2</w:t>
      </w:r>
      <w:r w:rsidRPr="00F240ED">
        <w:rPr>
          <w:rFonts w:ascii="Times New Roman" w:hAnsi="Times New Roman" w:cs="Times New Roman"/>
        </w:rPr>
        <w:t xml:space="preserve"> reduction, it is not an immediate precursor for CH</w:t>
      </w:r>
      <w:r w:rsidRPr="00F240ED">
        <w:rPr>
          <w:rFonts w:ascii="Times New Roman" w:hAnsi="Times New Roman" w:cs="Times New Roman"/>
          <w:vertAlign w:val="subscript"/>
        </w:rPr>
        <w:t>4</w:t>
      </w:r>
      <w:r w:rsidRPr="00F240ED">
        <w:rPr>
          <w:rFonts w:ascii="Times New Roman" w:hAnsi="Times New Roman" w:cs="Times New Roman"/>
        </w:rPr>
        <w:t xml:space="preserve"> formed from acetate fermentation. Nonetheless, variation in α is interpreted to represent variations in CH</w:t>
      </w:r>
      <w:r w:rsidRPr="00F240ED">
        <w:rPr>
          <w:rFonts w:ascii="Times New Roman" w:hAnsi="Times New Roman" w:cs="Times New Roman"/>
          <w:vertAlign w:val="subscript"/>
        </w:rPr>
        <w:t>4</w:t>
      </w:r>
      <w:r w:rsidRPr="00F240ED">
        <w:rPr>
          <w:rFonts w:ascii="Times New Roman" w:hAnsi="Times New Roman" w:cs="Times New Roman"/>
        </w:rPr>
        <w:t xml:space="preserve"> production mechanism. Microbial culture-derived α values for H</w:t>
      </w:r>
      <w:r w:rsidRPr="00F240ED">
        <w:rPr>
          <w:rFonts w:ascii="Times New Roman" w:hAnsi="Times New Roman" w:cs="Times New Roman"/>
          <w:vertAlign w:val="subscript"/>
        </w:rPr>
        <w:t>2</w:t>
      </w:r>
      <w:r w:rsidRPr="00F240ED">
        <w:rPr>
          <w:rFonts w:ascii="Times New Roman" w:hAnsi="Times New Roman" w:cs="Times New Roman"/>
        </w:rPr>
        <w:t>/CO</w:t>
      </w:r>
      <w:r w:rsidRPr="00F240ED">
        <w:rPr>
          <w:rFonts w:ascii="Times New Roman" w:hAnsi="Times New Roman" w:cs="Times New Roman"/>
          <w:vertAlign w:val="subscript"/>
        </w:rPr>
        <w:t>2</w:t>
      </w:r>
      <w:r w:rsidRPr="00F240ED">
        <w:rPr>
          <w:rFonts w:ascii="Times New Roman" w:hAnsi="Times New Roman" w:cs="Times New Roman"/>
        </w:rPr>
        <w:t xml:space="preserve"> reduction are found to range between 1.031 and 1.077, while α values between 1.007 and 1.027 are characteristic of acetate fermentation. In general, values of α&gt;1.065 and α&lt;1.055 are characteristic of environments dominated by H</w:t>
      </w:r>
      <w:r w:rsidRPr="00F240ED">
        <w:rPr>
          <w:rFonts w:ascii="Times New Roman" w:hAnsi="Times New Roman" w:cs="Times New Roman"/>
          <w:vertAlign w:val="subscript"/>
        </w:rPr>
        <w:t>2</w:t>
      </w:r>
      <w:r w:rsidRPr="00F240ED">
        <w:rPr>
          <w:rFonts w:ascii="Times New Roman" w:hAnsi="Times New Roman" w:cs="Times New Roman"/>
        </w:rPr>
        <w:t>/CO</w:t>
      </w:r>
      <w:r w:rsidRPr="00F240ED">
        <w:rPr>
          <w:rFonts w:ascii="Times New Roman" w:hAnsi="Times New Roman" w:cs="Times New Roman"/>
          <w:vertAlign w:val="subscript"/>
        </w:rPr>
        <w:t>2</w:t>
      </w:r>
      <w:r w:rsidRPr="00F240ED">
        <w:rPr>
          <w:rFonts w:ascii="Times New Roman" w:hAnsi="Times New Roman" w:cs="Times New Roman"/>
        </w:rPr>
        <w:t xml:space="preserve"> reduction and acetate fermentation, respectively.</w:t>
      </w:r>
    </w:p>
    <w:p w14:paraId="25BE8B81" w14:textId="77777777" w:rsidR="00336E6D" w:rsidRPr="00F240ED" w:rsidRDefault="00336E6D" w:rsidP="00336E6D">
      <w:pPr>
        <w:contextualSpacing/>
        <w:jc w:val="both"/>
        <w:rPr>
          <w:rFonts w:ascii="Times New Roman" w:hAnsi="Times New Roman" w:cs="Times New Roman"/>
        </w:rPr>
      </w:pPr>
    </w:p>
    <w:p w14:paraId="2049FDC1" w14:textId="19FAA5EA" w:rsidR="00A67B29" w:rsidRPr="00382833" w:rsidRDefault="00336E6D" w:rsidP="00336E6D">
      <w:pPr>
        <w:rPr>
          <w:rFonts w:ascii="Times New Roman" w:hAnsi="Times New Roman" w:cs="Times New Roman"/>
        </w:rPr>
      </w:pPr>
      <w:r w:rsidRPr="00F240ED">
        <w:rPr>
          <w:rFonts w:ascii="Times New Roman" w:hAnsi="Times New Roman" w:cs="Times New Roman"/>
        </w:rPr>
        <w:t>Organic acid concentrations, e.g., acetic acid/acetate, were analyzed using a high-pressure liquid chromatography tandem-</w:t>
      </w:r>
      <w:proofErr w:type="spellStart"/>
      <w:r w:rsidRPr="00F240ED">
        <w:rPr>
          <w:rFonts w:ascii="Times New Roman" w:hAnsi="Times New Roman" w:cs="Times New Roman"/>
        </w:rPr>
        <w:t>ionspray</w:t>
      </w:r>
      <w:proofErr w:type="spellEnd"/>
      <w:r w:rsidRPr="00F240ED">
        <w:rPr>
          <w:rFonts w:ascii="Times New Roman" w:hAnsi="Times New Roman" w:cs="Times New Roman"/>
        </w:rPr>
        <w:t xml:space="preserve"> mass spectrometry system. The system consisted of a chromatography system (ICS-2500, </w:t>
      </w:r>
      <w:proofErr w:type="spellStart"/>
      <w:r w:rsidRPr="00F240ED">
        <w:rPr>
          <w:rFonts w:ascii="Times New Roman" w:hAnsi="Times New Roman" w:cs="Times New Roman"/>
        </w:rPr>
        <w:t>Dionex</w:t>
      </w:r>
      <w:proofErr w:type="spellEnd"/>
      <w:r w:rsidRPr="00F240ED">
        <w:rPr>
          <w:rFonts w:ascii="Times New Roman" w:hAnsi="Times New Roman" w:cs="Times New Roman"/>
        </w:rPr>
        <w:t>, Sunnyvale, California, USA) and a triple quadrupole mass spectrometer (2000 Q-trap, Applied Biosystems, Foster City, California, USA). Further analysis details</w:t>
      </w:r>
      <w:r>
        <w:rPr>
          <w:rFonts w:ascii="Times New Roman" w:hAnsi="Times New Roman" w:cs="Times New Roman"/>
        </w:rPr>
        <w:t xml:space="preserve"> and quality controls</w:t>
      </w:r>
      <w:r w:rsidRPr="00F240ED">
        <w:rPr>
          <w:rFonts w:ascii="Times New Roman" w:hAnsi="Times New Roman" w:cs="Times New Roman"/>
        </w:rPr>
        <w:t xml:space="preserve"> can be found in </w:t>
      </w:r>
      <w:proofErr w:type="spellStart"/>
      <w:r w:rsidRPr="00F240ED">
        <w:rPr>
          <w:rFonts w:ascii="Times New Roman" w:hAnsi="Times New Roman" w:cs="Times New Roman"/>
        </w:rPr>
        <w:t>Ström</w:t>
      </w:r>
      <w:proofErr w:type="spellEnd"/>
      <w:r w:rsidRPr="00F240ED">
        <w:rPr>
          <w:rFonts w:ascii="Times New Roman" w:hAnsi="Times New Roman" w:cs="Times New Roman"/>
        </w:rPr>
        <w:t xml:space="preserve"> </w:t>
      </w:r>
      <w:r w:rsidRPr="006E38E8">
        <w:rPr>
          <w:rFonts w:ascii="Times New Roman" w:hAnsi="Times New Roman" w:cs="Times New Roman"/>
          <w:i/>
        </w:rPr>
        <w:t>et al.</w:t>
      </w:r>
      <w:r w:rsidRPr="00F240ED">
        <w:rPr>
          <w:rFonts w:ascii="Times New Roman" w:hAnsi="Times New Roman" w:cs="Times New Roman"/>
        </w:rPr>
        <w:t xml:space="preserve"> (2012). Results are presented in µM of acetate, given that acetate dominates at pH &gt; 4.76. Other organic acids, namely, citric, formic, </w:t>
      </w:r>
      <w:proofErr w:type="gramStart"/>
      <w:r w:rsidRPr="00F240ED">
        <w:rPr>
          <w:rFonts w:ascii="Times New Roman" w:hAnsi="Times New Roman" w:cs="Times New Roman"/>
        </w:rPr>
        <w:t>glycolic</w:t>
      </w:r>
      <w:proofErr w:type="gramEnd"/>
      <w:r w:rsidRPr="00F240ED">
        <w:rPr>
          <w:rFonts w:ascii="Times New Roman" w:hAnsi="Times New Roman" w:cs="Times New Roman"/>
        </w:rPr>
        <w:t xml:space="preserve"> and lactic, were also detected, but were present at insufficient amounts to pursue further analysis.</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36E6D"/>
    <w:rsid w:val="00382833"/>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600EB"/>
  <w14:defaultImageDpi w14:val="300"/>
  <w15:docId w15:val="{96676C95-ED63-4836-87AD-5E91D149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1709</Words>
  <Characters>9745</Characters>
  <Application>Microsoft Office Word</Application>
  <DocSecurity>0</DocSecurity>
  <Lines>81</Lines>
  <Paragraphs>22</Paragraphs>
  <ScaleCrop>false</ScaleCrop>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2020-09-27T16:46:00Z</dcterms:modified>
</cp:coreProperties>
</file>