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rFonts w:ascii="Century Gothic" w:cs="Century Gothic" w:eastAsia="Century Gothic" w:hAnsi="Century Gothic"/>
          <w:b w:val="1"/>
          <w:sz w:val="60"/>
          <w:szCs w:val="60"/>
        </w:rPr>
      </w:pPr>
      <w:bookmarkStart w:colFirst="0" w:colLast="0" w:name="_6c2h2okp8ms1" w:id="0"/>
      <w:bookmarkEnd w:id="0"/>
      <w:r w:rsidDel="00000000" w:rsidR="00000000" w:rsidRPr="00000000">
        <w:rPr>
          <w:rFonts w:ascii="Century Gothic" w:cs="Century Gothic" w:eastAsia="Century Gothic" w:hAnsi="Century Gothic"/>
          <w:b w:val="1"/>
          <w:sz w:val="60"/>
          <w:szCs w:val="60"/>
          <w:rtl w:val="0"/>
        </w:rPr>
        <w:t xml:space="preserve">Pago de Matricula de Alumno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sz w:val="56"/>
          <w:szCs w:val="56"/>
        </w:rPr>
      </w:pPr>
      <w:r w:rsidDel="00000000" w:rsidR="00000000" w:rsidRPr="00000000">
        <w:rPr>
          <w:rFonts w:ascii="Century Gothic" w:cs="Century Gothic" w:eastAsia="Century Gothic" w:hAnsi="Century Gothic"/>
          <w:b w:val="1"/>
          <w:sz w:val="56"/>
          <w:szCs w:val="56"/>
          <w:rtl w:val="0"/>
        </w:rPr>
        <w:t xml:space="preserve">Grupo:</w:t>
      </w:r>
      <w:r w:rsidDel="00000000" w:rsidR="00000000" w:rsidRPr="00000000">
        <w:rPr>
          <w:rFonts w:ascii="Century Gothic" w:cs="Century Gothic" w:eastAsia="Century Gothic" w:hAnsi="Century Gothic"/>
          <w:sz w:val="56"/>
          <w:szCs w:val="56"/>
          <w:rtl w:val="0"/>
        </w:rPr>
        <w:t xml:space="preserve"> Bebitos Fiu Fiu</w:t>
      </w:r>
    </w:p>
    <w:p w:rsidR="00000000" w:rsidDel="00000000" w:rsidP="00000000" w:rsidRDefault="00000000" w:rsidRPr="00000000" w14:paraId="00000007">
      <w:pPr>
        <w:rPr>
          <w:rFonts w:ascii="Century Gothic" w:cs="Century Gothic" w:eastAsia="Century Gothic" w:hAnsi="Century Gothic"/>
          <w:b w:val="1"/>
          <w:sz w:val="56"/>
          <w:szCs w:val="56"/>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b w:val="1"/>
          <w:sz w:val="56"/>
          <w:szCs w:val="56"/>
        </w:rPr>
      </w:pPr>
      <w:r w:rsidDel="00000000" w:rsidR="00000000" w:rsidRPr="00000000">
        <w:rPr>
          <w:rFonts w:ascii="Century Gothic" w:cs="Century Gothic" w:eastAsia="Century Gothic" w:hAnsi="Century Gothic"/>
          <w:b w:val="1"/>
          <w:sz w:val="56"/>
          <w:szCs w:val="56"/>
          <w:rtl w:val="0"/>
        </w:rPr>
        <w:t xml:space="preserve">Integrantes:</w:t>
      </w:r>
    </w:p>
    <w:p w:rsidR="00000000" w:rsidDel="00000000" w:rsidP="00000000" w:rsidRDefault="00000000" w:rsidRPr="00000000" w14:paraId="00000009">
      <w:pPr>
        <w:numPr>
          <w:ilvl w:val="0"/>
          <w:numId w:val="1"/>
        </w:numPr>
        <w:ind w:left="720" w:hanging="360"/>
        <w:rPr>
          <w:rFonts w:ascii="Century Gothic" w:cs="Century Gothic" w:eastAsia="Century Gothic" w:hAnsi="Century Gothic"/>
          <w:sz w:val="56"/>
          <w:szCs w:val="56"/>
        </w:rPr>
      </w:pPr>
      <w:r w:rsidDel="00000000" w:rsidR="00000000" w:rsidRPr="00000000">
        <w:rPr>
          <w:rFonts w:ascii="Century Gothic" w:cs="Century Gothic" w:eastAsia="Century Gothic" w:hAnsi="Century Gothic"/>
          <w:sz w:val="56"/>
          <w:szCs w:val="56"/>
          <w:rtl w:val="0"/>
        </w:rPr>
        <w:t xml:space="preserve">Fabrizio Castañeda Pareja</w:t>
      </w:r>
    </w:p>
    <w:p w:rsidR="00000000" w:rsidDel="00000000" w:rsidP="00000000" w:rsidRDefault="00000000" w:rsidRPr="00000000" w14:paraId="0000000A">
      <w:pPr>
        <w:numPr>
          <w:ilvl w:val="0"/>
          <w:numId w:val="1"/>
        </w:numPr>
        <w:ind w:left="720" w:hanging="360"/>
        <w:rPr>
          <w:rFonts w:ascii="Century Gothic" w:cs="Century Gothic" w:eastAsia="Century Gothic" w:hAnsi="Century Gothic"/>
          <w:sz w:val="56"/>
          <w:szCs w:val="56"/>
        </w:rPr>
      </w:pPr>
      <w:r w:rsidDel="00000000" w:rsidR="00000000" w:rsidRPr="00000000">
        <w:rPr>
          <w:rFonts w:ascii="Century Gothic" w:cs="Century Gothic" w:eastAsia="Century Gothic" w:hAnsi="Century Gothic"/>
          <w:sz w:val="56"/>
          <w:szCs w:val="56"/>
          <w:rtl w:val="0"/>
        </w:rPr>
        <w:t xml:space="preserve">Edward Raul Llancay Inquiltupa.</w:t>
      </w:r>
    </w:p>
    <w:p w:rsidR="00000000" w:rsidDel="00000000" w:rsidP="00000000" w:rsidRDefault="00000000" w:rsidRPr="00000000" w14:paraId="0000000B">
      <w:pPr>
        <w:numPr>
          <w:ilvl w:val="0"/>
          <w:numId w:val="1"/>
        </w:numPr>
        <w:ind w:left="720" w:hanging="360"/>
        <w:rPr>
          <w:rFonts w:ascii="Century Gothic" w:cs="Century Gothic" w:eastAsia="Century Gothic" w:hAnsi="Century Gothic"/>
          <w:sz w:val="56"/>
          <w:szCs w:val="56"/>
        </w:rPr>
      </w:pPr>
      <w:r w:rsidDel="00000000" w:rsidR="00000000" w:rsidRPr="00000000">
        <w:rPr>
          <w:rFonts w:ascii="Century Gothic" w:cs="Century Gothic" w:eastAsia="Century Gothic" w:hAnsi="Century Gothic"/>
          <w:sz w:val="56"/>
          <w:szCs w:val="56"/>
          <w:rtl w:val="0"/>
        </w:rPr>
        <w:t xml:space="preserve">Patrick Alfredo Flores Paredes</w:t>
      </w:r>
    </w:p>
    <w:p w:rsidR="00000000" w:rsidDel="00000000" w:rsidP="00000000" w:rsidRDefault="00000000" w:rsidRPr="00000000" w14:paraId="0000000C">
      <w:pPr>
        <w:numPr>
          <w:ilvl w:val="0"/>
          <w:numId w:val="1"/>
        </w:numPr>
        <w:ind w:left="720" w:hanging="360"/>
        <w:rPr>
          <w:rFonts w:ascii="Century Gothic" w:cs="Century Gothic" w:eastAsia="Century Gothic" w:hAnsi="Century Gothic"/>
          <w:sz w:val="56"/>
          <w:szCs w:val="56"/>
        </w:rPr>
      </w:pPr>
      <w:r w:rsidDel="00000000" w:rsidR="00000000" w:rsidRPr="00000000">
        <w:rPr>
          <w:rFonts w:ascii="Century Gothic" w:cs="Century Gothic" w:eastAsia="Century Gothic" w:hAnsi="Century Gothic"/>
          <w:sz w:val="56"/>
          <w:szCs w:val="56"/>
          <w:rtl w:val="0"/>
        </w:rPr>
        <w:t xml:space="preserve">Anthony Julio Follanos Molero</w:t>
      </w:r>
    </w:p>
    <w:p w:rsidR="00000000" w:rsidDel="00000000" w:rsidP="00000000" w:rsidRDefault="00000000" w:rsidRPr="00000000" w14:paraId="0000000D">
      <w:pPr>
        <w:numPr>
          <w:ilvl w:val="0"/>
          <w:numId w:val="1"/>
        </w:numPr>
        <w:ind w:left="720" w:hanging="360"/>
        <w:rPr>
          <w:rFonts w:ascii="Century Gothic" w:cs="Century Gothic" w:eastAsia="Century Gothic" w:hAnsi="Century Gothic"/>
          <w:sz w:val="56"/>
          <w:szCs w:val="56"/>
        </w:rPr>
      </w:pPr>
      <w:r w:rsidDel="00000000" w:rsidR="00000000" w:rsidRPr="00000000">
        <w:rPr>
          <w:rFonts w:ascii="Century Gothic" w:cs="Century Gothic" w:eastAsia="Century Gothic" w:hAnsi="Century Gothic"/>
          <w:sz w:val="56"/>
          <w:szCs w:val="56"/>
          <w:rtl w:val="0"/>
        </w:rPr>
        <w:t xml:space="preserve">Jymmy Steward Quispe Tintaya</w:t>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Documentación</w:t>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Actividades Específicas: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Introducción</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Desarrollo</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Implementación del Programa</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Conclusión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Este documento tiene como objetivo proporcionar una guía completa sobre el funcionamiento y la implementación de nuestro sistema de pago de matrículas y mensualidad diseñado para instituciones educativas.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El programa de pago de matrículas de alumnos es una solución eficiente y segura para facilitar el proceso de pago de matrículas en instituciones educativas, tanto para los alumnos como para el personal administrativo. Este software ha sido desarrollado teniendo en cuenta la necesidad de automatizar y simplificar el proceso de pago, eliminando la necesidad de realizar trámites en persona y reduciendo el papeleo.</w:t>
      </w:r>
    </w:p>
    <w:p w:rsidR="00000000" w:rsidDel="00000000" w:rsidP="00000000" w:rsidRDefault="00000000" w:rsidRPr="00000000" w14:paraId="00000020">
      <w:pPr>
        <w:spacing w:after="240" w:before="240" w:lineRule="auto"/>
        <w:rPr>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Se desarrolló un programa de pago de matrículas de alumnos utilizando JavaFX como framework de interfaz de usuario y Scene Builder como herramienta de diseño visual. JavaFX es una plataforma moderna y versátil para crear aplicaciones de escritorio con interfaces gráficas atractivas, mientras que Scene Builder facilita la creación y personalización de las interfaces gráficas de usuario.</w:t>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27">
      <w:pPr>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Flujo de trabajo para procesar los requerimientos de una agenda de contactos</w:t>
      </w:r>
    </w:p>
    <w:p w:rsidR="00000000" w:rsidDel="00000000" w:rsidP="00000000" w:rsidRDefault="00000000" w:rsidRPr="00000000" w14:paraId="0000002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Diseño a alto nivel: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269360</wp:posOffset>
            </wp:positionV>
            <wp:extent cx="5731200" cy="33401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02B">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Registro de alumno.</w:t>
      </w:r>
    </w:p>
    <w:p w:rsidR="00000000" w:rsidDel="00000000" w:rsidP="00000000" w:rsidRDefault="00000000" w:rsidRPr="00000000" w14:paraId="0000002C">
      <w:pPr>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2D">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6103357" cy="3429986"/>
            <wp:effectExtent b="0" l="0" r="0" t="0"/>
            <wp:docPr id="21"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6103357" cy="342998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Registro de apoderado.</w:t>
      </w:r>
    </w:p>
    <w:p w:rsidR="00000000" w:rsidDel="00000000" w:rsidP="00000000" w:rsidRDefault="00000000" w:rsidRPr="00000000" w14:paraId="00000030">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6159996" cy="3469202"/>
            <wp:effectExtent b="0" l="0" r="0" t="0"/>
            <wp:docPr id="2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159996" cy="346920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Registro de matrícula.</w:t>
      </w:r>
    </w:p>
    <w:p w:rsidR="00000000" w:rsidDel="00000000" w:rsidP="00000000" w:rsidRDefault="00000000" w:rsidRPr="00000000" w14:paraId="00000032">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6133439" cy="345005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33439" cy="345005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6">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7">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8">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Reporte de alumno.</w:t>
      </w:r>
    </w:p>
    <w:p w:rsidR="00000000" w:rsidDel="00000000" w:rsidP="00000000" w:rsidRDefault="00000000" w:rsidRPr="00000000" w14:paraId="0000003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731200" cy="3225800"/>
            <wp:effectExtent b="0" l="0" r="0" t="0"/>
            <wp:docPr id="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Historias de usuario:</w:t>
      </w:r>
    </w:p>
    <w:p w:rsidR="00000000" w:rsidDel="00000000" w:rsidP="00000000" w:rsidRDefault="00000000" w:rsidRPr="00000000" w14:paraId="0000003B">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C">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514850" cy="2609850"/>
            <wp:effectExtent b="0" l="0" r="0" t="0"/>
            <wp:docPr id="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5148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0">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781550" cy="256222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81550" cy="25622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2743200</wp:posOffset>
            </wp:positionV>
            <wp:extent cx="4405313" cy="2947002"/>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05313" cy="2947002"/>
                    </a:xfrm>
                    <a:prstGeom prst="rect"/>
                    <a:ln/>
                  </pic:spPr>
                </pic:pic>
              </a:graphicData>
            </a:graphic>
          </wp:anchor>
        </w:drawing>
      </w:r>
    </w:p>
    <w:p w:rsidR="00000000" w:rsidDel="00000000" w:rsidP="00000000" w:rsidRDefault="00000000" w:rsidRPr="00000000" w14:paraId="00000042">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3">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6">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7">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457700" cy="2876550"/>
            <wp:effectExtent b="0" l="0" r="0" t="0"/>
            <wp:docPr id="1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4577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9">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A">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B">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C">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D">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E">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F">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0">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1">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2">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3">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Planificación del sprint:</w:t>
      </w:r>
    </w:p>
    <w:p w:rsidR="00000000" w:rsidDel="00000000" w:rsidP="00000000" w:rsidRDefault="00000000" w:rsidRPr="00000000" w14:paraId="00000057">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Product backlog:</w:t>
      </w:r>
    </w:p>
    <w:p w:rsidR="00000000" w:rsidDel="00000000" w:rsidP="00000000" w:rsidRDefault="00000000" w:rsidRPr="00000000" w14:paraId="00000058">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581525" cy="371475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815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Sprint backlog:</w:t>
      </w:r>
    </w:p>
    <w:p w:rsidR="00000000" w:rsidDel="00000000" w:rsidP="00000000" w:rsidRDefault="00000000" w:rsidRPr="00000000" w14:paraId="0000005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572125" cy="3571875"/>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721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C">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D">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E">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5F">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Tasking:</w:t>
      </w:r>
    </w:p>
    <w:p w:rsidR="00000000" w:rsidDel="00000000" w:rsidP="00000000" w:rsidRDefault="00000000" w:rsidRPr="00000000" w14:paraId="00000060">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3733800" cy="2019300"/>
            <wp:effectExtent b="0" l="0" r="0" t="0"/>
            <wp:docPr id="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733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429125" cy="222885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4291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419600" cy="20193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419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238750" cy="25146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387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5">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6">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7">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Tiempo del recurso humano</w:t>
      </w:r>
    </w:p>
    <w:p w:rsidR="00000000" w:rsidDel="00000000" w:rsidP="00000000" w:rsidRDefault="00000000" w:rsidRPr="00000000" w14:paraId="00000068">
      <w:pPr>
        <w:rPr>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5731200" cy="2578100"/>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Implementación del programa:</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Primeramente, se diseñó la interfaz visual en Scene Builder donde veremos las siguientes ventanas: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Pr>
        <w:drawing>
          <wp:inline distB="114300" distT="114300" distL="114300" distR="114300">
            <wp:extent cx="5731200" cy="4000500"/>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Tenemos 3 opciones, Estudiante, Padres y Pago Matrícula. En el caso de que sea un alumno nuevo y necesite pagar su matrícula, primero necesita llenar los campos correspondientes donde se pide la información del alumno y de sus papás. Una vez se haya llenado lo requerido se puede completar el campo de Pago Matrícula.</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Pr>
        <w:drawing>
          <wp:inline distB="114300" distT="114300" distL="114300" distR="114300">
            <wp:extent cx="5731200" cy="3987800"/>
            <wp:effectExtent b="0" l="0" r="0" t="0"/>
            <wp:docPr id="16"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Pr>
        <w:drawing>
          <wp:inline distB="114300" distT="114300" distL="114300" distR="114300">
            <wp:extent cx="5731200" cy="4000500"/>
            <wp:effectExtent b="0" l="0" r="0" t="0"/>
            <wp:docPr id="19"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5731200" cy="3987800"/>
            <wp:effectExtent b="0" l="0" r="0" t="0"/>
            <wp:docPr id="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5731200" cy="3962400"/>
            <wp:effectExtent b="0" l="0" r="0" t="0"/>
            <wp:docPr id="1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En conclusión, un programa de pago de matrículas de alumnos mejora la experiencia de los usuarios, agiliza los procesos administrativos y brinda una mayor transparencia y eficiencia en la gestión financiera. Al optimizar y simplificar el proceso de pago de matrículas, permite que tanto padres como estudiantes se enfoquen en sus actividades académicas, mientras que el personal administrativo puede dedicar más tiempo a tareas estratégicas y de valor agregado.</w:t>
      </w:r>
    </w:p>
    <w:p w:rsidR="00000000" w:rsidDel="00000000" w:rsidP="00000000" w:rsidRDefault="00000000" w:rsidRPr="00000000" w14:paraId="0000008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3.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1.png"/><Relationship Id="rId8" Type="http://schemas.openxmlformats.org/officeDocument/2006/relationships/image" Target="media/image15.png"/><Relationship Id="rId11" Type="http://schemas.openxmlformats.org/officeDocument/2006/relationships/image" Target="media/image20.png"/><Relationship Id="rId10" Type="http://schemas.openxmlformats.org/officeDocument/2006/relationships/image" Target="media/image17.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9.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