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FC043" w14:textId="77777777" w:rsidR="00AE3BAC" w:rsidRPr="00AA7A69" w:rsidRDefault="0009034F" w:rsidP="00AA7A69">
      <w:pPr>
        <w:shd w:val="clear" w:color="auto" w:fill="EEECE1" w:themeFill="background2"/>
        <w:jc w:val="center"/>
        <w:rPr>
          <w:b/>
          <w:sz w:val="40"/>
          <w:szCs w:val="40"/>
        </w:rPr>
      </w:pPr>
      <w:r>
        <w:rPr>
          <w:b/>
          <w:sz w:val="40"/>
          <w:szCs w:val="40"/>
        </w:rPr>
        <w:t xml:space="preserve">Code pénal : </w:t>
      </w:r>
      <w:r w:rsidR="00AA7A69" w:rsidRPr="00AA7A69">
        <w:rPr>
          <w:b/>
          <w:sz w:val="40"/>
          <w:szCs w:val="40"/>
        </w:rPr>
        <w:t xml:space="preserve"> informatique et libertés</w:t>
      </w:r>
    </w:p>
    <w:p w14:paraId="4F9B9FC2" w14:textId="77777777" w:rsidR="004A3C88" w:rsidRDefault="004A3C88" w:rsidP="004A3C88">
      <w:pPr>
        <w:pStyle w:val="Titre2"/>
        <w:spacing w:before="375" w:beforeAutospacing="0" w:after="375" w:afterAutospacing="0" w:line="600" w:lineRule="atLeast"/>
        <w:rPr>
          <w:rFonts w:ascii="open_sans_condensedbold" w:eastAsia="Times New Roman" w:hAnsi="open_sans_condensedbold"/>
          <w:b w:val="0"/>
          <w:bCs w:val="0"/>
          <w:color w:val="333333"/>
          <w:sz w:val="48"/>
          <w:szCs w:val="48"/>
          <w:lang w:eastAsia="fr-FR"/>
        </w:rPr>
      </w:pPr>
      <w:r>
        <w:rPr>
          <w:rFonts w:ascii="open_sans_condensedbold" w:eastAsia="Times New Roman" w:hAnsi="open_sans_condensedbold"/>
          <w:b w:val="0"/>
          <w:bCs w:val="0"/>
          <w:color w:val="333333"/>
          <w:sz w:val="48"/>
          <w:szCs w:val="48"/>
        </w:rPr>
        <w:t>Code pénal (Partie Législative)</w:t>
      </w:r>
    </w:p>
    <w:p w14:paraId="204CC127" w14:textId="77777777" w:rsidR="004A3C88" w:rsidRDefault="004A3C88" w:rsidP="004A3C88">
      <w:pPr>
        <w:pStyle w:val="Titre3"/>
        <w:spacing w:before="330" w:beforeAutospacing="0" w:after="165"/>
        <w:rPr>
          <w:rFonts w:ascii="Georgia" w:hAnsi="Georgia"/>
          <w:b w:val="0"/>
          <w:bCs w:val="0"/>
          <w:color w:val="4596EC"/>
          <w:sz w:val="42"/>
          <w:szCs w:val="42"/>
        </w:rPr>
      </w:pPr>
      <w:r>
        <w:rPr>
          <w:rFonts w:ascii="Georgia" w:hAnsi="Georgia"/>
          <w:b w:val="0"/>
          <w:bCs w:val="0"/>
          <w:color w:val="4596EC"/>
          <w:sz w:val="42"/>
          <w:szCs w:val="42"/>
        </w:rPr>
        <w:t>Section 5 - Des atteintes aux droits de la personne résultant des fichiers ou des traitements informatiques</w:t>
      </w:r>
    </w:p>
    <w:p w14:paraId="3B9AA952" w14:textId="77777777" w:rsidR="004A3C88" w:rsidRDefault="004A3C88" w:rsidP="004A3C88">
      <w:pPr>
        <w:pStyle w:val="Titre4"/>
        <w:spacing w:before="165" w:beforeAutospacing="0" w:after="165" w:afterAutospacing="0"/>
        <w:rPr>
          <w:rFonts w:ascii="Georgia" w:eastAsia="Times New Roman" w:hAnsi="Georgia"/>
          <w:b/>
          <w:bCs/>
          <w:color w:val="333333"/>
          <w:sz w:val="33"/>
          <w:szCs w:val="33"/>
        </w:rPr>
      </w:pPr>
      <w:r>
        <w:rPr>
          <w:rFonts w:ascii="Georgia" w:eastAsia="Times New Roman" w:hAnsi="Georgia"/>
          <w:b/>
          <w:bCs/>
          <w:color w:val="333333"/>
          <w:sz w:val="33"/>
          <w:szCs w:val="33"/>
        </w:rPr>
        <w:t>Art. 226-16</w:t>
      </w:r>
    </w:p>
    <w:p w14:paraId="375E7273"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 xml:space="preserve">Le fait, y compris par négligence, de procéder ou de faire procéder à des traitements de données à caractère personnel sans qu'aient été respectées les formalités préalables à leur mise en </w:t>
      </w:r>
      <w:proofErr w:type="spellStart"/>
      <w:r>
        <w:rPr>
          <w:rFonts w:ascii="Georgia" w:hAnsi="Georgia"/>
          <w:color w:val="71716E"/>
          <w:sz w:val="27"/>
          <w:szCs w:val="27"/>
        </w:rPr>
        <w:t>oeuvre</w:t>
      </w:r>
      <w:proofErr w:type="spellEnd"/>
      <w:r>
        <w:rPr>
          <w:rFonts w:ascii="Georgia" w:hAnsi="Georgia"/>
          <w:color w:val="71716E"/>
          <w:sz w:val="27"/>
          <w:szCs w:val="27"/>
        </w:rPr>
        <w:t xml:space="preserve"> prévues par la loi est puni de cinq ans d'emprisonnement et de 300 000 euros d'amende.</w:t>
      </w:r>
    </w:p>
    <w:p w14:paraId="3D598071" w14:textId="77777777" w:rsidR="004A3C88" w:rsidRDefault="004A3C88" w:rsidP="004A3C88">
      <w:pPr>
        <w:pStyle w:val="Normalweb"/>
        <w:spacing w:before="0" w:beforeAutospacing="0" w:after="0"/>
        <w:rPr>
          <w:rFonts w:ascii="Georgia" w:hAnsi="Georgia"/>
          <w:color w:val="71716E"/>
          <w:sz w:val="27"/>
          <w:szCs w:val="27"/>
        </w:rPr>
      </w:pPr>
      <w:r>
        <w:rPr>
          <w:rFonts w:ascii="Georgia" w:hAnsi="Georgia"/>
          <w:color w:val="71716E"/>
          <w:sz w:val="27"/>
          <w:szCs w:val="27"/>
        </w:rPr>
        <w:t>Est puni des mêmes peines le fait, y compris par négligence, de procéder ou de faire procéder à un traitement qui a fait l'objet de l'une des mesures prévues au 3° du III de l'article 20 de la loi n° 78-17 du 6 janvier 1978 relative à l'informatique, aux fichiers et aux libertés.</w:t>
      </w:r>
    </w:p>
    <w:p w14:paraId="2DA140A6"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226-16-1</w:t>
      </w:r>
    </w:p>
    <w:p w14:paraId="1E39F2BA"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 xml:space="preserve">Le fait, </w:t>
      </w:r>
      <w:proofErr w:type="gramStart"/>
      <w:r>
        <w:rPr>
          <w:rFonts w:ascii="Georgia" w:hAnsi="Georgia"/>
          <w:color w:val="71716E"/>
          <w:sz w:val="27"/>
          <w:szCs w:val="27"/>
        </w:rPr>
        <w:t>hors</w:t>
      </w:r>
      <w:proofErr w:type="gramEnd"/>
      <w:r>
        <w:rPr>
          <w:rFonts w:ascii="Georgia" w:hAnsi="Georgia"/>
          <w:color w:val="71716E"/>
          <w:sz w:val="27"/>
          <w:szCs w:val="27"/>
        </w:rPr>
        <w:t xml:space="preserve"> les cas où le traitement a été autorisé dans les conditions prévues par la loi n° 78-17 du 6 janvier 1978 précitée, de procéder ou faire procéder à un traitement de données à caractère personnel incluant parmi les données sur lesquelles il porte le numéro d'inscription des personnes au répertoire national d'identification des personnes physiques est puni de cinq ans d'emprisonnement et de 300 000 euros d'amende.</w:t>
      </w:r>
    </w:p>
    <w:p w14:paraId="30219BEB"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226-17</w:t>
      </w:r>
    </w:p>
    <w:p w14:paraId="146751C0"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 xml:space="preserve">Le fait de procéder ou de faire procéder à un traitement de données à caractère personnel sans mettre en </w:t>
      </w:r>
      <w:proofErr w:type="spellStart"/>
      <w:r>
        <w:rPr>
          <w:rFonts w:ascii="Georgia" w:hAnsi="Georgia"/>
          <w:color w:val="71716E"/>
          <w:sz w:val="27"/>
          <w:szCs w:val="27"/>
        </w:rPr>
        <w:t>oeuvre</w:t>
      </w:r>
      <w:proofErr w:type="spellEnd"/>
      <w:r>
        <w:rPr>
          <w:rFonts w:ascii="Georgia" w:hAnsi="Georgia"/>
          <w:color w:val="71716E"/>
          <w:sz w:val="27"/>
          <w:szCs w:val="27"/>
        </w:rPr>
        <w:t xml:space="preserve"> les mesures prescrites aux articles 24, 25, 30 et 32 du règlement (UE) 2016/679 du 27 avril 2016 précité ou au 6° de l'article 4 et aux articles 99 à 101 de la loi n° 78-17 du 6 janvier 1978 précitée est puni de cinq ans d'emprisonnement et de 300 000 euros d'amende.</w:t>
      </w:r>
    </w:p>
    <w:p w14:paraId="5AB8023F"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226-17-1</w:t>
      </w:r>
    </w:p>
    <w:p w14:paraId="603B205F"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Le fait pour un fournisseur de services de communications électroniques ou pour un responsable de traitement de ne pas procéder à la notification d'une violation de données à caractère personnel à la Commission nationale de l'informatique et des libertés ou à l'intéressé, en méconnaissance des articles 33 et 34 du règlement (UE) 2016/679 du 27 avril 2016 précité ou des dispositions du II de l'article 83 et de l'article 102 de la loi n° 78-17 du 6 janvier 1978, est puni de cinq ans d'emprisonnement et de 300 000 € d'amende.</w:t>
      </w:r>
    </w:p>
    <w:p w14:paraId="5755D585" w14:textId="77777777" w:rsidR="004A3C88" w:rsidRDefault="004A3C88" w:rsidP="004A3C88">
      <w:pPr>
        <w:pStyle w:val="Normalweb"/>
        <w:spacing w:before="0" w:beforeAutospacing="0" w:after="0"/>
        <w:rPr>
          <w:rFonts w:ascii="Georgia" w:hAnsi="Georgia"/>
          <w:color w:val="71716E"/>
          <w:sz w:val="27"/>
          <w:szCs w:val="27"/>
        </w:rPr>
      </w:pPr>
      <w:r>
        <w:rPr>
          <w:rFonts w:ascii="Georgia" w:hAnsi="Georgia"/>
          <w:color w:val="71716E"/>
          <w:sz w:val="27"/>
          <w:szCs w:val="27"/>
        </w:rPr>
        <w:t xml:space="preserve">Est puni des mêmes peines le fait pour un sous-traitant de ne pas notifier cette violation au responsable de traitement en méconnaissance de l'article 33 du règlement (UE) </w:t>
      </w:r>
      <w:r>
        <w:rPr>
          <w:rFonts w:ascii="Georgia" w:hAnsi="Georgia"/>
          <w:color w:val="71716E"/>
          <w:sz w:val="27"/>
          <w:szCs w:val="27"/>
        </w:rPr>
        <w:lastRenderedPageBreak/>
        <w:t>2016/679 du 27 avril 2016 précité ou de l'article 102 de la loi n° 78-17 du 6 janvier 1978 précitée.</w:t>
      </w:r>
    </w:p>
    <w:p w14:paraId="12ED3692"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226-18</w:t>
      </w:r>
    </w:p>
    <w:p w14:paraId="31533E0E"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Le fait de collecter des données à caractère personnel par un moyen frauduleux, déloyal ou illicite est puni de cinq ans d'emprisonnement et de 300 000 euros d'amende.</w:t>
      </w:r>
    </w:p>
    <w:p w14:paraId="61806FB5"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226-18-1</w:t>
      </w:r>
    </w:p>
    <w:p w14:paraId="174A5DAE"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Le fait de procéder à un traitement de données à caractère personnel concernant une personne physique malgré l'opposition de cette personne, lorsque ce traitement répond à des fins de prospection, notamment commerciale, ou lorsque cette opposition est fondée sur des motifs légitimes, est puni de cinq ans d'emprisonnement et de 300 000 euros d'amende.</w:t>
      </w:r>
    </w:p>
    <w:p w14:paraId="1AF89768"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226-19</w:t>
      </w:r>
    </w:p>
    <w:p w14:paraId="4DD5374A"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Le fait, hors les cas prévus par la loi, de mettre ou de conserver en mémoire informatisée, sans le consentement exprès de l'intéressé, des données à caractère personnel qui, directement ou indirectement, font apparaître les origines raciales ou ethniques, les opinions politiques, philosophiques ou religieuses, ou les appartenances syndicales des personnes, ou qui sont relatives à la santé ou à l'orientation sexuelle ou à l'identité de genre de celles-ci, est puni de cinq ans d'emprisonnement et de 300 000 euros d'amende.</w:t>
      </w:r>
    </w:p>
    <w:p w14:paraId="07B6E8CE" w14:textId="77777777" w:rsidR="004A3C88" w:rsidRDefault="004A3C88" w:rsidP="004A3C88">
      <w:pPr>
        <w:pStyle w:val="Normalweb"/>
        <w:spacing w:before="0" w:beforeAutospacing="0" w:after="165"/>
        <w:rPr>
          <w:rFonts w:ascii="Georgia" w:hAnsi="Georgia"/>
          <w:color w:val="71716E"/>
          <w:sz w:val="27"/>
          <w:szCs w:val="27"/>
        </w:rPr>
      </w:pPr>
      <w:r>
        <w:rPr>
          <w:rFonts w:ascii="Georgia" w:hAnsi="Georgia"/>
          <w:color w:val="71716E"/>
          <w:sz w:val="27"/>
          <w:szCs w:val="27"/>
        </w:rPr>
        <w:t xml:space="preserve">Est puni des mêmes peines le fait, </w:t>
      </w:r>
      <w:proofErr w:type="gramStart"/>
      <w:r>
        <w:rPr>
          <w:rFonts w:ascii="Georgia" w:hAnsi="Georgia"/>
          <w:color w:val="71716E"/>
          <w:sz w:val="27"/>
          <w:szCs w:val="27"/>
        </w:rPr>
        <w:t>hors</w:t>
      </w:r>
      <w:proofErr w:type="gramEnd"/>
      <w:r>
        <w:rPr>
          <w:rFonts w:ascii="Georgia" w:hAnsi="Georgia"/>
          <w:color w:val="71716E"/>
          <w:sz w:val="27"/>
          <w:szCs w:val="27"/>
        </w:rPr>
        <w:t xml:space="preserve"> les cas prévus par la loi, de mettre ou de conserver en mémoire informatisée des données à caractère personnel concernant des infractions, des condamnations ou des mesures de sûreté.</w:t>
      </w:r>
    </w:p>
    <w:p w14:paraId="0F0DCEED" w14:textId="77777777" w:rsidR="004A3C88" w:rsidRDefault="004A3C88" w:rsidP="004A3C88">
      <w:pPr>
        <w:pStyle w:val="Normalweb"/>
        <w:spacing w:before="0" w:beforeAutospacing="0" w:after="0"/>
        <w:rPr>
          <w:rFonts w:ascii="Georgia" w:hAnsi="Georgia"/>
          <w:color w:val="71716E"/>
          <w:sz w:val="27"/>
          <w:szCs w:val="27"/>
        </w:rPr>
      </w:pPr>
      <w:r>
        <w:rPr>
          <w:rFonts w:ascii="Georgia" w:hAnsi="Georgia"/>
          <w:color w:val="71716E"/>
          <w:sz w:val="27"/>
          <w:szCs w:val="27"/>
        </w:rPr>
        <w:t>Les dispositions du présent article sont applicables aux traitements non automatisés de données à caractère personnel dont la mise en œuvre ne se limite pas à l'exercice d'activités exclusivement personnelles.</w:t>
      </w:r>
    </w:p>
    <w:p w14:paraId="1FC81465"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226-19-1</w:t>
      </w:r>
    </w:p>
    <w:p w14:paraId="59C3264E"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En cas de traitement de données à caractère personnel ayant pour fin la recherche dans le domaine de la santé, est puni de cinq ans d'emprisonnement et de 300 000 euros d'amende le fait de procéder à un traitement :</w:t>
      </w:r>
    </w:p>
    <w:p w14:paraId="2EA16058" w14:textId="77777777" w:rsidR="004A3C88" w:rsidRDefault="004A3C88" w:rsidP="004A3C88">
      <w:pPr>
        <w:pStyle w:val="rteindent1"/>
        <w:spacing w:before="0" w:beforeAutospacing="0" w:after="165" w:afterAutospacing="0"/>
        <w:ind w:left="600"/>
        <w:rPr>
          <w:rFonts w:ascii="Georgia" w:hAnsi="Georgia"/>
          <w:color w:val="71716E"/>
          <w:sz w:val="27"/>
          <w:szCs w:val="27"/>
        </w:rPr>
      </w:pPr>
      <w:r>
        <w:rPr>
          <w:rFonts w:ascii="Georgia" w:hAnsi="Georgia"/>
          <w:color w:val="71716E"/>
          <w:sz w:val="27"/>
          <w:szCs w:val="27"/>
        </w:rPr>
        <w:t>1° Sans avoir préalablement informé individuellement les personnes sur le compte desquelles des données à caractère personnel sont recueillies ou transmises de leur droit d'accès, de rectification et d'opposition, de la nature des données transmises et des destinataires de celles-ci ;</w:t>
      </w:r>
    </w:p>
    <w:p w14:paraId="7FF9D9EB" w14:textId="77777777" w:rsidR="004A3C88" w:rsidRDefault="004A3C88" w:rsidP="004A3C88">
      <w:pPr>
        <w:pStyle w:val="rteindent1"/>
        <w:spacing w:before="0" w:beforeAutospacing="0" w:after="0" w:afterAutospacing="0"/>
        <w:ind w:left="600"/>
        <w:rPr>
          <w:rFonts w:ascii="Georgia" w:hAnsi="Georgia"/>
          <w:color w:val="71716E"/>
          <w:sz w:val="27"/>
          <w:szCs w:val="27"/>
        </w:rPr>
      </w:pPr>
      <w:r>
        <w:rPr>
          <w:rFonts w:ascii="Georgia" w:hAnsi="Georgia"/>
          <w:color w:val="71716E"/>
          <w:sz w:val="27"/>
          <w:szCs w:val="27"/>
        </w:rPr>
        <w:t>2° Malgré l'opposition de la personne concernée ou, lorsqu'il est prévu par la loi, en l'absence du consentement éclairé et exprès de la personne, ou s'il s'agit d'une personne décédée, malgré le refus exprimé par celle-ci de son vivant.</w:t>
      </w:r>
    </w:p>
    <w:p w14:paraId="2F2A174A"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226-20</w:t>
      </w:r>
    </w:p>
    <w:p w14:paraId="7CCC42BA"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 xml:space="preserve">Le fait de conserver des données à caractère personnel au-delà de la durée prévue par la loi ou le règlement, par la demande d'autorisation ou d'avis, ou par la déclaration </w:t>
      </w:r>
      <w:r>
        <w:rPr>
          <w:rFonts w:ascii="Georgia" w:hAnsi="Georgia"/>
          <w:color w:val="71716E"/>
          <w:sz w:val="27"/>
          <w:szCs w:val="27"/>
        </w:rPr>
        <w:lastRenderedPageBreak/>
        <w:t>préalable adressée à la Commission nationale de l'informatique et des libertés, est puni de cinq ans d'emprisonnement et de 300 000 euros d'amende, sauf si cette conservation est effectuée à des fins historiques, statistiques ou scientifiques dans les conditions prévues par la loi.</w:t>
      </w:r>
    </w:p>
    <w:p w14:paraId="4328D966" w14:textId="77777777" w:rsidR="004A3C88" w:rsidRDefault="004A3C88" w:rsidP="004A3C88">
      <w:pPr>
        <w:pStyle w:val="Normalweb"/>
        <w:spacing w:before="0" w:beforeAutospacing="0" w:after="165"/>
        <w:rPr>
          <w:rFonts w:ascii="Georgia" w:hAnsi="Georgia"/>
          <w:color w:val="71716E"/>
          <w:sz w:val="27"/>
          <w:szCs w:val="27"/>
        </w:rPr>
      </w:pPr>
      <w:r>
        <w:rPr>
          <w:rFonts w:ascii="Georgia" w:hAnsi="Georgia"/>
          <w:color w:val="71716E"/>
          <w:sz w:val="27"/>
          <w:szCs w:val="27"/>
        </w:rPr>
        <w:t xml:space="preserve">Est puni des mêmes peines le fait, </w:t>
      </w:r>
      <w:proofErr w:type="gramStart"/>
      <w:r>
        <w:rPr>
          <w:rFonts w:ascii="Georgia" w:hAnsi="Georgia"/>
          <w:color w:val="71716E"/>
          <w:sz w:val="27"/>
          <w:szCs w:val="27"/>
        </w:rPr>
        <w:t>hors</w:t>
      </w:r>
      <w:proofErr w:type="gramEnd"/>
      <w:r>
        <w:rPr>
          <w:rFonts w:ascii="Georgia" w:hAnsi="Georgia"/>
          <w:color w:val="71716E"/>
          <w:sz w:val="27"/>
          <w:szCs w:val="27"/>
        </w:rPr>
        <w:t xml:space="preserve"> les cas prévus par la loi, de traiter à des fins autres qu'historiques, statistiques ou scientifiques des données à caractère personnel conservées au-delà de la durée mentionnée au premier alinéa.</w:t>
      </w:r>
    </w:p>
    <w:p w14:paraId="1128F367"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226-21</w:t>
      </w:r>
    </w:p>
    <w:p w14:paraId="6B0E659F"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 xml:space="preserve">Le fait, par toute personne détentrice de données à caractère personnel à l'occasion de leur enregistrement, de leur classement, de leur transmission ou de toute autre forme de traitement, de détourner ces informations de leur finalité telle que définie par la disposition législative, l'acte réglementaire ou la décision de la Commission nationale de l'informatique et des libertés autorisant le traitement automatisé, ou par les déclarations préalables à la mise en </w:t>
      </w:r>
      <w:proofErr w:type="spellStart"/>
      <w:r>
        <w:rPr>
          <w:rFonts w:ascii="Georgia" w:hAnsi="Georgia"/>
          <w:color w:val="71716E"/>
          <w:sz w:val="27"/>
          <w:szCs w:val="27"/>
        </w:rPr>
        <w:t>oeuvre</w:t>
      </w:r>
      <w:proofErr w:type="spellEnd"/>
      <w:r>
        <w:rPr>
          <w:rFonts w:ascii="Georgia" w:hAnsi="Georgia"/>
          <w:color w:val="71716E"/>
          <w:sz w:val="27"/>
          <w:szCs w:val="27"/>
        </w:rPr>
        <w:t xml:space="preserve"> de ce traitement, est puni de cinq ans d'emprisonnement et de 300 000 euros d'amende.</w:t>
      </w:r>
    </w:p>
    <w:p w14:paraId="225D6F3D"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226-22</w:t>
      </w:r>
    </w:p>
    <w:p w14:paraId="75812EFB"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Le fait, par toute personne qui a recueilli, à l'occasion de leur enregistrement, de leur classement, de leur transmission ou d'une autre forme de traitement, des données à caractère personnel dont la divulgation aurait pour effet de porter atteinte à la considération de l'intéressé ou à l'intimité de sa vie privée, de porter, sans autorisation de l'intéressé, ces données à la connaissance d'un tiers qui n'a pas qualité pour les recevoir est puni de cinq ans d'emprisonnement et de 300 000 euros d'amende.</w:t>
      </w:r>
    </w:p>
    <w:p w14:paraId="77F43962" w14:textId="77777777" w:rsidR="004A3C88" w:rsidRDefault="004A3C88" w:rsidP="004A3C88">
      <w:pPr>
        <w:pStyle w:val="Normalweb"/>
        <w:spacing w:before="0" w:beforeAutospacing="0" w:after="165"/>
        <w:rPr>
          <w:rFonts w:ascii="Georgia" w:hAnsi="Georgia"/>
          <w:color w:val="71716E"/>
          <w:sz w:val="27"/>
          <w:szCs w:val="27"/>
        </w:rPr>
      </w:pPr>
      <w:r>
        <w:rPr>
          <w:rFonts w:ascii="Georgia" w:hAnsi="Georgia"/>
          <w:color w:val="71716E"/>
          <w:sz w:val="27"/>
          <w:szCs w:val="27"/>
        </w:rPr>
        <w:t>La divulgation prévue à l'alinéa précédent est punie de trois ans d'emprisonnement et de 100 000 euros d'amende lorsqu'elle a été commise par imprudence ou négligence.</w:t>
      </w:r>
    </w:p>
    <w:p w14:paraId="6F4A5B83" w14:textId="77777777" w:rsidR="004A3C88" w:rsidRDefault="004A3C88" w:rsidP="004A3C88">
      <w:pPr>
        <w:pStyle w:val="Normalweb"/>
        <w:spacing w:before="0" w:beforeAutospacing="0" w:after="165"/>
        <w:rPr>
          <w:rFonts w:ascii="Georgia" w:hAnsi="Georgia"/>
          <w:color w:val="71716E"/>
          <w:sz w:val="27"/>
          <w:szCs w:val="27"/>
        </w:rPr>
      </w:pPr>
      <w:r>
        <w:rPr>
          <w:rFonts w:ascii="Georgia" w:hAnsi="Georgia"/>
          <w:color w:val="71716E"/>
          <w:sz w:val="27"/>
          <w:szCs w:val="27"/>
        </w:rPr>
        <w:t>Dans les cas prévus aux deux alinéas précédents, la poursuite ne peut être exercée que sur plainte de la victime, de son représentant légal ou de ses ayants droit.</w:t>
      </w:r>
    </w:p>
    <w:p w14:paraId="12A5949F"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226-22-1</w:t>
      </w:r>
    </w:p>
    <w:p w14:paraId="75435E1E"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Le fait de procéder ou de faire procéder à un transfert de données à caractère personnel faisant l'objet ou destinées à faire l'objet d'un traitement vers un Etat n'appartenant pas à l'Union européenne ou à une organisation internationale en violation du chapitre V du règlement (UE) 2016/679 du Parlement européen et du Conseil du 27 avril 2016 relatif à la protection des personnes physiques à l'égard du traitement des données à caractère personnel et à la libre circulation de ces données, et abrogeant la directive 95/46/ CE, ou des articles 112 à 114 de la loi n° 78-17 du 6 janvier 1978 précitée est puni de cinq ans d'emprisonnement et de 300 000 euros d'amende.</w:t>
      </w:r>
    </w:p>
    <w:p w14:paraId="347E943E"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226-22-2</w:t>
      </w:r>
    </w:p>
    <w:p w14:paraId="7709E55D" w14:textId="77777777" w:rsidR="004A3C88" w:rsidRDefault="004A3C88" w:rsidP="004A3C88">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Est puni d'un an d'emprisonnement et de 15 000 € d'amende le fait d'entraver l'action de la Commission nationale de l'informatique et des libertés :</w:t>
      </w:r>
    </w:p>
    <w:p w14:paraId="51B10EA1" w14:textId="77777777" w:rsidR="004A3C88" w:rsidRDefault="004A3C88" w:rsidP="004A3C88">
      <w:pPr>
        <w:pStyle w:val="rteindent1"/>
        <w:spacing w:before="0" w:beforeAutospacing="0" w:after="165" w:afterAutospacing="0"/>
        <w:ind w:left="600"/>
        <w:rPr>
          <w:rFonts w:ascii="Georgia" w:hAnsi="Georgia"/>
          <w:color w:val="71716E"/>
          <w:sz w:val="27"/>
          <w:szCs w:val="27"/>
        </w:rPr>
      </w:pPr>
      <w:r>
        <w:rPr>
          <w:rFonts w:ascii="Georgia" w:hAnsi="Georgia"/>
          <w:color w:val="71716E"/>
          <w:sz w:val="27"/>
          <w:szCs w:val="27"/>
        </w:rPr>
        <w:t>1° Soit en s'opposant à l'exercice des missions confiées à ses membres ou aux agents habilités en application du dernier alinéa de l'article 10 de la loi n° 78-17 du 6 janvier 1978 précitée lorsque la visite a été autorisée par le juge ;</w:t>
      </w:r>
    </w:p>
    <w:p w14:paraId="108B1B6B" w14:textId="77777777" w:rsidR="004A3C88" w:rsidRDefault="004A3C88" w:rsidP="004A3C88">
      <w:pPr>
        <w:pStyle w:val="rteindent1"/>
        <w:spacing w:before="0" w:beforeAutospacing="0" w:after="165" w:afterAutospacing="0"/>
        <w:ind w:left="600"/>
        <w:rPr>
          <w:rFonts w:ascii="Georgia" w:hAnsi="Georgia"/>
          <w:color w:val="71716E"/>
          <w:sz w:val="27"/>
          <w:szCs w:val="27"/>
        </w:rPr>
      </w:pPr>
      <w:r>
        <w:rPr>
          <w:rFonts w:ascii="Georgia" w:hAnsi="Georgia"/>
          <w:color w:val="71716E"/>
          <w:sz w:val="27"/>
          <w:szCs w:val="27"/>
        </w:rPr>
        <w:lastRenderedPageBreak/>
        <w:t>2° Soit en refusant de communiquer à ses membres ou aux agents habilités en application du dernier alinéa de l'article 10 de la même loi, ou aux agents d'une autorité de contrôle d'un Etat membre de l'Union européenne en application de l'article 62 du règlement (UE) 2016/679 du 27 avril 2016 précité, les renseignements et documents utiles à leur mission, ou en dissimulant lesdits documents ou renseignements, ou en les faisant disparaître ;</w:t>
      </w:r>
    </w:p>
    <w:p w14:paraId="43A7A50C" w14:textId="77777777" w:rsidR="004A3C88" w:rsidRDefault="004A3C88" w:rsidP="004A3C88">
      <w:pPr>
        <w:pStyle w:val="rteindent1"/>
        <w:spacing w:before="0" w:beforeAutospacing="0" w:after="0" w:afterAutospacing="0"/>
        <w:ind w:left="600"/>
        <w:rPr>
          <w:rFonts w:ascii="Georgia" w:hAnsi="Georgia"/>
          <w:color w:val="71716E"/>
          <w:sz w:val="27"/>
          <w:szCs w:val="27"/>
        </w:rPr>
      </w:pPr>
      <w:r>
        <w:rPr>
          <w:rFonts w:ascii="Georgia" w:hAnsi="Georgia"/>
          <w:color w:val="71716E"/>
          <w:sz w:val="27"/>
          <w:szCs w:val="27"/>
        </w:rPr>
        <w:t>3° Soit en communiquant des informations qui ne sont pas conformes au contenu des enregistrements tel qu'il était au moment où la demande a été formulée ou qui ne présentent pas ce contenu sous une forme directement accessible.</w:t>
      </w:r>
    </w:p>
    <w:p w14:paraId="11739AA6" w14:textId="77777777" w:rsidR="004A3C88" w:rsidRDefault="004A3C88" w:rsidP="004A3C88">
      <w:pPr>
        <w:pStyle w:val="Titre4"/>
        <w:spacing w:before="165" w:beforeAutospacing="0" w:after="165" w:afterAutospacing="0"/>
        <w:rPr>
          <w:rFonts w:ascii="Georgia" w:eastAsia="Times New Roman" w:hAnsi="Georgia"/>
          <w:color w:val="333333"/>
          <w:sz w:val="33"/>
          <w:szCs w:val="33"/>
        </w:rPr>
      </w:pPr>
      <w:r>
        <w:rPr>
          <w:rFonts w:ascii="Georgia" w:eastAsia="Times New Roman" w:hAnsi="Georgia"/>
          <w:b/>
          <w:bCs/>
          <w:color w:val="333333"/>
          <w:sz w:val="33"/>
          <w:szCs w:val="33"/>
        </w:rPr>
        <w:t>Art. 226-23</w:t>
      </w:r>
    </w:p>
    <w:p w14:paraId="1B008B41" w14:textId="77777777" w:rsidR="004A3C88" w:rsidRDefault="004A3C88" w:rsidP="004A3C88">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Dans les cas prévus aux articles 226-16 à 226-22-2, l'effacement de tout ou partie des données à caractère personnel faisant l'objet du traitement ayant donné lieu à l'infraction peut être ordonné. Les membres et les agents de la Commission nationale de l'informatique et des libertés sont habilités à constater l'effacement de ces données.</w:t>
      </w:r>
    </w:p>
    <w:p w14:paraId="74E3A50A" w14:textId="21C8DCB8" w:rsidR="004A3C88" w:rsidRDefault="004A3C88" w:rsidP="00AA7A69">
      <w:pPr>
        <w:spacing w:after="119" w:afterAutospacing="0"/>
        <w:outlineLvl w:val="0"/>
        <w:rPr>
          <w:rFonts w:ascii="Times New Roman" w:eastAsia="Times New Roman" w:hAnsi="Times New Roman" w:cs="Times New Roman"/>
          <w:b/>
          <w:bCs/>
          <w:kern w:val="36"/>
          <w:sz w:val="32"/>
          <w:szCs w:val="32"/>
          <w:lang w:eastAsia="fr-FR"/>
        </w:rPr>
      </w:pPr>
      <w:r>
        <w:rPr>
          <w:noProof/>
        </w:rPr>
        <mc:AlternateContent>
          <mc:Choice Requires="wps">
            <w:drawing>
              <wp:anchor distT="0" distB="0" distL="114300" distR="114300" simplePos="0" relativeHeight="251660288" behindDoc="0" locked="0" layoutInCell="1" allowOverlap="1" wp14:anchorId="159F9896" wp14:editId="71811D3E">
                <wp:simplePos x="0" y="0"/>
                <wp:positionH relativeFrom="column">
                  <wp:posOffset>-51435</wp:posOffset>
                </wp:positionH>
                <wp:positionV relativeFrom="paragraph">
                  <wp:posOffset>220345</wp:posOffset>
                </wp:positionV>
                <wp:extent cx="6347460" cy="5135138"/>
                <wp:effectExtent l="0" t="0" r="27940" b="21590"/>
                <wp:wrapNone/>
                <wp:docPr id="12" name="Rectangle à coins arrondis 12"/>
                <wp:cNvGraphicFramePr/>
                <a:graphic xmlns:a="http://schemas.openxmlformats.org/drawingml/2006/main">
                  <a:graphicData uri="http://schemas.microsoft.com/office/word/2010/wordprocessingShape">
                    <wps:wsp>
                      <wps:cNvSpPr/>
                      <wps:spPr>
                        <a:xfrm>
                          <a:off x="0" y="0"/>
                          <a:ext cx="6347460" cy="513513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27AEC8" id="Rectangle à coins arrondis 12" o:spid="_x0000_s1026" style="position:absolute;margin-left:-4.05pt;margin-top:17.35pt;width:499.8pt;height:40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" fillcolor="white [3201]" strokecolor="#f79646 [3209]" strokeweight="2pt"/>
            </w:pict>
          </mc:Fallback>
        </mc:AlternateContent>
      </w:r>
    </w:p>
    <w:p w14:paraId="2C9E28BF" w14:textId="5FC849EC" w:rsidR="00DC779B" w:rsidRPr="00494D32" w:rsidRDefault="00DC779B" w:rsidP="00494D32">
      <w:pPr>
        <w:jc w:val="center"/>
        <w:rPr>
          <w:rFonts w:ascii="Arial" w:eastAsia="Times New Roman" w:hAnsi="Arial" w:cs="Arial"/>
          <w:b/>
          <w:bCs/>
          <w:color w:val="000000"/>
          <w:sz w:val="23"/>
          <w:szCs w:val="23"/>
        </w:rPr>
      </w:pPr>
    </w:p>
    <w:p w14:paraId="1E06660A" w14:textId="2EBB043E" w:rsidR="00DC779B" w:rsidRPr="004A3C88" w:rsidRDefault="00DC779B" w:rsidP="004A3C88">
      <w:pPr>
        <w:pStyle w:val="Normalweb"/>
        <w:spacing w:before="180" w:beforeAutospacing="0" w:after="180"/>
        <w:rPr>
          <w:rFonts w:ascii="Arial" w:eastAsiaTheme="minorHAnsi" w:hAnsi="Arial" w:cs="Arial"/>
          <w:color w:val="000000"/>
          <w:sz w:val="19"/>
          <w:szCs w:val="19"/>
        </w:rPr>
      </w:pPr>
    </w:p>
    <w:p w14:paraId="76855782" w14:textId="7FA1E746" w:rsidR="00DC779B" w:rsidRPr="00AA7A69" w:rsidRDefault="00DC779B" w:rsidP="00AA7A69">
      <w:pPr>
        <w:spacing w:after="284" w:afterAutospacing="0"/>
        <w:rPr>
          <w:rFonts w:ascii="Times New Roman" w:eastAsia="Times New Roman" w:hAnsi="Times New Roman" w:cs="Times New Roman"/>
          <w:sz w:val="24"/>
          <w:szCs w:val="24"/>
          <w:lang w:eastAsia="fr-FR"/>
        </w:rPr>
      </w:pPr>
    </w:p>
    <w:p w14:paraId="0EB54317" w14:textId="585310D8" w:rsidR="00786792" w:rsidRPr="00786792" w:rsidRDefault="00AA7A69" w:rsidP="000332FD">
      <w:pPr>
        <w:pStyle w:val="Titre1"/>
        <w:spacing w:before="0" w:beforeAutospacing="0" w:after="0" w:line="240" w:lineRule="atLeast"/>
        <w:textAlignment w:val="baseline"/>
        <w:rPr>
          <w:rFonts w:ascii="Arial" w:hAnsi="Arial" w:cs="Arial"/>
          <w:color w:val="000000"/>
          <w:sz w:val="24"/>
          <w:szCs w:val="24"/>
          <w:bdr w:val="none" w:sz="0" w:space="0" w:color="auto" w:frame="1"/>
        </w:rPr>
      </w:pPr>
      <w:r>
        <w:br w:type="page"/>
      </w:r>
    </w:p>
    <w:p w14:paraId="7C28F89B" w14:textId="77777777" w:rsidR="00E46D3C" w:rsidRPr="00E46D3C" w:rsidRDefault="00E46D3C" w:rsidP="00E46D3C">
      <w:pPr>
        <w:pStyle w:val="Titre1"/>
        <w:spacing w:before="0" w:beforeAutospacing="0" w:after="165" w:line="660" w:lineRule="atLeast"/>
        <w:jc w:val="center"/>
        <w:rPr>
          <w:rFonts w:ascii="open_sans_condensedbold" w:hAnsi="open_sans_condensedbold"/>
          <w:b w:val="0"/>
          <w:bCs w:val="0"/>
          <w:color w:val="333333"/>
          <w:sz w:val="41"/>
          <w:szCs w:val="57"/>
        </w:rPr>
      </w:pPr>
      <w:r w:rsidRPr="00E46D3C">
        <w:rPr>
          <w:rFonts w:ascii="open_sans_condensedbold" w:hAnsi="open_sans_condensedbold"/>
          <w:b w:val="0"/>
          <w:bCs w:val="0"/>
          <w:color w:val="333333"/>
          <w:sz w:val="41"/>
          <w:szCs w:val="57"/>
        </w:rPr>
        <w:lastRenderedPageBreak/>
        <w:t>Ciblage publicitaire en ligne : quel plan d’action de la CNIL ?</w:t>
      </w:r>
    </w:p>
    <w:p w14:paraId="19AFAE35" w14:textId="449CA7FC" w:rsidR="00E46D3C" w:rsidRPr="00E46D3C" w:rsidRDefault="00E46D3C" w:rsidP="00E46D3C">
      <w:pPr>
        <w:jc w:val="center"/>
        <w:rPr>
          <w:rFonts w:ascii="Georgia" w:eastAsia="Times New Roman" w:hAnsi="Georgia"/>
          <w:i/>
          <w:iCs/>
          <w:color w:val="71716E"/>
          <w:sz w:val="30"/>
          <w:szCs w:val="30"/>
        </w:rPr>
      </w:pPr>
      <w:r>
        <w:rPr>
          <w:rFonts w:ascii="Georgia" w:eastAsia="Times New Roman" w:hAnsi="Georgia"/>
          <w:i/>
          <w:iCs/>
          <w:color w:val="71716E"/>
          <w:sz w:val="30"/>
          <w:szCs w:val="30"/>
        </w:rPr>
        <w:t>28 juin 2019</w:t>
      </w:r>
    </w:p>
    <w:p w14:paraId="03BADD0E" w14:textId="77777777" w:rsidR="00E46D3C" w:rsidRDefault="00E46D3C" w:rsidP="00E46D3C">
      <w:pPr>
        <w:pStyle w:val="Normalweb"/>
        <w:spacing w:before="0" w:beforeAutospacing="0" w:after="0" w:line="450" w:lineRule="atLeast"/>
        <w:jc w:val="center"/>
        <w:rPr>
          <w:rFonts w:ascii="Georgia" w:eastAsiaTheme="minorHAnsi" w:hAnsi="Georgia"/>
          <w:i/>
          <w:iCs/>
          <w:color w:val="71716E"/>
          <w:sz w:val="36"/>
          <w:szCs w:val="36"/>
        </w:rPr>
      </w:pPr>
      <w:r>
        <w:rPr>
          <w:rFonts w:ascii="Georgia" w:hAnsi="Georgia"/>
          <w:i/>
          <w:iCs/>
          <w:color w:val="71716E"/>
          <w:sz w:val="36"/>
          <w:szCs w:val="36"/>
        </w:rPr>
        <w:t>Régulièrement sollicitée par le grand public et les professionnels du secteur du marketing en ligne concernant le ciblage publicitaire, la CNIL a élaboré un plan d’action pour l’année 2019-2020 afin de préciser les règles applicables et d’accompagner les acteurs dans leur mise en conformité. </w:t>
      </w:r>
    </w:p>
    <w:p w14:paraId="32BF2599" w14:textId="77777777" w:rsidR="00E46D3C" w:rsidRDefault="00E46D3C" w:rsidP="00E46D3C">
      <w:pPr>
        <w:pStyle w:val="Normalweb"/>
        <w:spacing w:before="0" w:beforeAutospacing="0" w:after="165"/>
        <w:rPr>
          <w:rFonts w:ascii="Georgia" w:hAnsi="Georgia"/>
          <w:color w:val="71716E"/>
          <w:sz w:val="27"/>
          <w:szCs w:val="27"/>
        </w:rPr>
      </w:pPr>
      <w:r>
        <w:rPr>
          <w:rFonts w:ascii="Georgia" w:hAnsi="Georgia"/>
          <w:color w:val="71716E"/>
          <w:sz w:val="27"/>
          <w:szCs w:val="27"/>
        </w:rPr>
        <w:t xml:space="preserve">La CNIL reçoit de nombreuses plaintes individuelles et collectives (La Quadrature du Net, </w:t>
      </w:r>
      <w:proofErr w:type="spellStart"/>
      <w:r>
        <w:rPr>
          <w:rFonts w:ascii="Georgia" w:hAnsi="Georgia"/>
          <w:color w:val="71716E"/>
          <w:sz w:val="27"/>
          <w:szCs w:val="27"/>
        </w:rPr>
        <w:t>Privacy</w:t>
      </w:r>
      <w:proofErr w:type="spellEnd"/>
      <w:r>
        <w:rPr>
          <w:rFonts w:ascii="Georgia" w:hAnsi="Georgia"/>
          <w:color w:val="71716E"/>
          <w:sz w:val="27"/>
          <w:szCs w:val="27"/>
        </w:rPr>
        <w:t xml:space="preserve"> International, NOYB) relatives au marketing en ligne. En 2018, 21 % des plaintes reçues concernaient le marketing au sens large.</w:t>
      </w:r>
    </w:p>
    <w:p w14:paraId="6A122B4E" w14:textId="77777777" w:rsidR="00E46D3C" w:rsidRDefault="00E46D3C" w:rsidP="00E46D3C">
      <w:pPr>
        <w:pStyle w:val="Normalweb"/>
        <w:spacing w:before="0" w:beforeAutospacing="0" w:after="165"/>
        <w:rPr>
          <w:rFonts w:ascii="Georgia" w:hAnsi="Georgia"/>
          <w:color w:val="71716E"/>
          <w:sz w:val="27"/>
          <w:szCs w:val="27"/>
        </w:rPr>
      </w:pPr>
      <w:r>
        <w:rPr>
          <w:rFonts w:ascii="Georgia" w:hAnsi="Georgia"/>
          <w:color w:val="71716E"/>
          <w:sz w:val="27"/>
          <w:szCs w:val="27"/>
        </w:rPr>
        <w:t>Dans le même temps, les professionnels du secteur du marketing en ligne et leurs représentants cherchent à mieux comprendre leurs obligations issues notamment du règlement général sur la protection des données (RGPD). Les mises en demeure récentes en matière de ciblage publicitaire qui ont été clôturées ont aussi suscité des questions.</w:t>
      </w:r>
    </w:p>
    <w:p w14:paraId="56144F8A" w14:textId="77777777" w:rsidR="00E46D3C" w:rsidRDefault="00E46D3C" w:rsidP="00E46D3C">
      <w:pPr>
        <w:pStyle w:val="Normalweb"/>
        <w:spacing w:before="0" w:beforeAutospacing="0" w:after="165"/>
        <w:rPr>
          <w:rFonts w:ascii="Georgia" w:hAnsi="Georgia"/>
          <w:color w:val="71716E"/>
          <w:sz w:val="27"/>
          <w:szCs w:val="27"/>
        </w:rPr>
      </w:pPr>
      <w:r>
        <w:rPr>
          <w:rStyle w:val="lev"/>
          <w:rFonts w:ascii="Georgia" w:hAnsi="Georgia"/>
          <w:color w:val="333333"/>
          <w:sz w:val="27"/>
          <w:szCs w:val="27"/>
        </w:rPr>
        <w:t>La CNIL a donc décidé de faire du ciblage publicitaire en ligne un sujet prioritaire pour 2019.</w:t>
      </w:r>
      <w:r>
        <w:rPr>
          <w:rStyle w:val="apple-converted-space"/>
          <w:rFonts w:ascii="Georgia" w:hAnsi="Georgia"/>
          <w:b/>
          <w:bCs/>
          <w:color w:val="333333"/>
          <w:sz w:val="27"/>
          <w:szCs w:val="27"/>
        </w:rPr>
        <w:t> </w:t>
      </w:r>
    </w:p>
    <w:p w14:paraId="643C32CE" w14:textId="77777777" w:rsidR="00E46D3C" w:rsidRDefault="00E46D3C" w:rsidP="00E46D3C">
      <w:pPr>
        <w:pStyle w:val="Normalweb"/>
        <w:spacing w:before="0" w:beforeAutospacing="0" w:after="165"/>
        <w:rPr>
          <w:rFonts w:ascii="Georgia" w:hAnsi="Georgia"/>
          <w:color w:val="71716E"/>
          <w:sz w:val="27"/>
          <w:szCs w:val="27"/>
        </w:rPr>
      </w:pPr>
      <w:r>
        <w:rPr>
          <w:rFonts w:ascii="Georgia" w:hAnsi="Georgia"/>
          <w:color w:val="71716E"/>
          <w:sz w:val="27"/>
          <w:szCs w:val="27"/>
        </w:rPr>
        <w:t>Le secteur du marketing en ligne est soumis à deux règlementations posant des conditions exigeantes, notamment en matière de consentement : le RGPD et les textes nationaux pris pour la transposition de la Directive de 2002, modifiée en 2009, sur la protection de la vie privée dans le secteur des communications électroniques (dite « </w:t>
      </w:r>
      <w:proofErr w:type="spellStart"/>
      <w:r>
        <w:rPr>
          <w:rFonts w:ascii="Georgia" w:hAnsi="Georgia"/>
          <w:color w:val="71716E"/>
          <w:sz w:val="27"/>
          <w:szCs w:val="27"/>
        </w:rPr>
        <w:t>ePrivacy</w:t>
      </w:r>
      <w:proofErr w:type="spellEnd"/>
      <w:r>
        <w:rPr>
          <w:rFonts w:ascii="Georgia" w:hAnsi="Georgia"/>
          <w:color w:val="71716E"/>
          <w:sz w:val="27"/>
          <w:szCs w:val="27"/>
        </w:rPr>
        <w:t> »).</w:t>
      </w:r>
    </w:p>
    <w:p w14:paraId="7475E239" w14:textId="77777777" w:rsidR="00E46D3C" w:rsidRDefault="00E46D3C" w:rsidP="00E46D3C">
      <w:pPr>
        <w:pStyle w:val="Normalweb"/>
        <w:spacing w:before="0" w:beforeAutospacing="0" w:after="165"/>
        <w:rPr>
          <w:rFonts w:ascii="Georgia" w:hAnsi="Georgia"/>
          <w:color w:val="71716E"/>
          <w:sz w:val="27"/>
          <w:szCs w:val="27"/>
        </w:rPr>
      </w:pPr>
      <w:r>
        <w:rPr>
          <w:rFonts w:ascii="Georgia" w:hAnsi="Georgia"/>
          <w:color w:val="71716E"/>
          <w:sz w:val="27"/>
          <w:szCs w:val="27"/>
        </w:rPr>
        <w:t>Les questionnements des acteurs du secteur du marketing en ligne portent sur deux sujets centraux : la prospection commerciale et les</w:t>
      </w:r>
      <w:r>
        <w:rPr>
          <w:rStyle w:val="apple-converted-space"/>
          <w:rFonts w:ascii="Georgia" w:hAnsi="Georgia"/>
          <w:color w:val="71716E"/>
          <w:sz w:val="27"/>
          <w:szCs w:val="27"/>
        </w:rPr>
        <w:t> </w:t>
      </w:r>
      <w:r>
        <w:rPr>
          <w:rStyle w:val="Emphase"/>
          <w:rFonts w:ascii="Georgia" w:hAnsi="Georgia"/>
          <w:color w:val="71716E"/>
          <w:sz w:val="27"/>
          <w:szCs w:val="27"/>
        </w:rPr>
        <w:t>cookies</w:t>
      </w:r>
      <w:r>
        <w:rPr>
          <w:rStyle w:val="apple-converted-space"/>
          <w:rFonts w:ascii="Georgia" w:hAnsi="Georgia"/>
          <w:i/>
          <w:iCs/>
          <w:color w:val="71716E"/>
          <w:sz w:val="27"/>
          <w:szCs w:val="27"/>
        </w:rPr>
        <w:t> </w:t>
      </w:r>
      <w:r>
        <w:rPr>
          <w:rFonts w:ascii="Georgia" w:hAnsi="Georgia"/>
          <w:color w:val="71716E"/>
          <w:sz w:val="27"/>
          <w:szCs w:val="27"/>
        </w:rPr>
        <w:t>(et autres traceurs).</w:t>
      </w:r>
    </w:p>
    <w:p w14:paraId="6974994B" w14:textId="77777777" w:rsidR="00E46D3C" w:rsidRDefault="00E46D3C" w:rsidP="00E46D3C">
      <w:pPr>
        <w:numPr>
          <w:ilvl w:val="0"/>
          <w:numId w:val="9"/>
        </w:numPr>
        <w:spacing w:after="150" w:afterAutospacing="0"/>
        <w:rPr>
          <w:rFonts w:ascii="Georgia" w:eastAsia="Times New Roman" w:hAnsi="Georgia"/>
          <w:color w:val="71716E"/>
          <w:sz w:val="24"/>
          <w:szCs w:val="24"/>
        </w:rPr>
      </w:pPr>
      <w:r>
        <w:rPr>
          <w:rStyle w:val="lev"/>
          <w:rFonts w:ascii="Georgia" w:eastAsia="Times New Roman" w:hAnsi="Georgia"/>
          <w:color w:val="333333"/>
        </w:rPr>
        <w:t>Sur les problématiques relatives à la prospection commerciale (ou « </w:t>
      </w:r>
      <w:proofErr w:type="spellStart"/>
      <w:r>
        <w:rPr>
          <w:rStyle w:val="Emphase"/>
          <w:rFonts w:ascii="Georgia" w:eastAsia="Times New Roman" w:hAnsi="Georgia"/>
          <w:b/>
          <w:bCs/>
          <w:color w:val="333333"/>
        </w:rPr>
        <w:t>opt</w:t>
      </w:r>
      <w:proofErr w:type="spellEnd"/>
      <w:r>
        <w:rPr>
          <w:rStyle w:val="Emphase"/>
          <w:rFonts w:ascii="Georgia" w:eastAsia="Times New Roman" w:hAnsi="Georgia"/>
          <w:b/>
          <w:bCs/>
          <w:color w:val="333333"/>
        </w:rPr>
        <w:t>-in partenaire</w:t>
      </w:r>
      <w:r>
        <w:rPr>
          <w:rStyle w:val="lev"/>
          <w:rFonts w:ascii="Georgia" w:eastAsia="Times New Roman" w:hAnsi="Georgia"/>
          <w:color w:val="333333"/>
        </w:rPr>
        <w:t> ») :</w:t>
      </w:r>
      <w:r>
        <w:rPr>
          <w:rStyle w:val="apple-converted-space"/>
          <w:rFonts w:ascii="Georgia" w:eastAsia="Times New Roman" w:hAnsi="Georgia"/>
          <w:b/>
          <w:bCs/>
          <w:color w:val="333333"/>
        </w:rPr>
        <w:t> </w:t>
      </w:r>
      <w:r>
        <w:rPr>
          <w:rFonts w:ascii="Georgia" w:eastAsia="Times New Roman" w:hAnsi="Georgia"/>
          <w:color w:val="71716E"/>
        </w:rPr>
        <w:t>la CNIL a communiqué à plusieurs reprises les règles de droit applicables (lors de rencontres avec les représentants du secteur, </w:t>
      </w:r>
      <w:hyperlink r:id="rId7" w:tgtFrame="_blank" w:history="1">
        <w:r>
          <w:rPr>
            <w:rStyle w:val="Lienhypertexte"/>
            <w:rFonts w:ascii="Georgia" w:eastAsia="Times New Roman" w:hAnsi="Georgia"/>
            <w:color w:val="4596EC"/>
          </w:rPr>
          <w:t>sur son site web </w:t>
        </w:r>
      </w:hyperlink>
      <w:r>
        <w:rPr>
          <w:rFonts w:ascii="Georgia" w:eastAsia="Times New Roman" w:hAnsi="Georgia"/>
          <w:color w:val="71716E"/>
        </w:rPr>
        <w:t>en décembre 2018). Elle a laissé aux acteurs une période de mise en conformité de 6 mois, qui est désormais arrivée à échéance. </w:t>
      </w:r>
    </w:p>
    <w:p w14:paraId="3929C45D" w14:textId="77777777" w:rsidR="00E46D3C" w:rsidRDefault="00E46D3C" w:rsidP="00E46D3C">
      <w:pPr>
        <w:numPr>
          <w:ilvl w:val="0"/>
          <w:numId w:val="9"/>
        </w:numPr>
        <w:spacing w:after="150" w:afterAutospacing="0"/>
        <w:rPr>
          <w:rFonts w:ascii="Georgia" w:eastAsia="Times New Roman" w:hAnsi="Georgia"/>
          <w:color w:val="71716E"/>
        </w:rPr>
      </w:pPr>
      <w:r>
        <w:rPr>
          <w:rStyle w:val="lev"/>
          <w:rFonts w:ascii="Georgia" w:eastAsia="Times New Roman" w:hAnsi="Georgia"/>
          <w:color w:val="333333"/>
        </w:rPr>
        <w:t>Sur la problématique des</w:t>
      </w:r>
      <w:r>
        <w:rPr>
          <w:rStyle w:val="apple-converted-space"/>
          <w:rFonts w:ascii="Georgia" w:eastAsia="Times New Roman" w:hAnsi="Georgia"/>
          <w:b/>
          <w:bCs/>
          <w:color w:val="333333"/>
        </w:rPr>
        <w:t> </w:t>
      </w:r>
      <w:r>
        <w:rPr>
          <w:rStyle w:val="Emphase"/>
          <w:rFonts w:ascii="Georgia" w:eastAsia="Times New Roman" w:hAnsi="Georgia"/>
          <w:b/>
          <w:bCs/>
          <w:color w:val="333333"/>
        </w:rPr>
        <w:t>cookies</w:t>
      </w:r>
      <w:r>
        <w:rPr>
          <w:rStyle w:val="apple-converted-space"/>
          <w:rFonts w:ascii="Georgia" w:eastAsia="Times New Roman" w:hAnsi="Georgia"/>
          <w:b/>
          <w:bCs/>
          <w:color w:val="333333"/>
        </w:rPr>
        <w:t> </w:t>
      </w:r>
      <w:r>
        <w:rPr>
          <w:rStyle w:val="lev"/>
          <w:rFonts w:ascii="Georgia" w:eastAsia="Times New Roman" w:hAnsi="Georgia"/>
          <w:color w:val="333333"/>
        </w:rPr>
        <w:t>et autres traceurs :</w:t>
      </w:r>
      <w:r>
        <w:rPr>
          <w:rStyle w:val="apple-converted-space"/>
          <w:rFonts w:ascii="Georgia" w:eastAsia="Times New Roman" w:hAnsi="Georgia"/>
          <w:color w:val="71716E"/>
        </w:rPr>
        <w:t> </w:t>
      </w:r>
      <w:r>
        <w:rPr>
          <w:rFonts w:ascii="Georgia" w:eastAsia="Times New Roman" w:hAnsi="Georgia"/>
          <w:color w:val="71716E"/>
        </w:rPr>
        <w:t>l’entrée en application du RGPD et </w:t>
      </w:r>
      <w:hyperlink r:id="rId8" w:tgtFrame="_blank" w:history="1">
        <w:r>
          <w:rPr>
            <w:rStyle w:val="Lienhypertexte"/>
            <w:rFonts w:ascii="Georgia" w:eastAsia="Times New Roman" w:hAnsi="Georgia"/>
            <w:color w:val="4596EC"/>
          </w:rPr>
          <w:t>les lignes directrices du Comité européen de protection des données sur le consentement</w:t>
        </w:r>
      </w:hyperlink>
      <w:r>
        <w:rPr>
          <w:rStyle w:val="apple-converted-space"/>
          <w:rFonts w:ascii="Georgia" w:eastAsia="Times New Roman" w:hAnsi="Georgia"/>
          <w:color w:val="71716E"/>
        </w:rPr>
        <w:t> </w:t>
      </w:r>
      <w:r>
        <w:rPr>
          <w:rFonts w:ascii="Georgia" w:eastAsia="Times New Roman" w:hAnsi="Georgia"/>
          <w:color w:val="71716E"/>
        </w:rPr>
        <w:t xml:space="preserve">sont venues renforcer les exigences en matière de consentement. Elles </w:t>
      </w:r>
      <w:proofErr w:type="gramStart"/>
      <w:r>
        <w:rPr>
          <w:rFonts w:ascii="Georgia" w:eastAsia="Times New Roman" w:hAnsi="Georgia"/>
          <w:color w:val="71716E"/>
        </w:rPr>
        <w:t>excluent  explicitement</w:t>
      </w:r>
      <w:proofErr w:type="gramEnd"/>
      <w:r>
        <w:rPr>
          <w:rFonts w:ascii="Georgia" w:eastAsia="Times New Roman" w:hAnsi="Georgia"/>
          <w:color w:val="71716E"/>
        </w:rPr>
        <w:t xml:space="preserve"> que la poursuite de la navigation sur un site puisse constituer une expression valable du consentement. La recommandation de la CNIL de 2013 portant sur les</w:t>
      </w:r>
      <w:r>
        <w:rPr>
          <w:rStyle w:val="apple-converted-space"/>
          <w:rFonts w:ascii="Georgia" w:eastAsia="Times New Roman" w:hAnsi="Georgia"/>
          <w:color w:val="71716E"/>
        </w:rPr>
        <w:t> </w:t>
      </w:r>
      <w:hyperlink r:id="rId9" w:tgtFrame="_blank" w:history="1">
        <w:r>
          <w:rPr>
            <w:rStyle w:val="Emphase"/>
            <w:rFonts w:ascii="Georgia" w:eastAsia="Times New Roman" w:hAnsi="Georgia"/>
            <w:color w:val="4596EC"/>
          </w:rPr>
          <w:t>cookies</w:t>
        </w:r>
        <w:r>
          <w:rPr>
            <w:rStyle w:val="apple-converted-space"/>
            <w:rFonts w:ascii="Georgia" w:eastAsia="Times New Roman" w:hAnsi="Georgia"/>
            <w:color w:val="4596EC"/>
          </w:rPr>
          <w:t> </w:t>
        </w:r>
        <w:r>
          <w:rPr>
            <w:rStyle w:val="Lienhypertexte"/>
            <w:rFonts w:ascii="Georgia" w:eastAsia="Times New Roman" w:hAnsi="Georgia"/>
            <w:color w:val="4596EC"/>
          </w:rPr>
          <w:t>et autres traceurs</w:t>
        </w:r>
      </w:hyperlink>
      <w:r>
        <w:rPr>
          <w:rFonts w:ascii="Georgia" w:eastAsia="Times New Roman" w:hAnsi="Georgia"/>
          <w:color w:val="71716E"/>
        </w:rPr>
        <w:t>, parce qu’elle permet le recueil du consentement via</w:t>
      </w:r>
      <w:r>
        <w:rPr>
          <w:rStyle w:val="apple-converted-space"/>
          <w:rFonts w:ascii="Georgia" w:eastAsia="Times New Roman" w:hAnsi="Georgia"/>
          <w:i/>
          <w:iCs/>
          <w:color w:val="71716E"/>
        </w:rPr>
        <w:t> </w:t>
      </w:r>
      <w:r>
        <w:rPr>
          <w:rFonts w:ascii="Georgia" w:eastAsia="Times New Roman" w:hAnsi="Georgia"/>
          <w:color w:val="71716E"/>
        </w:rPr>
        <w:t>la simple poursuite de la navigation, n’est donc plus en phase avec les règles applicables. </w:t>
      </w:r>
    </w:p>
    <w:p w14:paraId="125EEFC4" w14:textId="77777777" w:rsidR="00E46D3C" w:rsidRDefault="00E46D3C" w:rsidP="00E46D3C">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 xml:space="preserve">Sans attendre l’adoption du règlement </w:t>
      </w:r>
      <w:proofErr w:type="spellStart"/>
      <w:r>
        <w:rPr>
          <w:rFonts w:ascii="Georgia" w:hAnsi="Georgia"/>
          <w:color w:val="71716E"/>
          <w:sz w:val="27"/>
          <w:szCs w:val="27"/>
        </w:rPr>
        <w:t>ePrivacy</w:t>
      </w:r>
      <w:proofErr w:type="spellEnd"/>
      <w:r>
        <w:rPr>
          <w:rFonts w:ascii="Georgia" w:hAnsi="Georgia"/>
          <w:color w:val="71716E"/>
          <w:sz w:val="27"/>
          <w:szCs w:val="27"/>
        </w:rPr>
        <w:t>, actuellement en cours de discussion et qui n’entrera pas en vigueur à court terme, la CNIL doit actualiser ses cadres de référence afin de les mettre en conformité avec le droit applicable. Cette mise à jour répond à un objectif de protection des personnes concernées et de sécurisation juridique pour les acteurs économiques.</w:t>
      </w:r>
    </w:p>
    <w:p w14:paraId="5F20ECB8" w14:textId="77777777" w:rsidR="00E46D3C" w:rsidRDefault="00E46D3C" w:rsidP="00E46D3C">
      <w:pPr>
        <w:pStyle w:val="Titre2"/>
        <w:spacing w:before="375" w:beforeAutospacing="0" w:after="375" w:afterAutospacing="0" w:line="600" w:lineRule="atLeast"/>
        <w:rPr>
          <w:rFonts w:ascii="open_sans_condensedbold" w:eastAsia="Times New Roman" w:hAnsi="open_sans_condensedbold"/>
          <w:b w:val="0"/>
          <w:bCs w:val="0"/>
          <w:color w:val="333333"/>
          <w:sz w:val="48"/>
          <w:szCs w:val="48"/>
        </w:rPr>
      </w:pPr>
      <w:r>
        <w:rPr>
          <w:rFonts w:ascii="open_sans_condensedbold" w:eastAsia="Times New Roman" w:hAnsi="open_sans_condensedbold"/>
          <w:b w:val="0"/>
          <w:bCs w:val="0"/>
          <w:color w:val="333333"/>
          <w:sz w:val="48"/>
          <w:szCs w:val="48"/>
        </w:rPr>
        <w:lastRenderedPageBreak/>
        <w:t>Le plan d’action de la CNIL</w:t>
      </w:r>
    </w:p>
    <w:p w14:paraId="0D2649BB" w14:textId="77777777" w:rsidR="00E46D3C" w:rsidRDefault="00E46D3C" w:rsidP="00E46D3C">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Pour accompagner les acteurs dans leur mise en conformité, la CNIL a élaboré un plan d’action pour l’année 2019-2020.</w:t>
      </w:r>
      <w:r>
        <w:rPr>
          <w:rStyle w:val="apple-converted-space"/>
          <w:rFonts w:ascii="Georgia" w:hAnsi="Georgia"/>
          <w:color w:val="71716E"/>
          <w:sz w:val="27"/>
          <w:szCs w:val="27"/>
        </w:rPr>
        <w:t> </w:t>
      </w:r>
      <w:r>
        <w:rPr>
          <w:rStyle w:val="lev"/>
          <w:rFonts w:ascii="Georgia" w:hAnsi="Georgia"/>
          <w:color w:val="333333"/>
          <w:sz w:val="27"/>
          <w:szCs w:val="27"/>
        </w:rPr>
        <w:t> Ce plan comporte deux étapes principales</w:t>
      </w:r>
      <w:r>
        <w:rPr>
          <w:rStyle w:val="apple-converted-space"/>
          <w:rFonts w:ascii="Georgia" w:hAnsi="Georgia"/>
          <w:b/>
          <w:bCs/>
          <w:color w:val="333333"/>
          <w:sz w:val="27"/>
          <w:szCs w:val="27"/>
        </w:rPr>
        <w:t> </w:t>
      </w:r>
      <w:r>
        <w:rPr>
          <w:rFonts w:ascii="Georgia" w:hAnsi="Georgia"/>
          <w:color w:val="71716E"/>
          <w:sz w:val="27"/>
          <w:szCs w:val="27"/>
        </w:rPr>
        <w:t>qui ont été présentées aux représentants des professionnels, à l’occasion d’une réunion qui s’est tenue le 25 avril 2019 à la CNIL.</w:t>
      </w:r>
    </w:p>
    <w:p w14:paraId="10E73A37" w14:textId="77777777" w:rsidR="00E46D3C" w:rsidRPr="00E46D3C" w:rsidRDefault="00E46D3C" w:rsidP="00E46D3C">
      <w:pPr>
        <w:pStyle w:val="Titre3"/>
        <w:spacing w:before="330" w:beforeAutospacing="0" w:after="165"/>
        <w:rPr>
          <w:rFonts w:ascii="Georgia" w:hAnsi="Georgia"/>
          <w:b w:val="0"/>
          <w:bCs w:val="0"/>
          <w:color w:val="4596EC"/>
          <w:sz w:val="36"/>
          <w:szCs w:val="42"/>
        </w:rPr>
      </w:pPr>
      <w:r w:rsidRPr="00E46D3C">
        <w:rPr>
          <w:rFonts w:ascii="Georgia" w:hAnsi="Georgia"/>
          <w:b w:val="0"/>
          <w:bCs w:val="0"/>
          <w:color w:val="4596EC"/>
          <w:sz w:val="36"/>
          <w:szCs w:val="42"/>
        </w:rPr>
        <w:t>Etape 1 : publication de nouvelles lignes directrices en juillet 2019</w:t>
      </w:r>
    </w:p>
    <w:p w14:paraId="11B11B10" w14:textId="77777777" w:rsidR="00E46D3C" w:rsidRDefault="00E46D3C" w:rsidP="00E46D3C">
      <w:pPr>
        <w:pStyle w:val="Normalweb"/>
        <w:spacing w:before="0" w:beforeAutospacing="0" w:after="165"/>
        <w:rPr>
          <w:rFonts w:ascii="Georgia" w:eastAsiaTheme="minorHAnsi" w:hAnsi="Georgia"/>
          <w:color w:val="71716E"/>
          <w:sz w:val="27"/>
          <w:szCs w:val="27"/>
        </w:rPr>
      </w:pPr>
      <w:r>
        <w:rPr>
          <w:rFonts w:ascii="Georgia" w:hAnsi="Georgia"/>
          <w:color w:val="71716E"/>
          <w:sz w:val="27"/>
          <w:szCs w:val="27"/>
        </w:rPr>
        <w:t>En juillet, la CNIL va abroger sa recommandation</w:t>
      </w:r>
      <w:r>
        <w:rPr>
          <w:rStyle w:val="apple-converted-space"/>
          <w:rFonts w:ascii="Georgia" w:hAnsi="Georgia"/>
          <w:color w:val="71716E"/>
          <w:sz w:val="27"/>
          <w:szCs w:val="27"/>
        </w:rPr>
        <w:t> </w:t>
      </w:r>
      <w:r>
        <w:rPr>
          <w:rStyle w:val="Emphase"/>
          <w:rFonts w:ascii="Georgia" w:hAnsi="Georgia"/>
          <w:color w:val="71716E"/>
          <w:sz w:val="27"/>
          <w:szCs w:val="27"/>
        </w:rPr>
        <w:t>cookies</w:t>
      </w:r>
      <w:r>
        <w:rPr>
          <w:rStyle w:val="apple-converted-space"/>
          <w:rFonts w:ascii="Georgia" w:hAnsi="Georgia"/>
          <w:i/>
          <w:iCs/>
          <w:color w:val="71716E"/>
          <w:sz w:val="27"/>
          <w:szCs w:val="27"/>
        </w:rPr>
        <w:t> </w:t>
      </w:r>
      <w:r>
        <w:rPr>
          <w:rFonts w:ascii="Georgia" w:hAnsi="Georgia"/>
          <w:color w:val="71716E"/>
          <w:sz w:val="27"/>
          <w:szCs w:val="27"/>
        </w:rPr>
        <w:t>de 2013, devenue obsolète à certains égards (notamment sur l’expression du consentement) et</w:t>
      </w:r>
      <w:r>
        <w:rPr>
          <w:rStyle w:val="apple-converted-space"/>
          <w:rFonts w:ascii="Georgia" w:hAnsi="Georgia"/>
          <w:color w:val="71716E"/>
          <w:sz w:val="27"/>
          <w:szCs w:val="27"/>
        </w:rPr>
        <w:t> </w:t>
      </w:r>
      <w:r>
        <w:rPr>
          <w:rStyle w:val="lev"/>
          <w:rFonts w:ascii="Georgia" w:hAnsi="Georgia"/>
          <w:color w:val="333333"/>
          <w:sz w:val="27"/>
          <w:szCs w:val="27"/>
        </w:rPr>
        <w:t xml:space="preserve">publier des lignes directrices </w:t>
      </w:r>
      <w:proofErr w:type="gramStart"/>
      <w:r>
        <w:rPr>
          <w:rStyle w:val="lev"/>
          <w:rFonts w:ascii="Georgia" w:hAnsi="Georgia"/>
          <w:color w:val="333333"/>
          <w:sz w:val="27"/>
          <w:szCs w:val="27"/>
        </w:rPr>
        <w:t>rappelant  les</w:t>
      </w:r>
      <w:proofErr w:type="gramEnd"/>
      <w:r>
        <w:rPr>
          <w:rStyle w:val="lev"/>
          <w:rFonts w:ascii="Georgia" w:hAnsi="Georgia"/>
          <w:color w:val="333333"/>
          <w:sz w:val="27"/>
          <w:szCs w:val="27"/>
        </w:rPr>
        <w:t xml:space="preserve"> règles de droit applicables.</w:t>
      </w:r>
      <w:r>
        <w:rPr>
          <w:rStyle w:val="apple-converted-space"/>
          <w:rFonts w:ascii="Georgia" w:hAnsi="Georgia"/>
          <w:b/>
          <w:bCs/>
          <w:color w:val="333333"/>
          <w:sz w:val="27"/>
          <w:szCs w:val="27"/>
        </w:rPr>
        <w:t> </w:t>
      </w:r>
      <w:r>
        <w:rPr>
          <w:rFonts w:ascii="Georgia" w:hAnsi="Georgia"/>
          <w:color w:val="71716E"/>
          <w:sz w:val="27"/>
          <w:szCs w:val="27"/>
        </w:rPr>
        <w:t>Ces lignes directrices se fonderont sur les éléments ayant déjà fait l’objet d’une interprétation harmonisée au niveau européen.</w:t>
      </w:r>
    </w:p>
    <w:p w14:paraId="5267E870" w14:textId="77777777" w:rsidR="00E46D3C" w:rsidRDefault="00E46D3C" w:rsidP="00E46D3C">
      <w:pPr>
        <w:pStyle w:val="Normalweb"/>
        <w:spacing w:before="0" w:beforeAutospacing="0" w:after="165"/>
        <w:rPr>
          <w:rFonts w:ascii="Georgia" w:hAnsi="Georgia"/>
          <w:color w:val="71716E"/>
          <w:sz w:val="27"/>
          <w:szCs w:val="27"/>
        </w:rPr>
      </w:pPr>
      <w:r>
        <w:rPr>
          <w:rStyle w:val="lev"/>
          <w:rFonts w:ascii="Georgia" w:hAnsi="Georgia"/>
          <w:color w:val="333333"/>
          <w:sz w:val="27"/>
          <w:szCs w:val="27"/>
        </w:rPr>
        <w:t>La CNIL laissera aux acteurs une période transitoire de 12 mois</w:t>
      </w:r>
      <w:r>
        <w:rPr>
          <w:rFonts w:ascii="Georgia" w:hAnsi="Georgia"/>
          <w:color w:val="71716E"/>
          <w:sz w:val="27"/>
          <w:szCs w:val="27"/>
        </w:rPr>
        <w:t>, afin qu’ils aient le temps de se conformer aux principes qui divergent de la précédente recommandation. Durant cette période de transition, la poursuite de la navigation comme expression du consentement sera donc considérée par la CNIL comme acceptable.</w:t>
      </w:r>
    </w:p>
    <w:p w14:paraId="774CF04B" w14:textId="77777777" w:rsidR="00E46D3C" w:rsidRDefault="00E46D3C" w:rsidP="00E46D3C">
      <w:pPr>
        <w:pStyle w:val="Normalweb"/>
        <w:spacing w:before="0" w:beforeAutospacing="0" w:after="165"/>
        <w:rPr>
          <w:rFonts w:ascii="Georgia" w:hAnsi="Georgia"/>
          <w:color w:val="71716E"/>
          <w:sz w:val="27"/>
          <w:szCs w:val="27"/>
        </w:rPr>
      </w:pPr>
      <w:r>
        <w:rPr>
          <w:rStyle w:val="lev"/>
          <w:rFonts w:ascii="Georgia" w:hAnsi="Georgia"/>
          <w:color w:val="333333"/>
          <w:sz w:val="27"/>
          <w:szCs w:val="27"/>
        </w:rPr>
        <w:t>Néanmoins, la CNIL continuera à instruire les plaintes et le cas échéant à contrôler</w:t>
      </w:r>
      <w:r>
        <w:rPr>
          <w:rFonts w:ascii="Georgia" w:hAnsi="Georgia"/>
          <w:color w:val="71716E"/>
          <w:sz w:val="27"/>
          <w:szCs w:val="27"/>
        </w:rPr>
        <w:t>, entre autres, qu’aucun dépôt de</w:t>
      </w:r>
      <w:r>
        <w:rPr>
          <w:rStyle w:val="apple-converted-space"/>
          <w:rFonts w:ascii="Georgia" w:hAnsi="Georgia"/>
          <w:color w:val="71716E"/>
          <w:sz w:val="27"/>
          <w:szCs w:val="27"/>
        </w:rPr>
        <w:t> </w:t>
      </w:r>
      <w:r>
        <w:rPr>
          <w:rStyle w:val="Emphase"/>
          <w:rFonts w:ascii="Georgia" w:hAnsi="Georgia"/>
          <w:color w:val="71716E"/>
          <w:sz w:val="27"/>
          <w:szCs w:val="27"/>
        </w:rPr>
        <w:t>cookies</w:t>
      </w:r>
      <w:r>
        <w:rPr>
          <w:rStyle w:val="apple-converted-space"/>
          <w:rFonts w:ascii="Georgia" w:hAnsi="Georgia"/>
          <w:i/>
          <w:iCs/>
          <w:color w:val="71716E"/>
          <w:sz w:val="27"/>
          <w:szCs w:val="27"/>
        </w:rPr>
        <w:t> </w:t>
      </w:r>
      <w:r>
        <w:rPr>
          <w:rFonts w:ascii="Georgia" w:hAnsi="Georgia"/>
          <w:color w:val="71716E"/>
          <w:sz w:val="27"/>
          <w:szCs w:val="27"/>
        </w:rPr>
        <w:t>n’a lieu avant le recueil du consentement. Les obligations n’ayant fait l’objet d’aucune modification dans les lignes directrices (par exemple information, retrait du consentement) ainsi que les autres obligations du RGPD (par exemple les obligations en matière de sécurité) pourront également faire l’objet de contrôles et, le cas échéant, de mesures correctrices, durant cette période transitoire.</w:t>
      </w:r>
    </w:p>
    <w:p w14:paraId="5DAB64C1" w14:textId="77777777" w:rsidR="00E46D3C" w:rsidRPr="00E46D3C" w:rsidRDefault="00E46D3C" w:rsidP="00E46D3C">
      <w:pPr>
        <w:pStyle w:val="Titre3"/>
        <w:spacing w:before="330" w:beforeAutospacing="0" w:after="165"/>
        <w:rPr>
          <w:rFonts w:ascii="Georgia" w:hAnsi="Georgia"/>
          <w:b w:val="0"/>
          <w:bCs w:val="0"/>
          <w:color w:val="4596EC"/>
          <w:sz w:val="32"/>
          <w:szCs w:val="42"/>
        </w:rPr>
      </w:pPr>
      <w:r w:rsidRPr="00E46D3C">
        <w:rPr>
          <w:rFonts w:ascii="Georgia" w:hAnsi="Georgia"/>
          <w:b w:val="0"/>
          <w:bCs w:val="0"/>
          <w:color w:val="4596EC"/>
          <w:sz w:val="32"/>
          <w:szCs w:val="42"/>
        </w:rPr>
        <w:t>Etape 2 : concertation avec les professionnels pour élaborer d’ici à décembre 2019 – début 2020 une nouvelle recommandation proposant des modalités opérationnelles de recueil du consentement</w:t>
      </w:r>
    </w:p>
    <w:p w14:paraId="13453587" w14:textId="77777777" w:rsidR="00E46D3C" w:rsidRDefault="00E46D3C" w:rsidP="00E46D3C">
      <w:pPr>
        <w:pStyle w:val="Normalweb"/>
        <w:spacing w:before="0" w:beforeAutospacing="0" w:after="0"/>
        <w:rPr>
          <w:rFonts w:ascii="Georgia" w:eastAsiaTheme="minorHAnsi" w:hAnsi="Georgia"/>
          <w:color w:val="71716E"/>
          <w:sz w:val="27"/>
          <w:szCs w:val="27"/>
        </w:rPr>
      </w:pPr>
      <w:r>
        <w:rPr>
          <w:rFonts w:ascii="Georgia" w:hAnsi="Georgia"/>
          <w:color w:val="71716E"/>
          <w:sz w:val="27"/>
          <w:szCs w:val="27"/>
        </w:rPr>
        <w:t xml:space="preserve">Des groupes de travail se tiendront au second semestre 2019 entre les services de la CNIL et chaque catégorie d’acteurs (éditeurs de contenus, annonceurs, prestataires et intermédiaires de l’écosystème du marketing, représentants de la société civile), par l’intermédiaire de leurs organisations professionnelles représentatives. Ces travaux auront pour but de décliner les modalités pratiques de recueil du consentement et d’alimenter la réflexion. La CNIL publiera sa recommandation, pour consultation </w:t>
      </w:r>
      <w:proofErr w:type="gramStart"/>
      <w:r>
        <w:rPr>
          <w:rFonts w:ascii="Georgia" w:hAnsi="Georgia"/>
          <w:color w:val="71716E"/>
          <w:sz w:val="27"/>
          <w:szCs w:val="27"/>
        </w:rPr>
        <w:t>publique,  fin</w:t>
      </w:r>
      <w:proofErr w:type="gramEnd"/>
      <w:r>
        <w:rPr>
          <w:rFonts w:ascii="Georgia" w:hAnsi="Georgia"/>
          <w:color w:val="71716E"/>
          <w:sz w:val="27"/>
          <w:szCs w:val="27"/>
        </w:rPr>
        <w:t xml:space="preserve"> 2019 ou, au plus tard, début 2020.</w:t>
      </w:r>
      <w:r>
        <w:rPr>
          <w:rStyle w:val="apple-converted-space"/>
          <w:rFonts w:ascii="Georgia" w:hAnsi="Georgia"/>
          <w:color w:val="71716E"/>
          <w:sz w:val="27"/>
          <w:szCs w:val="27"/>
        </w:rPr>
        <w:t> </w:t>
      </w:r>
      <w:r>
        <w:rPr>
          <w:rStyle w:val="lev"/>
          <w:rFonts w:ascii="Georgia" w:hAnsi="Georgia"/>
          <w:color w:val="333333"/>
          <w:sz w:val="27"/>
          <w:szCs w:val="27"/>
        </w:rPr>
        <w:t>La CNIL procèdera à des vérifications du respect de la recommandation</w:t>
      </w:r>
      <w:r>
        <w:rPr>
          <w:rStyle w:val="apple-converted-space"/>
          <w:rFonts w:ascii="Georgia" w:hAnsi="Georgia"/>
          <w:color w:val="71716E"/>
          <w:sz w:val="27"/>
          <w:szCs w:val="27"/>
        </w:rPr>
        <w:t> </w:t>
      </w:r>
      <w:r>
        <w:rPr>
          <w:rFonts w:ascii="Georgia" w:hAnsi="Georgia"/>
          <w:color w:val="71716E"/>
          <w:sz w:val="27"/>
          <w:szCs w:val="27"/>
        </w:rPr>
        <w:t>finale 6 mois après son adoption définitive.</w:t>
      </w:r>
    </w:p>
    <w:p w14:paraId="612347B8" w14:textId="77777777" w:rsidR="00E46D3C" w:rsidRDefault="00E46D3C" w:rsidP="00E46D3C">
      <w:pPr>
        <w:jc w:val="center"/>
        <w:rPr>
          <w:rFonts w:ascii="Georgia" w:eastAsia="Times New Roman" w:hAnsi="Georgia"/>
          <w:color w:val="71716E"/>
          <w:sz w:val="24"/>
          <w:szCs w:val="24"/>
        </w:rPr>
      </w:pPr>
    </w:p>
    <w:p w14:paraId="5ADB7B1B" w14:textId="77777777" w:rsidR="001B37EC" w:rsidRDefault="001B37EC"/>
    <w:p w14:paraId="38F69904" w14:textId="77777777" w:rsidR="000C2A25" w:rsidRDefault="000C2A25" w:rsidP="00786792">
      <w:bookmarkStart w:id="0" w:name="_GoBack"/>
      <w:bookmarkEnd w:id="0"/>
    </w:p>
    <w:sectPr w:rsidR="000C2A25" w:rsidSect="003E6AEC">
      <w:footerReference w:type="default" r:id="rId10"/>
      <w:pgSz w:w="11906" w:h="16838"/>
      <w:pgMar w:top="567" w:right="707" w:bottom="851" w:left="709" w:header="708" w:footer="12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F36B7" w14:textId="77777777" w:rsidR="00C312B6" w:rsidRDefault="00C312B6" w:rsidP="00AA7A69">
      <w:pPr>
        <w:spacing w:before="0" w:after="0"/>
      </w:pPr>
      <w:r>
        <w:separator/>
      </w:r>
    </w:p>
  </w:endnote>
  <w:endnote w:type="continuationSeparator" w:id="0">
    <w:p w14:paraId="4AA9AB02" w14:textId="77777777" w:rsidR="00C312B6" w:rsidRDefault="00C312B6" w:rsidP="00AA7A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open_sans_condensedbold">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10"/>
      <w:gridCol w:w="9596"/>
    </w:tblGrid>
    <w:tr w:rsidR="00AA7A69" w14:paraId="34CCB176" w14:textId="77777777">
      <w:tc>
        <w:tcPr>
          <w:tcW w:w="918" w:type="dxa"/>
        </w:tcPr>
        <w:p w14:paraId="7BF9DA81" w14:textId="77777777" w:rsidR="00AA7A69" w:rsidRDefault="00CF637B">
          <w:pPr>
            <w:pStyle w:val="Pieddepage"/>
            <w:jc w:val="right"/>
            <w:rPr>
              <w:b/>
              <w:color w:val="4F81BD" w:themeColor="accent1"/>
              <w:sz w:val="32"/>
              <w:szCs w:val="32"/>
            </w:rPr>
          </w:pPr>
          <w:r>
            <w:fldChar w:fldCharType="begin"/>
          </w:r>
          <w:r>
            <w:instrText xml:space="preserve"> PAGE   \* MERGEFORMAT </w:instrText>
          </w:r>
          <w:r>
            <w:fldChar w:fldCharType="separate"/>
          </w:r>
          <w:r w:rsidR="00E46D3C" w:rsidRPr="00E46D3C">
            <w:rPr>
              <w:b/>
              <w:noProof/>
              <w:color w:val="4F81BD" w:themeColor="accent1"/>
              <w:sz w:val="32"/>
              <w:szCs w:val="32"/>
            </w:rPr>
            <w:t>1</w:t>
          </w:r>
          <w:r>
            <w:rPr>
              <w:b/>
              <w:noProof/>
              <w:color w:val="4F81BD" w:themeColor="accent1"/>
              <w:sz w:val="32"/>
              <w:szCs w:val="32"/>
            </w:rPr>
            <w:fldChar w:fldCharType="end"/>
          </w:r>
        </w:p>
      </w:tc>
      <w:tc>
        <w:tcPr>
          <w:tcW w:w="7938" w:type="dxa"/>
        </w:tcPr>
        <w:p w14:paraId="3B40821F" w14:textId="77777777" w:rsidR="00AA7A69" w:rsidRDefault="00C7136F" w:rsidP="00B522FF">
          <w:pPr>
            <w:pStyle w:val="Pieddepage"/>
          </w:pPr>
          <w:r>
            <w:t>INFO</w:t>
          </w:r>
          <w:r w:rsidR="00AA7A69">
            <w:t xml:space="preserve"> 2 loi informatique et liberté, </w:t>
          </w:r>
          <w:r w:rsidR="00B522FF">
            <w:t>code pénal</w:t>
          </w:r>
        </w:p>
      </w:tc>
    </w:tr>
  </w:tbl>
  <w:p w14:paraId="2BC0B94F" w14:textId="77777777" w:rsidR="00AA7A69" w:rsidRDefault="00AA7A6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D7E54" w14:textId="77777777" w:rsidR="00C312B6" w:rsidRDefault="00C312B6" w:rsidP="00AA7A69">
      <w:pPr>
        <w:spacing w:before="0" w:after="0"/>
      </w:pPr>
      <w:r>
        <w:separator/>
      </w:r>
    </w:p>
  </w:footnote>
  <w:footnote w:type="continuationSeparator" w:id="0">
    <w:p w14:paraId="03B46DD6" w14:textId="77777777" w:rsidR="00C312B6" w:rsidRDefault="00C312B6" w:rsidP="00AA7A69">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E4423"/>
    <w:multiLevelType w:val="multilevel"/>
    <w:tmpl w:val="61DA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40F3A"/>
    <w:multiLevelType w:val="multilevel"/>
    <w:tmpl w:val="AB6E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F0B1F"/>
    <w:multiLevelType w:val="multilevel"/>
    <w:tmpl w:val="B88C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EF5B03"/>
    <w:multiLevelType w:val="multilevel"/>
    <w:tmpl w:val="9D1E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70272"/>
    <w:multiLevelType w:val="multilevel"/>
    <w:tmpl w:val="FD5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6176A7"/>
    <w:multiLevelType w:val="multilevel"/>
    <w:tmpl w:val="8C5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22BF9"/>
    <w:multiLevelType w:val="multilevel"/>
    <w:tmpl w:val="5830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93FA5"/>
    <w:multiLevelType w:val="multilevel"/>
    <w:tmpl w:val="C322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C27F4B"/>
    <w:multiLevelType w:val="multilevel"/>
    <w:tmpl w:val="57E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A69"/>
    <w:rsid w:val="000332FD"/>
    <w:rsid w:val="000450E3"/>
    <w:rsid w:val="00050165"/>
    <w:rsid w:val="0009034F"/>
    <w:rsid w:val="000C2A25"/>
    <w:rsid w:val="00102977"/>
    <w:rsid w:val="001B37EC"/>
    <w:rsid w:val="00265A46"/>
    <w:rsid w:val="0035740B"/>
    <w:rsid w:val="00364583"/>
    <w:rsid w:val="003E6AEC"/>
    <w:rsid w:val="0043689A"/>
    <w:rsid w:val="00491318"/>
    <w:rsid w:val="00494D32"/>
    <w:rsid w:val="004A3C88"/>
    <w:rsid w:val="00566D5A"/>
    <w:rsid w:val="0076668A"/>
    <w:rsid w:val="00786792"/>
    <w:rsid w:val="007A0398"/>
    <w:rsid w:val="007C2A94"/>
    <w:rsid w:val="00820785"/>
    <w:rsid w:val="009D5FE4"/>
    <w:rsid w:val="00AA35DD"/>
    <w:rsid w:val="00AA7A69"/>
    <w:rsid w:val="00AE3BAC"/>
    <w:rsid w:val="00B522FF"/>
    <w:rsid w:val="00C312B6"/>
    <w:rsid w:val="00C7136F"/>
    <w:rsid w:val="00C95494"/>
    <w:rsid w:val="00CC7FC9"/>
    <w:rsid w:val="00CF637B"/>
    <w:rsid w:val="00D20822"/>
    <w:rsid w:val="00D37F39"/>
    <w:rsid w:val="00D7268C"/>
    <w:rsid w:val="00DC779B"/>
    <w:rsid w:val="00E46D3C"/>
    <w:rsid w:val="00EC3F4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8E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before="100" w:beforeAutospacing="1" w:after="100" w:afterAutospacing="1"/>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3BAC"/>
  </w:style>
  <w:style w:type="paragraph" w:styleId="Titre1">
    <w:name w:val="heading 1"/>
    <w:basedOn w:val="Normal"/>
    <w:link w:val="Titre1Car"/>
    <w:uiPriority w:val="9"/>
    <w:qFormat/>
    <w:rsid w:val="00AA7A69"/>
    <w:pPr>
      <w:spacing w:after="119" w:afterAutospacing="0"/>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A0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A7A69"/>
    <w:pPr>
      <w:spacing w:after="119" w:afterAutospacing="0"/>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A3C8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A6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AA7A69"/>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AA7A69"/>
    <w:pPr>
      <w:spacing w:after="119" w:afterAutospacing="0"/>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A7A69"/>
    <w:pPr>
      <w:tabs>
        <w:tab w:val="center" w:pos="4536"/>
        <w:tab w:val="right" w:pos="9072"/>
      </w:tabs>
      <w:spacing w:before="0" w:after="0"/>
    </w:pPr>
  </w:style>
  <w:style w:type="character" w:customStyle="1" w:styleId="En-tteCar">
    <w:name w:val="En-tête Car"/>
    <w:basedOn w:val="Policepardfaut"/>
    <w:link w:val="En-tte"/>
    <w:uiPriority w:val="99"/>
    <w:rsid w:val="00AA7A69"/>
  </w:style>
  <w:style w:type="paragraph" w:styleId="Pieddepage">
    <w:name w:val="footer"/>
    <w:basedOn w:val="Normal"/>
    <w:link w:val="PieddepageCar"/>
    <w:uiPriority w:val="99"/>
    <w:unhideWhenUsed/>
    <w:rsid w:val="00AA7A69"/>
    <w:pPr>
      <w:tabs>
        <w:tab w:val="center" w:pos="4536"/>
        <w:tab w:val="right" w:pos="9072"/>
      </w:tabs>
      <w:spacing w:before="0" w:after="0"/>
    </w:pPr>
  </w:style>
  <w:style w:type="character" w:customStyle="1" w:styleId="PieddepageCar">
    <w:name w:val="Pied de page Car"/>
    <w:basedOn w:val="Policepardfaut"/>
    <w:link w:val="Pieddepage"/>
    <w:uiPriority w:val="99"/>
    <w:rsid w:val="00AA7A69"/>
  </w:style>
  <w:style w:type="character" w:styleId="lev">
    <w:name w:val="Strong"/>
    <w:basedOn w:val="Policepardfaut"/>
    <w:uiPriority w:val="22"/>
    <w:qFormat/>
    <w:rsid w:val="00AA7A69"/>
    <w:rPr>
      <w:b/>
      <w:bCs/>
    </w:rPr>
  </w:style>
  <w:style w:type="character" w:styleId="Lienhypertexte">
    <w:name w:val="Hyperlink"/>
    <w:basedOn w:val="Policepardfaut"/>
    <w:uiPriority w:val="99"/>
    <w:unhideWhenUsed/>
    <w:rsid w:val="00AA7A69"/>
    <w:rPr>
      <w:color w:val="0000FF"/>
      <w:u w:val="single"/>
    </w:rPr>
  </w:style>
  <w:style w:type="character" w:customStyle="1" w:styleId="Titre2Car">
    <w:name w:val="Titre 2 Car"/>
    <w:basedOn w:val="Policepardfaut"/>
    <w:link w:val="Titre2"/>
    <w:uiPriority w:val="9"/>
    <w:semiHidden/>
    <w:rsid w:val="007A0398"/>
    <w:rPr>
      <w:rFonts w:asciiTheme="majorHAnsi" w:eastAsiaTheme="majorEastAsia" w:hAnsiTheme="majorHAnsi" w:cstheme="majorBidi"/>
      <w:b/>
      <w:bCs/>
      <w:color w:val="4F81BD" w:themeColor="accent1"/>
      <w:sz w:val="26"/>
      <w:szCs w:val="26"/>
    </w:rPr>
  </w:style>
  <w:style w:type="character" w:styleId="Emphase">
    <w:name w:val="Emphasis"/>
    <w:basedOn w:val="Policepardfaut"/>
    <w:uiPriority w:val="20"/>
    <w:qFormat/>
    <w:rsid w:val="007A0398"/>
    <w:rPr>
      <w:i/>
      <w:iCs/>
    </w:rPr>
  </w:style>
  <w:style w:type="paragraph" w:styleId="Textedebulles">
    <w:name w:val="Balloon Text"/>
    <w:basedOn w:val="Normal"/>
    <w:link w:val="TextedebullesCar"/>
    <w:uiPriority w:val="99"/>
    <w:semiHidden/>
    <w:unhideWhenUsed/>
    <w:rsid w:val="007A039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398"/>
    <w:rPr>
      <w:rFonts w:ascii="Tahoma" w:hAnsi="Tahoma" w:cs="Tahoma"/>
      <w:sz w:val="16"/>
      <w:szCs w:val="16"/>
    </w:rPr>
  </w:style>
  <w:style w:type="character" w:customStyle="1" w:styleId="apple-converted-space">
    <w:name w:val="apple-converted-space"/>
    <w:basedOn w:val="Policepardfaut"/>
    <w:rsid w:val="00DC779B"/>
  </w:style>
  <w:style w:type="character" w:customStyle="1" w:styleId="Titre4Car">
    <w:name w:val="Titre 4 Car"/>
    <w:basedOn w:val="Policepardfaut"/>
    <w:link w:val="Titre4"/>
    <w:uiPriority w:val="9"/>
    <w:semiHidden/>
    <w:rsid w:val="004A3C88"/>
    <w:rPr>
      <w:rFonts w:asciiTheme="majorHAnsi" w:eastAsiaTheme="majorEastAsia" w:hAnsiTheme="majorHAnsi" w:cstheme="majorBidi"/>
      <w:i/>
      <w:iCs/>
      <w:color w:val="365F91" w:themeColor="accent1" w:themeShade="BF"/>
    </w:rPr>
  </w:style>
  <w:style w:type="paragraph" w:customStyle="1" w:styleId="rteindent1">
    <w:name w:val="rteindent1"/>
    <w:basedOn w:val="Normal"/>
    <w:rsid w:val="004A3C88"/>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8600">
      <w:bodyDiv w:val="1"/>
      <w:marLeft w:val="0"/>
      <w:marRight w:val="0"/>
      <w:marTop w:val="0"/>
      <w:marBottom w:val="0"/>
      <w:divBdr>
        <w:top w:val="none" w:sz="0" w:space="0" w:color="auto"/>
        <w:left w:val="none" w:sz="0" w:space="0" w:color="auto"/>
        <w:bottom w:val="none" w:sz="0" w:space="0" w:color="auto"/>
        <w:right w:val="none" w:sz="0" w:space="0" w:color="auto"/>
      </w:divBdr>
      <w:divsChild>
        <w:div w:id="1980501015">
          <w:marLeft w:val="0"/>
          <w:marRight w:val="0"/>
          <w:marTop w:val="525"/>
          <w:marBottom w:val="525"/>
          <w:divBdr>
            <w:top w:val="none" w:sz="0" w:space="0" w:color="auto"/>
            <w:left w:val="none" w:sz="0" w:space="0" w:color="auto"/>
            <w:bottom w:val="none" w:sz="0" w:space="0" w:color="auto"/>
            <w:right w:val="none" w:sz="0" w:space="0" w:color="auto"/>
          </w:divBdr>
          <w:divsChild>
            <w:div w:id="395859504">
              <w:marLeft w:val="0"/>
              <w:marRight w:val="0"/>
              <w:marTop w:val="150"/>
              <w:marBottom w:val="0"/>
              <w:divBdr>
                <w:top w:val="none" w:sz="0" w:space="0" w:color="auto"/>
                <w:left w:val="none" w:sz="0" w:space="0" w:color="auto"/>
                <w:bottom w:val="none" w:sz="0" w:space="0" w:color="auto"/>
                <w:right w:val="none" w:sz="0" w:space="0" w:color="auto"/>
              </w:divBdr>
            </w:div>
            <w:div w:id="90593850">
              <w:marLeft w:val="0"/>
              <w:marRight w:val="0"/>
              <w:marTop w:val="0"/>
              <w:marBottom w:val="0"/>
              <w:divBdr>
                <w:top w:val="none" w:sz="0" w:space="0" w:color="auto"/>
                <w:left w:val="none" w:sz="0" w:space="0" w:color="auto"/>
                <w:bottom w:val="none" w:sz="0" w:space="0" w:color="auto"/>
                <w:right w:val="none" w:sz="0" w:space="0" w:color="auto"/>
              </w:divBdr>
            </w:div>
          </w:divsChild>
        </w:div>
        <w:div w:id="732511868">
          <w:marLeft w:val="0"/>
          <w:marRight w:val="0"/>
          <w:marTop w:val="525"/>
          <w:marBottom w:val="525"/>
          <w:divBdr>
            <w:top w:val="none" w:sz="0" w:space="0" w:color="auto"/>
            <w:left w:val="none" w:sz="0" w:space="0" w:color="auto"/>
            <w:bottom w:val="none" w:sz="0" w:space="0" w:color="auto"/>
            <w:right w:val="none" w:sz="0" w:space="0" w:color="auto"/>
          </w:divBdr>
          <w:divsChild>
            <w:div w:id="1569068303">
              <w:marLeft w:val="0"/>
              <w:marRight w:val="0"/>
              <w:marTop w:val="0"/>
              <w:marBottom w:val="150"/>
              <w:divBdr>
                <w:top w:val="none" w:sz="0" w:space="0" w:color="auto"/>
                <w:left w:val="none" w:sz="0" w:space="0" w:color="auto"/>
                <w:bottom w:val="none" w:sz="0" w:space="0" w:color="auto"/>
                <w:right w:val="none" w:sz="0" w:space="0" w:color="auto"/>
              </w:divBdr>
            </w:div>
            <w:div w:id="2114472910">
              <w:marLeft w:val="0"/>
              <w:marRight w:val="0"/>
              <w:marTop w:val="150"/>
              <w:marBottom w:val="0"/>
              <w:divBdr>
                <w:top w:val="none" w:sz="0" w:space="0" w:color="auto"/>
                <w:left w:val="none" w:sz="0" w:space="0" w:color="auto"/>
                <w:bottom w:val="none" w:sz="0" w:space="0" w:color="auto"/>
                <w:right w:val="none" w:sz="0" w:space="0" w:color="auto"/>
              </w:divBdr>
            </w:div>
          </w:divsChild>
        </w:div>
        <w:div w:id="1170098203">
          <w:marLeft w:val="0"/>
          <w:marRight w:val="0"/>
          <w:marTop w:val="525"/>
          <w:marBottom w:val="525"/>
          <w:divBdr>
            <w:top w:val="none" w:sz="0" w:space="0" w:color="auto"/>
            <w:left w:val="none" w:sz="0" w:space="0" w:color="auto"/>
            <w:bottom w:val="none" w:sz="0" w:space="0" w:color="auto"/>
            <w:right w:val="none" w:sz="0" w:space="0" w:color="auto"/>
          </w:divBdr>
          <w:divsChild>
            <w:div w:id="989098599">
              <w:marLeft w:val="0"/>
              <w:marRight w:val="0"/>
              <w:marTop w:val="0"/>
              <w:marBottom w:val="150"/>
              <w:divBdr>
                <w:top w:val="none" w:sz="0" w:space="0" w:color="auto"/>
                <w:left w:val="none" w:sz="0" w:space="0" w:color="auto"/>
                <w:bottom w:val="none" w:sz="0" w:space="0" w:color="auto"/>
                <w:right w:val="none" w:sz="0" w:space="0" w:color="auto"/>
              </w:divBdr>
            </w:div>
            <w:div w:id="2004895864">
              <w:marLeft w:val="0"/>
              <w:marRight w:val="0"/>
              <w:marTop w:val="150"/>
              <w:marBottom w:val="0"/>
              <w:divBdr>
                <w:top w:val="none" w:sz="0" w:space="0" w:color="auto"/>
                <w:left w:val="none" w:sz="0" w:space="0" w:color="auto"/>
                <w:bottom w:val="none" w:sz="0" w:space="0" w:color="auto"/>
                <w:right w:val="none" w:sz="0" w:space="0" w:color="auto"/>
              </w:divBdr>
            </w:div>
          </w:divsChild>
        </w:div>
        <w:div w:id="1739664831">
          <w:marLeft w:val="0"/>
          <w:marRight w:val="0"/>
          <w:marTop w:val="525"/>
          <w:marBottom w:val="525"/>
          <w:divBdr>
            <w:top w:val="none" w:sz="0" w:space="0" w:color="auto"/>
            <w:left w:val="none" w:sz="0" w:space="0" w:color="auto"/>
            <w:bottom w:val="none" w:sz="0" w:space="0" w:color="auto"/>
            <w:right w:val="none" w:sz="0" w:space="0" w:color="auto"/>
          </w:divBdr>
          <w:divsChild>
            <w:div w:id="1260791269">
              <w:marLeft w:val="0"/>
              <w:marRight w:val="0"/>
              <w:marTop w:val="0"/>
              <w:marBottom w:val="150"/>
              <w:divBdr>
                <w:top w:val="none" w:sz="0" w:space="0" w:color="auto"/>
                <w:left w:val="none" w:sz="0" w:space="0" w:color="auto"/>
                <w:bottom w:val="none" w:sz="0" w:space="0" w:color="auto"/>
                <w:right w:val="none" w:sz="0" w:space="0" w:color="auto"/>
              </w:divBdr>
            </w:div>
            <w:div w:id="1491553217">
              <w:marLeft w:val="0"/>
              <w:marRight w:val="0"/>
              <w:marTop w:val="0"/>
              <w:marBottom w:val="150"/>
              <w:divBdr>
                <w:top w:val="none" w:sz="0" w:space="0" w:color="auto"/>
                <w:left w:val="none" w:sz="0" w:space="0" w:color="auto"/>
                <w:bottom w:val="none" w:sz="0" w:space="0" w:color="auto"/>
                <w:right w:val="none" w:sz="0" w:space="0" w:color="auto"/>
              </w:divBdr>
            </w:div>
            <w:div w:id="1491553675">
              <w:marLeft w:val="0"/>
              <w:marRight w:val="0"/>
              <w:marTop w:val="150"/>
              <w:marBottom w:val="0"/>
              <w:divBdr>
                <w:top w:val="none" w:sz="0" w:space="0" w:color="auto"/>
                <w:left w:val="none" w:sz="0" w:space="0" w:color="auto"/>
                <w:bottom w:val="none" w:sz="0" w:space="0" w:color="auto"/>
                <w:right w:val="none" w:sz="0" w:space="0" w:color="auto"/>
              </w:divBdr>
            </w:div>
          </w:divsChild>
        </w:div>
        <w:div w:id="600451967">
          <w:marLeft w:val="0"/>
          <w:marRight w:val="0"/>
          <w:marTop w:val="525"/>
          <w:marBottom w:val="525"/>
          <w:divBdr>
            <w:top w:val="none" w:sz="0" w:space="0" w:color="auto"/>
            <w:left w:val="none" w:sz="0" w:space="0" w:color="auto"/>
            <w:bottom w:val="none" w:sz="0" w:space="0" w:color="auto"/>
            <w:right w:val="none" w:sz="0" w:space="0" w:color="auto"/>
          </w:divBdr>
          <w:divsChild>
            <w:div w:id="392657312">
              <w:marLeft w:val="0"/>
              <w:marRight w:val="0"/>
              <w:marTop w:val="0"/>
              <w:marBottom w:val="150"/>
              <w:divBdr>
                <w:top w:val="none" w:sz="0" w:space="0" w:color="auto"/>
                <w:left w:val="none" w:sz="0" w:space="0" w:color="auto"/>
                <w:bottom w:val="none" w:sz="0" w:space="0" w:color="auto"/>
                <w:right w:val="none" w:sz="0" w:space="0" w:color="auto"/>
              </w:divBdr>
            </w:div>
            <w:div w:id="538011773">
              <w:marLeft w:val="0"/>
              <w:marRight w:val="0"/>
              <w:marTop w:val="150"/>
              <w:marBottom w:val="0"/>
              <w:divBdr>
                <w:top w:val="none" w:sz="0" w:space="0" w:color="auto"/>
                <w:left w:val="none" w:sz="0" w:space="0" w:color="auto"/>
                <w:bottom w:val="none" w:sz="0" w:space="0" w:color="auto"/>
                <w:right w:val="none" w:sz="0" w:space="0" w:color="auto"/>
              </w:divBdr>
            </w:div>
          </w:divsChild>
        </w:div>
        <w:div w:id="2074543501">
          <w:marLeft w:val="0"/>
          <w:marRight w:val="0"/>
          <w:marTop w:val="525"/>
          <w:marBottom w:val="525"/>
          <w:divBdr>
            <w:top w:val="none" w:sz="0" w:space="0" w:color="auto"/>
            <w:left w:val="none" w:sz="0" w:space="0" w:color="auto"/>
            <w:bottom w:val="none" w:sz="0" w:space="0" w:color="auto"/>
            <w:right w:val="none" w:sz="0" w:space="0" w:color="auto"/>
          </w:divBdr>
          <w:divsChild>
            <w:div w:id="1160317732">
              <w:marLeft w:val="0"/>
              <w:marRight w:val="0"/>
              <w:marTop w:val="0"/>
              <w:marBottom w:val="150"/>
              <w:divBdr>
                <w:top w:val="none" w:sz="0" w:space="0" w:color="auto"/>
                <w:left w:val="none" w:sz="0" w:space="0" w:color="auto"/>
                <w:bottom w:val="none" w:sz="0" w:space="0" w:color="auto"/>
                <w:right w:val="none" w:sz="0" w:space="0" w:color="auto"/>
              </w:divBdr>
            </w:div>
            <w:div w:id="2060203518">
              <w:marLeft w:val="0"/>
              <w:marRight w:val="0"/>
              <w:marTop w:val="150"/>
              <w:marBottom w:val="0"/>
              <w:divBdr>
                <w:top w:val="none" w:sz="0" w:space="0" w:color="auto"/>
                <w:left w:val="none" w:sz="0" w:space="0" w:color="auto"/>
                <w:bottom w:val="none" w:sz="0" w:space="0" w:color="auto"/>
                <w:right w:val="none" w:sz="0" w:space="0" w:color="auto"/>
              </w:divBdr>
            </w:div>
          </w:divsChild>
        </w:div>
        <w:div w:id="1367413371">
          <w:marLeft w:val="0"/>
          <w:marRight w:val="0"/>
          <w:marTop w:val="525"/>
          <w:marBottom w:val="525"/>
          <w:divBdr>
            <w:top w:val="none" w:sz="0" w:space="0" w:color="auto"/>
            <w:left w:val="none" w:sz="0" w:space="0" w:color="auto"/>
            <w:bottom w:val="none" w:sz="0" w:space="0" w:color="auto"/>
            <w:right w:val="none" w:sz="0" w:space="0" w:color="auto"/>
          </w:divBdr>
          <w:divsChild>
            <w:div w:id="1842621323">
              <w:marLeft w:val="0"/>
              <w:marRight w:val="0"/>
              <w:marTop w:val="0"/>
              <w:marBottom w:val="150"/>
              <w:divBdr>
                <w:top w:val="none" w:sz="0" w:space="0" w:color="auto"/>
                <w:left w:val="none" w:sz="0" w:space="0" w:color="auto"/>
                <w:bottom w:val="none" w:sz="0" w:space="0" w:color="auto"/>
                <w:right w:val="none" w:sz="0" w:space="0" w:color="auto"/>
              </w:divBdr>
            </w:div>
            <w:div w:id="311100168">
              <w:marLeft w:val="0"/>
              <w:marRight w:val="0"/>
              <w:marTop w:val="150"/>
              <w:marBottom w:val="0"/>
              <w:divBdr>
                <w:top w:val="none" w:sz="0" w:space="0" w:color="auto"/>
                <w:left w:val="none" w:sz="0" w:space="0" w:color="auto"/>
                <w:bottom w:val="none" w:sz="0" w:space="0" w:color="auto"/>
                <w:right w:val="none" w:sz="0" w:space="0" w:color="auto"/>
              </w:divBdr>
            </w:div>
          </w:divsChild>
        </w:div>
        <w:div w:id="1437872846">
          <w:marLeft w:val="0"/>
          <w:marRight w:val="0"/>
          <w:marTop w:val="525"/>
          <w:marBottom w:val="525"/>
          <w:divBdr>
            <w:top w:val="none" w:sz="0" w:space="0" w:color="auto"/>
            <w:left w:val="none" w:sz="0" w:space="0" w:color="auto"/>
            <w:bottom w:val="none" w:sz="0" w:space="0" w:color="auto"/>
            <w:right w:val="none" w:sz="0" w:space="0" w:color="auto"/>
          </w:divBdr>
          <w:divsChild>
            <w:div w:id="2098553882">
              <w:marLeft w:val="0"/>
              <w:marRight w:val="0"/>
              <w:marTop w:val="0"/>
              <w:marBottom w:val="150"/>
              <w:divBdr>
                <w:top w:val="none" w:sz="0" w:space="0" w:color="auto"/>
                <w:left w:val="none" w:sz="0" w:space="0" w:color="auto"/>
                <w:bottom w:val="none" w:sz="0" w:space="0" w:color="auto"/>
                <w:right w:val="none" w:sz="0" w:space="0" w:color="auto"/>
              </w:divBdr>
            </w:div>
            <w:div w:id="1518084037">
              <w:marLeft w:val="0"/>
              <w:marRight w:val="0"/>
              <w:marTop w:val="150"/>
              <w:marBottom w:val="0"/>
              <w:divBdr>
                <w:top w:val="none" w:sz="0" w:space="0" w:color="auto"/>
                <w:left w:val="none" w:sz="0" w:space="0" w:color="auto"/>
                <w:bottom w:val="none" w:sz="0" w:space="0" w:color="auto"/>
                <w:right w:val="none" w:sz="0" w:space="0" w:color="auto"/>
              </w:divBdr>
            </w:div>
          </w:divsChild>
        </w:div>
        <w:div w:id="789057453">
          <w:marLeft w:val="0"/>
          <w:marRight w:val="0"/>
          <w:marTop w:val="525"/>
          <w:marBottom w:val="525"/>
          <w:divBdr>
            <w:top w:val="none" w:sz="0" w:space="0" w:color="auto"/>
            <w:left w:val="none" w:sz="0" w:space="0" w:color="auto"/>
            <w:bottom w:val="none" w:sz="0" w:space="0" w:color="auto"/>
            <w:right w:val="none" w:sz="0" w:space="0" w:color="auto"/>
          </w:divBdr>
          <w:divsChild>
            <w:div w:id="825627137">
              <w:marLeft w:val="0"/>
              <w:marRight w:val="0"/>
              <w:marTop w:val="0"/>
              <w:marBottom w:val="150"/>
              <w:divBdr>
                <w:top w:val="none" w:sz="0" w:space="0" w:color="auto"/>
                <w:left w:val="none" w:sz="0" w:space="0" w:color="auto"/>
                <w:bottom w:val="none" w:sz="0" w:space="0" w:color="auto"/>
                <w:right w:val="none" w:sz="0" w:space="0" w:color="auto"/>
              </w:divBdr>
            </w:div>
            <w:div w:id="1051465489">
              <w:marLeft w:val="0"/>
              <w:marRight w:val="0"/>
              <w:marTop w:val="0"/>
              <w:marBottom w:val="150"/>
              <w:divBdr>
                <w:top w:val="none" w:sz="0" w:space="0" w:color="auto"/>
                <w:left w:val="none" w:sz="0" w:space="0" w:color="auto"/>
                <w:bottom w:val="none" w:sz="0" w:space="0" w:color="auto"/>
                <w:right w:val="none" w:sz="0" w:space="0" w:color="auto"/>
              </w:divBdr>
            </w:div>
            <w:div w:id="1973100297">
              <w:marLeft w:val="0"/>
              <w:marRight w:val="0"/>
              <w:marTop w:val="150"/>
              <w:marBottom w:val="0"/>
              <w:divBdr>
                <w:top w:val="none" w:sz="0" w:space="0" w:color="auto"/>
                <w:left w:val="none" w:sz="0" w:space="0" w:color="auto"/>
                <w:bottom w:val="none" w:sz="0" w:space="0" w:color="auto"/>
                <w:right w:val="none" w:sz="0" w:space="0" w:color="auto"/>
              </w:divBdr>
            </w:div>
          </w:divsChild>
        </w:div>
        <w:div w:id="1499273785">
          <w:marLeft w:val="0"/>
          <w:marRight w:val="0"/>
          <w:marTop w:val="525"/>
          <w:marBottom w:val="525"/>
          <w:divBdr>
            <w:top w:val="none" w:sz="0" w:space="0" w:color="auto"/>
            <w:left w:val="none" w:sz="0" w:space="0" w:color="auto"/>
            <w:bottom w:val="none" w:sz="0" w:space="0" w:color="auto"/>
            <w:right w:val="none" w:sz="0" w:space="0" w:color="auto"/>
          </w:divBdr>
          <w:divsChild>
            <w:div w:id="1787044163">
              <w:marLeft w:val="0"/>
              <w:marRight w:val="0"/>
              <w:marTop w:val="0"/>
              <w:marBottom w:val="150"/>
              <w:divBdr>
                <w:top w:val="none" w:sz="0" w:space="0" w:color="auto"/>
                <w:left w:val="none" w:sz="0" w:space="0" w:color="auto"/>
                <w:bottom w:val="none" w:sz="0" w:space="0" w:color="auto"/>
                <w:right w:val="none" w:sz="0" w:space="0" w:color="auto"/>
              </w:divBdr>
            </w:div>
            <w:div w:id="561671385">
              <w:marLeft w:val="0"/>
              <w:marRight w:val="0"/>
              <w:marTop w:val="150"/>
              <w:marBottom w:val="0"/>
              <w:divBdr>
                <w:top w:val="none" w:sz="0" w:space="0" w:color="auto"/>
                <w:left w:val="none" w:sz="0" w:space="0" w:color="auto"/>
                <w:bottom w:val="none" w:sz="0" w:space="0" w:color="auto"/>
                <w:right w:val="none" w:sz="0" w:space="0" w:color="auto"/>
              </w:divBdr>
            </w:div>
          </w:divsChild>
        </w:div>
        <w:div w:id="566260913">
          <w:marLeft w:val="0"/>
          <w:marRight w:val="0"/>
          <w:marTop w:val="525"/>
          <w:marBottom w:val="525"/>
          <w:divBdr>
            <w:top w:val="none" w:sz="0" w:space="0" w:color="auto"/>
            <w:left w:val="none" w:sz="0" w:space="0" w:color="auto"/>
            <w:bottom w:val="none" w:sz="0" w:space="0" w:color="auto"/>
            <w:right w:val="none" w:sz="0" w:space="0" w:color="auto"/>
          </w:divBdr>
          <w:divsChild>
            <w:div w:id="400712626">
              <w:marLeft w:val="0"/>
              <w:marRight w:val="0"/>
              <w:marTop w:val="0"/>
              <w:marBottom w:val="150"/>
              <w:divBdr>
                <w:top w:val="none" w:sz="0" w:space="0" w:color="auto"/>
                <w:left w:val="none" w:sz="0" w:space="0" w:color="auto"/>
                <w:bottom w:val="none" w:sz="0" w:space="0" w:color="auto"/>
                <w:right w:val="none" w:sz="0" w:space="0" w:color="auto"/>
              </w:divBdr>
            </w:div>
            <w:div w:id="1410420325">
              <w:marLeft w:val="0"/>
              <w:marRight w:val="0"/>
              <w:marTop w:val="150"/>
              <w:marBottom w:val="0"/>
              <w:divBdr>
                <w:top w:val="none" w:sz="0" w:space="0" w:color="auto"/>
                <w:left w:val="none" w:sz="0" w:space="0" w:color="auto"/>
                <w:bottom w:val="none" w:sz="0" w:space="0" w:color="auto"/>
                <w:right w:val="none" w:sz="0" w:space="0" w:color="auto"/>
              </w:divBdr>
            </w:div>
          </w:divsChild>
        </w:div>
        <w:div w:id="1079404514">
          <w:marLeft w:val="0"/>
          <w:marRight w:val="0"/>
          <w:marTop w:val="525"/>
          <w:marBottom w:val="525"/>
          <w:divBdr>
            <w:top w:val="none" w:sz="0" w:space="0" w:color="auto"/>
            <w:left w:val="none" w:sz="0" w:space="0" w:color="auto"/>
            <w:bottom w:val="none" w:sz="0" w:space="0" w:color="auto"/>
            <w:right w:val="none" w:sz="0" w:space="0" w:color="auto"/>
          </w:divBdr>
          <w:divsChild>
            <w:div w:id="1510213410">
              <w:marLeft w:val="0"/>
              <w:marRight w:val="0"/>
              <w:marTop w:val="0"/>
              <w:marBottom w:val="150"/>
              <w:divBdr>
                <w:top w:val="none" w:sz="0" w:space="0" w:color="auto"/>
                <w:left w:val="none" w:sz="0" w:space="0" w:color="auto"/>
                <w:bottom w:val="none" w:sz="0" w:space="0" w:color="auto"/>
                <w:right w:val="none" w:sz="0" w:space="0" w:color="auto"/>
              </w:divBdr>
            </w:div>
            <w:div w:id="889417137">
              <w:marLeft w:val="0"/>
              <w:marRight w:val="0"/>
              <w:marTop w:val="150"/>
              <w:marBottom w:val="0"/>
              <w:divBdr>
                <w:top w:val="none" w:sz="0" w:space="0" w:color="auto"/>
                <w:left w:val="none" w:sz="0" w:space="0" w:color="auto"/>
                <w:bottom w:val="none" w:sz="0" w:space="0" w:color="auto"/>
                <w:right w:val="none" w:sz="0" w:space="0" w:color="auto"/>
              </w:divBdr>
            </w:div>
          </w:divsChild>
        </w:div>
        <w:div w:id="606691665">
          <w:marLeft w:val="0"/>
          <w:marRight w:val="0"/>
          <w:marTop w:val="525"/>
          <w:marBottom w:val="525"/>
          <w:divBdr>
            <w:top w:val="none" w:sz="0" w:space="0" w:color="auto"/>
            <w:left w:val="none" w:sz="0" w:space="0" w:color="auto"/>
            <w:bottom w:val="none" w:sz="0" w:space="0" w:color="auto"/>
            <w:right w:val="none" w:sz="0" w:space="0" w:color="auto"/>
          </w:divBdr>
          <w:divsChild>
            <w:div w:id="1610627451">
              <w:marLeft w:val="0"/>
              <w:marRight w:val="0"/>
              <w:marTop w:val="0"/>
              <w:marBottom w:val="150"/>
              <w:divBdr>
                <w:top w:val="none" w:sz="0" w:space="0" w:color="auto"/>
                <w:left w:val="none" w:sz="0" w:space="0" w:color="auto"/>
                <w:bottom w:val="none" w:sz="0" w:space="0" w:color="auto"/>
                <w:right w:val="none" w:sz="0" w:space="0" w:color="auto"/>
              </w:divBdr>
            </w:div>
            <w:div w:id="835070609">
              <w:marLeft w:val="0"/>
              <w:marRight w:val="0"/>
              <w:marTop w:val="150"/>
              <w:marBottom w:val="0"/>
              <w:divBdr>
                <w:top w:val="none" w:sz="0" w:space="0" w:color="auto"/>
                <w:left w:val="none" w:sz="0" w:space="0" w:color="auto"/>
                <w:bottom w:val="none" w:sz="0" w:space="0" w:color="auto"/>
                <w:right w:val="none" w:sz="0" w:space="0" w:color="auto"/>
              </w:divBdr>
            </w:div>
          </w:divsChild>
        </w:div>
        <w:div w:id="37895543">
          <w:marLeft w:val="0"/>
          <w:marRight w:val="0"/>
          <w:marTop w:val="525"/>
          <w:marBottom w:val="525"/>
          <w:divBdr>
            <w:top w:val="none" w:sz="0" w:space="0" w:color="auto"/>
            <w:left w:val="none" w:sz="0" w:space="0" w:color="auto"/>
            <w:bottom w:val="none" w:sz="0" w:space="0" w:color="auto"/>
            <w:right w:val="none" w:sz="0" w:space="0" w:color="auto"/>
          </w:divBdr>
          <w:divsChild>
            <w:div w:id="1938444035">
              <w:marLeft w:val="0"/>
              <w:marRight w:val="0"/>
              <w:marTop w:val="0"/>
              <w:marBottom w:val="150"/>
              <w:divBdr>
                <w:top w:val="none" w:sz="0" w:space="0" w:color="auto"/>
                <w:left w:val="none" w:sz="0" w:space="0" w:color="auto"/>
                <w:bottom w:val="none" w:sz="0" w:space="0" w:color="auto"/>
                <w:right w:val="none" w:sz="0" w:space="0" w:color="auto"/>
              </w:divBdr>
            </w:div>
            <w:div w:id="1339700331">
              <w:marLeft w:val="0"/>
              <w:marRight w:val="0"/>
              <w:marTop w:val="150"/>
              <w:marBottom w:val="0"/>
              <w:divBdr>
                <w:top w:val="none" w:sz="0" w:space="0" w:color="auto"/>
                <w:left w:val="none" w:sz="0" w:space="0" w:color="auto"/>
                <w:bottom w:val="none" w:sz="0" w:space="0" w:color="auto"/>
                <w:right w:val="none" w:sz="0" w:space="0" w:color="auto"/>
              </w:divBdr>
            </w:div>
          </w:divsChild>
        </w:div>
        <w:div w:id="1024556521">
          <w:marLeft w:val="0"/>
          <w:marRight w:val="0"/>
          <w:marTop w:val="525"/>
          <w:marBottom w:val="525"/>
          <w:divBdr>
            <w:top w:val="none" w:sz="0" w:space="0" w:color="auto"/>
            <w:left w:val="none" w:sz="0" w:space="0" w:color="auto"/>
            <w:bottom w:val="none" w:sz="0" w:space="0" w:color="auto"/>
            <w:right w:val="none" w:sz="0" w:space="0" w:color="auto"/>
          </w:divBdr>
          <w:divsChild>
            <w:div w:id="331759962">
              <w:marLeft w:val="0"/>
              <w:marRight w:val="0"/>
              <w:marTop w:val="0"/>
              <w:marBottom w:val="150"/>
              <w:divBdr>
                <w:top w:val="none" w:sz="0" w:space="0" w:color="auto"/>
                <w:left w:val="none" w:sz="0" w:space="0" w:color="auto"/>
                <w:bottom w:val="none" w:sz="0" w:space="0" w:color="auto"/>
                <w:right w:val="none" w:sz="0" w:space="0" w:color="auto"/>
              </w:divBdr>
            </w:div>
            <w:div w:id="8749722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60928804">
      <w:bodyDiv w:val="1"/>
      <w:marLeft w:val="0"/>
      <w:marRight w:val="0"/>
      <w:marTop w:val="0"/>
      <w:marBottom w:val="0"/>
      <w:divBdr>
        <w:top w:val="none" w:sz="0" w:space="0" w:color="auto"/>
        <w:left w:val="none" w:sz="0" w:space="0" w:color="auto"/>
        <w:bottom w:val="none" w:sz="0" w:space="0" w:color="auto"/>
        <w:right w:val="none" w:sz="0" w:space="0" w:color="auto"/>
      </w:divBdr>
      <w:divsChild>
        <w:div w:id="1674332210">
          <w:marLeft w:val="0"/>
          <w:marRight w:val="0"/>
          <w:marTop w:val="0"/>
          <w:marBottom w:val="0"/>
          <w:divBdr>
            <w:top w:val="none" w:sz="0" w:space="0" w:color="auto"/>
            <w:left w:val="none" w:sz="0" w:space="0" w:color="auto"/>
            <w:bottom w:val="none" w:sz="0" w:space="0" w:color="auto"/>
            <w:right w:val="none" w:sz="0" w:space="0" w:color="auto"/>
          </w:divBdr>
        </w:div>
        <w:div w:id="1138451140">
          <w:marLeft w:val="0"/>
          <w:marRight w:val="0"/>
          <w:marTop w:val="240"/>
          <w:marBottom w:val="0"/>
          <w:divBdr>
            <w:top w:val="none" w:sz="0" w:space="0" w:color="auto"/>
            <w:left w:val="none" w:sz="0" w:space="0" w:color="auto"/>
            <w:bottom w:val="none" w:sz="0" w:space="0" w:color="auto"/>
            <w:right w:val="none" w:sz="0" w:space="0" w:color="auto"/>
          </w:divBdr>
        </w:div>
      </w:divsChild>
    </w:div>
    <w:div w:id="608322009">
      <w:bodyDiv w:val="1"/>
      <w:marLeft w:val="0"/>
      <w:marRight w:val="0"/>
      <w:marTop w:val="0"/>
      <w:marBottom w:val="0"/>
      <w:divBdr>
        <w:top w:val="none" w:sz="0" w:space="0" w:color="auto"/>
        <w:left w:val="none" w:sz="0" w:space="0" w:color="auto"/>
        <w:bottom w:val="none" w:sz="0" w:space="0" w:color="auto"/>
        <w:right w:val="none" w:sz="0" w:space="0" w:color="auto"/>
      </w:divBdr>
    </w:div>
    <w:div w:id="878130060">
      <w:bodyDiv w:val="1"/>
      <w:marLeft w:val="0"/>
      <w:marRight w:val="0"/>
      <w:marTop w:val="0"/>
      <w:marBottom w:val="0"/>
      <w:divBdr>
        <w:top w:val="none" w:sz="0" w:space="0" w:color="auto"/>
        <w:left w:val="none" w:sz="0" w:space="0" w:color="auto"/>
        <w:bottom w:val="none" w:sz="0" w:space="0" w:color="auto"/>
        <w:right w:val="none" w:sz="0" w:space="0" w:color="auto"/>
      </w:divBdr>
      <w:divsChild>
        <w:div w:id="1184202333">
          <w:marLeft w:val="0"/>
          <w:marRight w:val="0"/>
          <w:marTop w:val="0"/>
          <w:marBottom w:val="0"/>
          <w:divBdr>
            <w:top w:val="none" w:sz="0" w:space="0" w:color="auto"/>
            <w:left w:val="none" w:sz="0" w:space="0" w:color="auto"/>
            <w:bottom w:val="none" w:sz="0" w:space="0" w:color="auto"/>
            <w:right w:val="none" w:sz="0" w:space="0" w:color="auto"/>
          </w:divBdr>
        </w:div>
        <w:div w:id="1438335402">
          <w:marLeft w:val="0"/>
          <w:marRight w:val="0"/>
          <w:marTop w:val="450"/>
          <w:marBottom w:val="450"/>
          <w:divBdr>
            <w:top w:val="none" w:sz="0" w:space="0" w:color="auto"/>
            <w:left w:val="none" w:sz="0" w:space="0" w:color="auto"/>
            <w:bottom w:val="none" w:sz="0" w:space="0" w:color="auto"/>
            <w:right w:val="none" w:sz="0" w:space="0" w:color="auto"/>
          </w:divBdr>
          <w:divsChild>
            <w:div w:id="244580631">
              <w:marLeft w:val="0"/>
              <w:marRight w:val="0"/>
              <w:marTop w:val="0"/>
              <w:marBottom w:val="0"/>
              <w:divBdr>
                <w:top w:val="none" w:sz="0" w:space="0" w:color="auto"/>
                <w:left w:val="none" w:sz="0" w:space="0" w:color="auto"/>
                <w:bottom w:val="none" w:sz="0" w:space="0" w:color="auto"/>
                <w:right w:val="none" w:sz="0" w:space="0" w:color="auto"/>
              </w:divBdr>
              <w:divsChild>
                <w:div w:id="546575155">
                  <w:marLeft w:val="0"/>
                  <w:marRight w:val="0"/>
                  <w:marTop w:val="0"/>
                  <w:marBottom w:val="0"/>
                  <w:divBdr>
                    <w:top w:val="none" w:sz="0" w:space="0" w:color="auto"/>
                    <w:left w:val="none" w:sz="0" w:space="0" w:color="auto"/>
                    <w:bottom w:val="none" w:sz="0" w:space="0" w:color="auto"/>
                    <w:right w:val="none" w:sz="0" w:space="0" w:color="auto"/>
                  </w:divBdr>
                  <w:divsChild>
                    <w:div w:id="744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7762">
      <w:bodyDiv w:val="1"/>
      <w:marLeft w:val="0"/>
      <w:marRight w:val="0"/>
      <w:marTop w:val="0"/>
      <w:marBottom w:val="0"/>
      <w:divBdr>
        <w:top w:val="none" w:sz="0" w:space="0" w:color="auto"/>
        <w:left w:val="none" w:sz="0" w:space="0" w:color="auto"/>
        <w:bottom w:val="none" w:sz="0" w:space="0" w:color="auto"/>
        <w:right w:val="none" w:sz="0" w:space="0" w:color="auto"/>
      </w:divBdr>
      <w:divsChild>
        <w:div w:id="167214577">
          <w:marLeft w:val="0"/>
          <w:marRight w:val="0"/>
          <w:marTop w:val="0"/>
          <w:marBottom w:val="0"/>
          <w:divBdr>
            <w:top w:val="none" w:sz="0" w:space="0" w:color="auto"/>
            <w:left w:val="none" w:sz="0" w:space="0" w:color="auto"/>
            <w:bottom w:val="none" w:sz="0" w:space="0" w:color="auto"/>
            <w:right w:val="none" w:sz="0" w:space="0" w:color="auto"/>
          </w:divBdr>
        </w:div>
      </w:divsChild>
    </w:div>
    <w:div w:id="1062486277">
      <w:bodyDiv w:val="1"/>
      <w:marLeft w:val="0"/>
      <w:marRight w:val="0"/>
      <w:marTop w:val="0"/>
      <w:marBottom w:val="0"/>
      <w:divBdr>
        <w:top w:val="none" w:sz="0" w:space="0" w:color="auto"/>
        <w:left w:val="none" w:sz="0" w:space="0" w:color="auto"/>
        <w:bottom w:val="none" w:sz="0" w:space="0" w:color="auto"/>
        <w:right w:val="none" w:sz="0" w:space="0" w:color="auto"/>
      </w:divBdr>
      <w:divsChild>
        <w:div w:id="963075522">
          <w:marLeft w:val="300"/>
          <w:marRight w:val="300"/>
          <w:marTop w:val="0"/>
          <w:marBottom w:val="0"/>
          <w:divBdr>
            <w:top w:val="none" w:sz="0" w:space="0" w:color="auto"/>
            <w:left w:val="none" w:sz="0" w:space="0" w:color="auto"/>
            <w:bottom w:val="none" w:sz="0" w:space="0" w:color="auto"/>
            <w:right w:val="none" w:sz="0" w:space="0" w:color="auto"/>
          </w:divBdr>
        </w:div>
        <w:div w:id="112218122">
          <w:marLeft w:val="300"/>
          <w:marRight w:val="0"/>
          <w:marTop w:val="0"/>
          <w:marBottom w:val="300"/>
          <w:divBdr>
            <w:top w:val="none" w:sz="0" w:space="0" w:color="auto"/>
            <w:left w:val="none" w:sz="0" w:space="0" w:color="auto"/>
            <w:bottom w:val="none" w:sz="0" w:space="0" w:color="auto"/>
            <w:right w:val="none" w:sz="0" w:space="0" w:color="auto"/>
          </w:divBdr>
        </w:div>
      </w:divsChild>
    </w:div>
    <w:div w:id="1083796117">
      <w:bodyDiv w:val="1"/>
      <w:marLeft w:val="0"/>
      <w:marRight w:val="0"/>
      <w:marTop w:val="0"/>
      <w:marBottom w:val="0"/>
      <w:divBdr>
        <w:top w:val="none" w:sz="0" w:space="0" w:color="auto"/>
        <w:left w:val="none" w:sz="0" w:space="0" w:color="auto"/>
        <w:bottom w:val="none" w:sz="0" w:space="0" w:color="auto"/>
        <w:right w:val="none" w:sz="0" w:space="0" w:color="auto"/>
      </w:divBdr>
      <w:divsChild>
        <w:div w:id="1385762485">
          <w:marLeft w:val="0"/>
          <w:marRight w:val="0"/>
          <w:marTop w:val="0"/>
          <w:marBottom w:val="0"/>
          <w:divBdr>
            <w:top w:val="none" w:sz="0" w:space="0" w:color="auto"/>
            <w:left w:val="none" w:sz="0" w:space="0" w:color="auto"/>
            <w:bottom w:val="none" w:sz="0" w:space="0" w:color="auto"/>
            <w:right w:val="none" w:sz="0" w:space="0" w:color="auto"/>
          </w:divBdr>
        </w:div>
      </w:divsChild>
    </w:div>
    <w:div w:id="1257128553">
      <w:bodyDiv w:val="1"/>
      <w:marLeft w:val="0"/>
      <w:marRight w:val="0"/>
      <w:marTop w:val="0"/>
      <w:marBottom w:val="0"/>
      <w:divBdr>
        <w:top w:val="none" w:sz="0" w:space="0" w:color="auto"/>
        <w:left w:val="none" w:sz="0" w:space="0" w:color="auto"/>
        <w:bottom w:val="none" w:sz="0" w:space="0" w:color="auto"/>
        <w:right w:val="none" w:sz="0" w:space="0" w:color="auto"/>
      </w:divBdr>
      <w:divsChild>
        <w:div w:id="1892884897">
          <w:marLeft w:val="0"/>
          <w:marRight w:val="0"/>
          <w:marTop w:val="0"/>
          <w:marBottom w:val="0"/>
          <w:divBdr>
            <w:top w:val="none" w:sz="0" w:space="0" w:color="auto"/>
            <w:left w:val="none" w:sz="0" w:space="0" w:color="auto"/>
            <w:bottom w:val="none" w:sz="0" w:space="0" w:color="auto"/>
            <w:right w:val="none" w:sz="0" w:space="0" w:color="auto"/>
          </w:divBdr>
        </w:div>
        <w:div w:id="745761064">
          <w:marLeft w:val="0"/>
          <w:marRight w:val="0"/>
          <w:marTop w:val="0"/>
          <w:marBottom w:val="0"/>
          <w:divBdr>
            <w:top w:val="none" w:sz="0" w:space="0" w:color="auto"/>
            <w:left w:val="none" w:sz="0" w:space="0" w:color="auto"/>
            <w:bottom w:val="none" w:sz="0" w:space="0" w:color="auto"/>
            <w:right w:val="none" w:sz="0" w:space="0" w:color="auto"/>
          </w:divBdr>
        </w:div>
        <w:div w:id="1412702862">
          <w:marLeft w:val="0"/>
          <w:marRight w:val="0"/>
          <w:marTop w:val="0"/>
          <w:marBottom w:val="0"/>
          <w:divBdr>
            <w:top w:val="none" w:sz="0" w:space="0" w:color="auto"/>
            <w:left w:val="none" w:sz="0" w:space="0" w:color="auto"/>
            <w:bottom w:val="none" w:sz="0" w:space="0" w:color="auto"/>
            <w:right w:val="none" w:sz="0" w:space="0" w:color="auto"/>
          </w:divBdr>
        </w:div>
        <w:div w:id="651568563">
          <w:marLeft w:val="0"/>
          <w:marRight w:val="0"/>
          <w:marTop w:val="0"/>
          <w:marBottom w:val="0"/>
          <w:divBdr>
            <w:top w:val="none" w:sz="0" w:space="0" w:color="auto"/>
            <w:left w:val="none" w:sz="0" w:space="0" w:color="auto"/>
            <w:bottom w:val="none" w:sz="0" w:space="0" w:color="auto"/>
            <w:right w:val="none" w:sz="0" w:space="0" w:color="auto"/>
          </w:divBdr>
        </w:div>
        <w:div w:id="1570847986">
          <w:marLeft w:val="0"/>
          <w:marRight w:val="0"/>
          <w:marTop w:val="0"/>
          <w:marBottom w:val="0"/>
          <w:divBdr>
            <w:top w:val="none" w:sz="0" w:space="0" w:color="auto"/>
            <w:left w:val="none" w:sz="0" w:space="0" w:color="auto"/>
            <w:bottom w:val="none" w:sz="0" w:space="0" w:color="auto"/>
            <w:right w:val="none" w:sz="0" w:space="0" w:color="auto"/>
          </w:divBdr>
        </w:div>
        <w:div w:id="508061062">
          <w:marLeft w:val="0"/>
          <w:marRight w:val="0"/>
          <w:marTop w:val="0"/>
          <w:marBottom w:val="0"/>
          <w:divBdr>
            <w:top w:val="none" w:sz="0" w:space="0" w:color="auto"/>
            <w:left w:val="none" w:sz="0" w:space="0" w:color="auto"/>
            <w:bottom w:val="none" w:sz="0" w:space="0" w:color="auto"/>
            <w:right w:val="none" w:sz="0" w:space="0" w:color="auto"/>
          </w:divBdr>
        </w:div>
        <w:div w:id="2096172786">
          <w:marLeft w:val="0"/>
          <w:marRight w:val="0"/>
          <w:marTop w:val="0"/>
          <w:marBottom w:val="0"/>
          <w:divBdr>
            <w:top w:val="none" w:sz="0" w:space="0" w:color="auto"/>
            <w:left w:val="none" w:sz="0" w:space="0" w:color="auto"/>
            <w:bottom w:val="none" w:sz="0" w:space="0" w:color="auto"/>
            <w:right w:val="none" w:sz="0" w:space="0" w:color="auto"/>
          </w:divBdr>
        </w:div>
        <w:div w:id="1885017722">
          <w:marLeft w:val="0"/>
          <w:marRight w:val="0"/>
          <w:marTop w:val="0"/>
          <w:marBottom w:val="0"/>
          <w:divBdr>
            <w:top w:val="none" w:sz="0" w:space="0" w:color="auto"/>
            <w:left w:val="none" w:sz="0" w:space="0" w:color="auto"/>
            <w:bottom w:val="none" w:sz="0" w:space="0" w:color="auto"/>
            <w:right w:val="none" w:sz="0" w:space="0" w:color="auto"/>
          </w:divBdr>
        </w:div>
        <w:div w:id="1615018312">
          <w:marLeft w:val="0"/>
          <w:marRight w:val="0"/>
          <w:marTop w:val="0"/>
          <w:marBottom w:val="0"/>
          <w:divBdr>
            <w:top w:val="none" w:sz="0" w:space="0" w:color="auto"/>
            <w:left w:val="none" w:sz="0" w:space="0" w:color="auto"/>
            <w:bottom w:val="none" w:sz="0" w:space="0" w:color="auto"/>
            <w:right w:val="none" w:sz="0" w:space="0" w:color="auto"/>
          </w:divBdr>
        </w:div>
        <w:div w:id="92819260">
          <w:marLeft w:val="0"/>
          <w:marRight w:val="0"/>
          <w:marTop w:val="0"/>
          <w:marBottom w:val="0"/>
          <w:divBdr>
            <w:top w:val="none" w:sz="0" w:space="0" w:color="auto"/>
            <w:left w:val="none" w:sz="0" w:space="0" w:color="auto"/>
            <w:bottom w:val="none" w:sz="0" w:space="0" w:color="auto"/>
            <w:right w:val="none" w:sz="0" w:space="0" w:color="auto"/>
          </w:divBdr>
        </w:div>
      </w:divsChild>
    </w:div>
    <w:div w:id="1358240390">
      <w:bodyDiv w:val="1"/>
      <w:marLeft w:val="0"/>
      <w:marRight w:val="0"/>
      <w:marTop w:val="0"/>
      <w:marBottom w:val="0"/>
      <w:divBdr>
        <w:top w:val="none" w:sz="0" w:space="0" w:color="auto"/>
        <w:left w:val="none" w:sz="0" w:space="0" w:color="auto"/>
        <w:bottom w:val="none" w:sz="0" w:space="0" w:color="auto"/>
        <w:right w:val="none" w:sz="0" w:space="0" w:color="auto"/>
      </w:divBdr>
    </w:div>
    <w:div w:id="1404984117">
      <w:bodyDiv w:val="1"/>
      <w:marLeft w:val="0"/>
      <w:marRight w:val="0"/>
      <w:marTop w:val="0"/>
      <w:marBottom w:val="0"/>
      <w:divBdr>
        <w:top w:val="none" w:sz="0" w:space="0" w:color="auto"/>
        <w:left w:val="none" w:sz="0" w:space="0" w:color="auto"/>
        <w:bottom w:val="none" w:sz="0" w:space="0" w:color="auto"/>
        <w:right w:val="none" w:sz="0" w:space="0" w:color="auto"/>
      </w:divBdr>
    </w:div>
    <w:div w:id="1480271317">
      <w:bodyDiv w:val="1"/>
      <w:marLeft w:val="0"/>
      <w:marRight w:val="0"/>
      <w:marTop w:val="0"/>
      <w:marBottom w:val="0"/>
      <w:divBdr>
        <w:top w:val="none" w:sz="0" w:space="0" w:color="auto"/>
        <w:left w:val="none" w:sz="0" w:space="0" w:color="auto"/>
        <w:bottom w:val="none" w:sz="0" w:space="0" w:color="auto"/>
        <w:right w:val="none" w:sz="0" w:space="0" w:color="auto"/>
      </w:divBdr>
      <w:divsChild>
        <w:div w:id="1556427147">
          <w:marLeft w:val="0"/>
          <w:marRight w:val="0"/>
          <w:marTop w:val="0"/>
          <w:marBottom w:val="0"/>
          <w:divBdr>
            <w:top w:val="none" w:sz="0" w:space="0" w:color="auto"/>
            <w:left w:val="none" w:sz="0" w:space="0" w:color="auto"/>
            <w:bottom w:val="none" w:sz="0" w:space="0" w:color="auto"/>
            <w:right w:val="none" w:sz="0" w:space="0" w:color="auto"/>
          </w:divBdr>
        </w:div>
        <w:div w:id="938561460">
          <w:marLeft w:val="0"/>
          <w:marRight w:val="0"/>
          <w:marTop w:val="0"/>
          <w:marBottom w:val="0"/>
          <w:divBdr>
            <w:top w:val="none" w:sz="0" w:space="0" w:color="auto"/>
            <w:left w:val="none" w:sz="0" w:space="0" w:color="auto"/>
            <w:bottom w:val="none" w:sz="0" w:space="0" w:color="auto"/>
            <w:right w:val="none" w:sz="0" w:space="0" w:color="auto"/>
          </w:divBdr>
          <w:divsChild>
            <w:div w:id="714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8483">
      <w:bodyDiv w:val="1"/>
      <w:marLeft w:val="0"/>
      <w:marRight w:val="0"/>
      <w:marTop w:val="0"/>
      <w:marBottom w:val="0"/>
      <w:divBdr>
        <w:top w:val="none" w:sz="0" w:space="0" w:color="auto"/>
        <w:left w:val="none" w:sz="0" w:space="0" w:color="auto"/>
        <w:bottom w:val="none" w:sz="0" w:space="0" w:color="auto"/>
        <w:right w:val="none" w:sz="0" w:space="0" w:color="auto"/>
      </w:divBdr>
      <w:divsChild>
        <w:div w:id="188877808">
          <w:marLeft w:val="0"/>
          <w:marRight w:val="0"/>
          <w:marTop w:val="0"/>
          <w:marBottom w:val="0"/>
          <w:divBdr>
            <w:top w:val="none" w:sz="0" w:space="0" w:color="auto"/>
            <w:left w:val="none" w:sz="0" w:space="0" w:color="auto"/>
            <w:bottom w:val="none" w:sz="0" w:space="0" w:color="auto"/>
            <w:right w:val="none" w:sz="0" w:space="0" w:color="auto"/>
          </w:divBdr>
        </w:div>
        <w:div w:id="2061129125">
          <w:marLeft w:val="0"/>
          <w:marRight w:val="0"/>
          <w:marTop w:val="0"/>
          <w:marBottom w:val="0"/>
          <w:divBdr>
            <w:top w:val="none" w:sz="0" w:space="0" w:color="auto"/>
            <w:left w:val="none" w:sz="0" w:space="0" w:color="auto"/>
            <w:bottom w:val="none" w:sz="0" w:space="0" w:color="auto"/>
            <w:right w:val="none" w:sz="0" w:space="0" w:color="auto"/>
          </w:divBdr>
        </w:div>
        <w:div w:id="1758987176">
          <w:marLeft w:val="0"/>
          <w:marRight w:val="0"/>
          <w:marTop w:val="0"/>
          <w:marBottom w:val="0"/>
          <w:divBdr>
            <w:top w:val="none" w:sz="0" w:space="0" w:color="auto"/>
            <w:left w:val="none" w:sz="0" w:space="0" w:color="auto"/>
            <w:bottom w:val="none" w:sz="0" w:space="0" w:color="auto"/>
            <w:right w:val="none" w:sz="0" w:space="0" w:color="auto"/>
          </w:divBdr>
          <w:divsChild>
            <w:div w:id="238097629">
              <w:marLeft w:val="0"/>
              <w:marRight w:val="0"/>
              <w:marTop w:val="0"/>
              <w:marBottom w:val="0"/>
              <w:divBdr>
                <w:top w:val="none" w:sz="0" w:space="0" w:color="auto"/>
                <w:left w:val="none" w:sz="0" w:space="0" w:color="auto"/>
                <w:bottom w:val="none" w:sz="0" w:space="0" w:color="auto"/>
                <w:right w:val="none" w:sz="0" w:space="0" w:color="auto"/>
              </w:divBdr>
              <w:divsChild>
                <w:div w:id="1990401757">
                  <w:marLeft w:val="0"/>
                  <w:marRight w:val="0"/>
                  <w:marTop w:val="0"/>
                  <w:marBottom w:val="0"/>
                  <w:divBdr>
                    <w:top w:val="none" w:sz="0" w:space="0" w:color="auto"/>
                    <w:left w:val="none" w:sz="0" w:space="0" w:color="auto"/>
                    <w:bottom w:val="none" w:sz="0" w:space="0" w:color="auto"/>
                    <w:right w:val="none" w:sz="0" w:space="0" w:color="auto"/>
                  </w:divBdr>
                  <w:divsChild>
                    <w:div w:id="11662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6829">
          <w:marLeft w:val="0"/>
          <w:marRight w:val="0"/>
          <w:marTop w:val="0"/>
          <w:marBottom w:val="0"/>
          <w:divBdr>
            <w:top w:val="none" w:sz="0" w:space="0" w:color="auto"/>
            <w:left w:val="none" w:sz="0" w:space="0" w:color="auto"/>
            <w:bottom w:val="none" w:sz="0" w:space="0" w:color="auto"/>
            <w:right w:val="none" w:sz="0" w:space="0" w:color="auto"/>
          </w:divBdr>
          <w:divsChild>
            <w:div w:id="786243450">
              <w:marLeft w:val="0"/>
              <w:marRight w:val="0"/>
              <w:marTop w:val="0"/>
              <w:marBottom w:val="0"/>
              <w:divBdr>
                <w:top w:val="none" w:sz="0" w:space="0" w:color="auto"/>
                <w:left w:val="none" w:sz="0" w:space="0" w:color="auto"/>
                <w:bottom w:val="none" w:sz="0" w:space="0" w:color="auto"/>
                <w:right w:val="none" w:sz="0" w:space="0" w:color="auto"/>
              </w:divBdr>
              <w:divsChild>
                <w:div w:id="894311998">
                  <w:marLeft w:val="0"/>
                  <w:marRight w:val="0"/>
                  <w:marTop w:val="0"/>
                  <w:marBottom w:val="0"/>
                  <w:divBdr>
                    <w:top w:val="none" w:sz="0" w:space="0" w:color="auto"/>
                    <w:left w:val="none" w:sz="0" w:space="0" w:color="auto"/>
                    <w:bottom w:val="none" w:sz="0" w:space="0" w:color="auto"/>
                    <w:right w:val="none" w:sz="0" w:space="0" w:color="auto"/>
                  </w:divBdr>
                  <w:divsChild>
                    <w:div w:id="15686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44343">
          <w:marLeft w:val="0"/>
          <w:marRight w:val="0"/>
          <w:marTop w:val="0"/>
          <w:marBottom w:val="0"/>
          <w:divBdr>
            <w:top w:val="none" w:sz="0" w:space="0" w:color="auto"/>
            <w:left w:val="none" w:sz="0" w:space="0" w:color="auto"/>
            <w:bottom w:val="none" w:sz="0" w:space="0" w:color="auto"/>
            <w:right w:val="none" w:sz="0" w:space="0" w:color="auto"/>
          </w:divBdr>
          <w:divsChild>
            <w:div w:id="111636338">
              <w:marLeft w:val="0"/>
              <w:marRight w:val="0"/>
              <w:marTop w:val="0"/>
              <w:marBottom w:val="0"/>
              <w:divBdr>
                <w:top w:val="none" w:sz="0" w:space="0" w:color="auto"/>
                <w:left w:val="none" w:sz="0" w:space="0" w:color="auto"/>
                <w:bottom w:val="none" w:sz="0" w:space="0" w:color="auto"/>
                <w:right w:val="none" w:sz="0" w:space="0" w:color="auto"/>
              </w:divBdr>
              <w:divsChild>
                <w:div w:id="36051256">
                  <w:marLeft w:val="0"/>
                  <w:marRight w:val="0"/>
                  <w:marTop w:val="0"/>
                  <w:marBottom w:val="0"/>
                  <w:divBdr>
                    <w:top w:val="none" w:sz="0" w:space="0" w:color="auto"/>
                    <w:left w:val="none" w:sz="0" w:space="0" w:color="auto"/>
                    <w:bottom w:val="none" w:sz="0" w:space="0" w:color="auto"/>
                    <w:right w:val="none" w:sz="0" w:space="0" w:color="auto"/>
                  </w:divBdr>
                  <w:divsChild>
                    <w:div w:id="5393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02">
          <w:marLeft w:val="0"/>
          <w:marRight w:val="0"/>
          <w:marTop w:val="0"/>
          <w:marBottom w:val="0"/>
          <w:divBdr>
            <w:top w:val="none" w:sz="0" w:space="0" w:color="auto"/>
            <w:left w:val="none" w:sz="0" w:space="0" w:color="auto"/>
            <w:bottom w:val="none" w:sz="0" w:space="0" w:color="auto"/>
            <w:right w:val="none" w:sz="0" w:space="0" w:color="auto"/>
          </w:divBdr>
        </w:div>
      </w:divsChild>
    </w:div>
    <w:div w:id="1940722273">
      <w:bodyDiv w:val="1"/>
      <w:marLeft w:val="0"/>
      <w:marRight w:val="0"/>
      <w:marTop w:val="0"/>
      <w:marBottom w:val="0"/>
      <w:divBdr>
        <w:top w:val="none" w:sz="0" w:space="0" w:color="auto"/>
        <w:left w:val="none" w:sz="0" w:space="0" w:color="auto"/>
        <w:bottom w:val="none" w:sz="0" w:space="0" w:color="auto"/>
        <w:right w:val="none" w:sz="0" w:space="0" w:color="auto"/>
      </w:divBdr>
      <w:divsChild>
        <w:div w:id="870654701">
          <w:marLeft w:val="0"/>
          <w:marRight w:val="300"/>
          <w:marTop w:val="60"/>
          <w:marBottom w:val="195"/>
          <w:divBdr>
            <w:top w:val="none" w:sz="0" w:space="0" w:color="auto"/>
            <w:left w:val="none" w:sz="0" w:space="0" w:color="auto"/>
            <w:bottom w:val="none" w:sz="0" w:space="0" w:color="auto"/>
            <w:right w:val="none" w:sz="0" w:space="0" w:color="auto"/>
          </w:divBdr>
        </w:div>
      </w:divsChild>
    </w:div>
    <w:div w:id="2074428898">
      <w:bodyDiv w:val="1"/>
      <w:marLeft w:val="0"/>
      <w:marRight w:val="0"/>
      <w:marTop w:val="0"/>
      <w:marBottom w:val="0"/>
      <w:divBdr>
        <w:top w:val="none" w:sz="0" w:space="0" w:color="auto"/>
        <w:left w:val="none" w:sz="0" w:space="0" w:color="auto"/>
        <w:bottom w:val="none" w:sz="0" w:space="0" w:color="auto"/>
        <w:right w:val="none" w:sz="0" w:space="0" w:color="auto"/>
      </w:divBdr>
      <w:divsChild>
        <w:div w:id="634216393">
          <w:marLeft w:val="0"/>
          <w:marRight w:val="0"/>
          <w:marTop w:val="0"/>
          <w:marBottom w:val="0"/>
          <w:divBdr>
            <w:top w:val="none" w:sz="0" w:space="0" w:color="auto"/>
            <w:left w:val="none" w:sz="0" w:space="0" w:color="auto"/>
            <w:bottom w:val="none" w:sz="0" w:space="0" w:color="auto"/>
            <w:right w:val="none" w:sz="0" w:space="0" w:color="auto"/>
          </w:divBdr>
        </w:div>
      </w:divsChild>
    </w:div>
    <w:div w:id="213379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nil.fr/fr/la-prospection-commerciale-par-courrier-electronique" TargetMode="External"/><Relationship Id="rId8" Type="http://schemas.openxmlformats.org/officeDocument/2006/relationships/hyperlink" Target="https://www.cnil.fr/fr/conformite-rgpd-comment-recueillir-le-consentement-des-personnes" TargetMode="External"/><Relationship Id="rId9" Type="http://schemas.openxmlformats.org/officeDocument/2006/relationships/hyperlink" Target="https://www.cnil.fr/fr/cookies-traceurs-que-dit-la-loi"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2242</Words>
  <Characters>12332</Characters>
  <Application>Microsoft Macintosh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Pascal Baudont</cp:lastModifiedBy>
  <cp:revision>2</cp:revision>
  <cp:lastPrinted>2011-11-12T09:14:00Z</cp:lastPrinted>
  <dcterms:created xsi:type="dcterms:W3CDTF">2019-10-08T09:39:00Z</dcterms:created>
  <dcterms:modified xsi:type="dcterms:W3CDTF">2019-10-08T09:39:00Z</dcterms:modified>
</cp:coreProperties>
</file>