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résultat central est sans ambiguïté : à budget, données et conditionnement identiques, la diffusion domine le GAN sur tous les axes de qualité. </w:t>
      </w:r>
      <w:r>
        <w:rPr>
          <w:rFonts w:ascii="Calibri" w:cs="Calibri" w:eastAsia="Calibri" w:hAnsi="Calibri"/>
          <w:sz w:val="22"/>
          <w:szCs w:val="22"/>
        </w:rPr>
        <w:t xml:space="preserve">L'écart le plus instructif n'est pas le FID mais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résultat est sans appel : la réponse est plate. L'âge perçu reste confiné entre 36,4 et 44,1 ans — une amplitude de 7,7 ans — alors que la consigne balaie 52 ans. Le modèle ne se contente pas d'être imprécis sur l'âge : il ignore la condition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L'explication n'est pas dans le modèle mais dans le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gagne que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est ici sans objet : une fonction d'amplitude 7,7 ans n'est pas inversible sur une plage de 52 ans. Le code le détecte et refuse la calibration (applicable : false) au lieu d'habiller une absence de contrôle par une table de correspondance. Nous le mentionnons parce que la tentation inverse — publier une calibration qui « améliore » la métrique sans rien changer au modèle — est exactement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 les 18 heures déjà investies ne sont pas perdues —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Résultats du modèle corrigé (v2)</w:t>
      </w:r>
    </w:p>
    <w:p>
      <w:pPr>
        <w:spacing w:after="160" w:line="300"/>
        <w:jc w:val="both"/>
      </w:pPr>
      <w:r>
        <w:rPr>
          <w:rFonts w:ascii="Calibri" w:cs="Calibri" w:eastAsia="Calibri" w:hAnsi="Calibri"/>
          <w:sz w:val="22"/>
          <w:szCs w:val="22"/>
        </w:rPr>
        <w:t xml:space="preserve">Le modèle v2 reprend le checkpoint v1 et l'affine 8 epochs (99 100 steps au total) avec trois changements : support d'âge continu (--age-jitter, 73 702 images), masquage indépendant par attribut, et EMA ramenée de 0,9999 à 0,999 — à 0,9999 la demi-vie de la moyenne est d'environ trois epochs, et les poids servant à l'échantillonnage n'auraient rien reflété d'un affinage aussi court. Le répertoire d'entraînement est distinct, le modèle v1 reste disponible pour la comparaison.</w:t>
      </w:r>
    </w:p>
    <w:p>
      <w:pPr>
        <w:pStyle w:val="Heading2"/>
        <w:spacing w:after="120" w:before="240"/>
      </w:pPr>
      <w:r>
        <w:rPr>
          <w:rFonts w:ascii="Calibri" w:cs="Calibri" w:eastAsia="Calibri" w:hAnsi="Calibri"/>
        </w:rPr>
        <w:t xml:space="preserve">7.1 Le contrôle d'âge, avant et après</w:t>
      </w:r>
    </w:p>
    <w:p>
      <w:pPr>
        <w:spacing w:after="60" w:before="160"/>
        <w:jc w:val="center"/>
      </w:pPr>
      <w:r>
        <w:drawing>
          <wp:inline distT="0" distB="0" distL="0" distR="0">
            <wp:extent cx="5486400" cy="228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6 - Fonction de réponse en âge : v1, v2, et v2 sous guidage d'âge compositionnel. À droite, l'erreur par âge demandé ; la ligne pointillée marque l'erreur du juge sur images réelles (6,5 ans), plancher en deçà duquel la mesure ne distingue plus rien.</w:t>
      </w:r>
    </w:p>
    <w:p>
      <w:pPr>
        <w:spacing w:after="160" w:line="300"/>
        <w:jc w:val="both"/>
      </w:pPr>
      <w:r>
        <w:rPr>
          <w:rFonts w:ascii="Calibri" w:cs="Calibri" w:eastAsia="Calibri" w:hAnsi="Calibri"/>
          <w:sz w:val="22"/>
          <w:szCs w:val="22"/>
        </w:rPr>
        <w:t xml:space="preserve">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pPr>
        <w:spacing w:after="160" w:line="300"/>
        <w:jc w:val="both"/>
      </w:pPr>
      <w:r>
        <w:rPr>
          <w:rFonts w:ascii="Calibri" w:cs="Calibri" w:eastAsia="Calibri" w:hAnsi="Calibri"/>
          <w:sz w:val="22"/>
          <w:szCs w:val="22"/>
        </w:rPr>
        <w:t xml:space="preserve">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C'est le diagnostic du §6 qui rend cette décomposition possible : une MAE agrégée n'aurait signalé ni la cause ni la part de chaque remède.</w:t>
      </w:r>
    </w:p>
    <w:p>
      <w:pPr>
        <w:pStyle w:val="Heading2"/>
        <w:spacing w:after="120" w:before="240"/>
      </w:pPr>
      <w:r>
        <w:rPr>
          <w:rFonts w:ascii="Calibri" w:cs="Calibri" w:eastAsia="Calibri" w:hAnsi="Calibri"/>
        </w:rPr>
        <w:t xml:space="preserve">7.2 Métriques globales : v2 contre v1</w:t>
      </w:r>
    </w:p>
    <w:p>
      <w:pPr>
        <w:pStyle w:val="ListParagraph"/>
        <w:numPr>
          <w:ilvl w:val="0"/>
          <w:numId w:val="2"/>
        </w:numPr>
        <w:spacing w:after="80" w:line="300"/>
        <w:jc w:val="both"/>
      </w:pPr>
      <w:r>
        <w:rPr>
          <w:rFonts w:ascii="Calibri" w:cs="Calibri" w:eastAsia="Calibri" w:hAnsi="Calibri"/>
          <w:b/>
          <w:bCs/>
          <w:sz w:val="22"/>
          <w:szCs w:val="22"/>
        </w:rPr>
        <w:t xml:space="preserve">FID 40,2 → 24,0 : </w:t>
      </w:r>
      <w:r>
        <w:rPr>
          <w:rFonts w:ascii="Calibri" w:cs="Calibri" w:eastAsia="Calibri" w:hAnsi="Calibri"/>
          <w:sz w:val="22"/>
          <w:szCs w:val="22"/>
        </w:rPr>
        <w:t xml:space="preserve">gain de 40 % du réalisme distributionnel. Il ne s'attribue pas au correctif d'âge mais aux 8 epochs supplémentaires et aux 9 103 images de 18-19 ans récupérées ; nous le rapportons comme tel.</w:t>
      </w:r>
    </w:p>
    <w:p>
      <w:pPr>
        <w:pStyle w:val="ListParagraph"/>
        <w:numPr>
          <w:ilvl w:val="0"/>
          <w:numId w:val="2"/>
        </w:numPr>
        <w:spacing w:after="80" w:line="300"/>
        <w:jc w:val="both"/>
      </w:pPr>
      <w:r>
        <w:rPr>
          <w:rFonts w:ascii="Calibri" w:cs="Calibri" w:eastAsia="Calibri" w:hAnsi="Calibri"/>
          <w:b/>
          <w:bCs/>
          <w:sz w:val="22"/>
          <w:szCs w:val="22"/>
        </w:rPr>
        <w:t xml:space="preserve">MAE d'âge 12,5 → 10,8 ans à guidage standard, </w:t>
      </w:r>
      <w:r>
        <w:rPr>
          <w:rFonts w:ascii="Calibri" w:cs="Calibri" w:eastAsia="Calibri" w:hAnsi="Calibri"/>
          <w:sz w:val="22"/>
          <w:szCs w:val="22"/>
        </w:rPr>
        <w:t xml:space="preserve">et 5,8 ans sous guidage d'âge — contre 6,5 ans d'erreur du juge sur images réelles.</w:t>
      </w:r>
    </w:p>
    <w:p>
      <w:pPr>
        <w:pStyle w:val="ListParagraph"/>
        <w:numPr>
          <w:ilvl w:val="0"/>
          <w:numId w:val="2"/>
        </w:numPr>
        <w:spacing w:after="80" w:line="300"/>
        <w:jc w:val="both"/>
      </w:pPr>
      <w:r>
        <w:rPr>
          <w:rFonts w:ascii="Calibri" w:cs="Calibri" w:eastAsia="Calibri" w:hAnsi="Calibri"/>
          <w:b/>
          <w:bCs/>
          <w:sz w:val="22"/>
          <w:szCs w:val="22"/>
        </w:rPr>
        <w:t xml:space="preserve">IS 3,35 → 3,31 et diversité LPIPS 0,401 → 0,388 : </w:t>
      </w:r>
      <w:r>
        <w:rPr>
          <w:rFonts w:ascii="Calibri" w:cs="Calibri" w:eastAsia="Calibri" w:hAnsi="Calibri"/>
          <w:sz w:val="22"/>
          <w:szCs w:val="22"/>
        </w:rPr>
        <w:t xml:space="preserve">inchangés aux fluctuations près ; aucun mode collapse n'apparaît.</w:t>
      </w:r>
    </w:p>
    <w:p>
      <w:pPr>
        <w:pStyle w:val="ListParagraph"/>
        <w:numPr>
          <w:ilvl w:val="0"/>
          <w:numId w:val="2"/>
        </w:numPr>
        <w:spacing w:after="80" w:line="300"/>
        <w:jc w:val="both"/>
      </w:pPr>
      <w:r>
        <w:rPr>
          <w:rFonts w:ascii="Calibri" w:cs="Calibri" w:eastAsia="Calibri" w:hAnsi="Calibri"/>
          <w:b/>
          <w:bCs/>
          <w:sz w:val="22"/>
          <w:szCs w:val="22"/>
        </w:rPr>
        <w:t xml:space="preserve">Genre 89,6 → 86,8 % et peau 45,8 → 44,7 % : </w:t>
      </w:r>
      <w:r>
        <w:rPr>
          <w:rFonts w:ascii="Calibri" w:cs="Calibri" w:eastAsia="Calibri" w:hAnsi="Calibri"/>
          <w:sz w:val="22"/>
          <w:szCs w:val="22"/>
        </w:rPr>
        <w:t xml:space="preserve">légère baisse, cohérente avec le budget de conditionnement analysé en §7.3.</w:t>
      </w:r>
    </w:p>
    <w:p>
      <w:pPr>
        <w:spacing w:after="160" w:line="300"/>
        <w:jc w:val="both"/>
      </w:pPr>
      <w:r>
        <w:rPr>
          <w:rFonts w:ascii="Calibri" w:cs="Calibri" w:eastAsia="Calibri" w:hAnsi="Calibri"/>
          <w:sz w:val="22"/>
          <w:szCs w:val="22"/>
        </w:rPr>
        <w:t xml:space="preserve">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 conclusion cohérente avec le §4 et qu'il serait malhonnête de présenter comme un progrès d'équité.</w:t>
      </w:r>
    </w:p>
    <w:p>
      <w:pPr>
        <w:pStyle w:val="Heading2"/>
        <w:spacing w:after="120" w:before="240"/>
      </w:pPr>
      <w:r>
        <w:rPr>
          <w:rFonts w:ascii="Calibri" w:cs="Calibri" w:eastAsia="Calibri" w:hAnsi="Calibri"/>
        </w:rPr>
        <w:t xml:space="preserve">7.3 Le conditionnement partagé impose un budget entre attributs</w:t>
      </w:r>
    </w:p>
    <w:p>
      <w:pPr>
        <w:spacing w:after="160" w:line="300"/>
        <w:jc w:val="both"/>
      </w:pPr>
      <w:r>
        <w:rPr>
          <w:rFonts w:ascii="Calibri" w:cs="Calibri" w:eastAsia="Calibri" w:hAnsi="Calibri"/>
          <w:sz w:val="22"/>
          <w:szCs w:val="22"/>
        </w:rPr>
        <w:t xml:space="preserve">Le guidage propre à l'âge a été mesuré sous deux formes. La forme compositionnelle pure remplace la condition conjointe par une somme de branches mono-attribut : l'âge gagne (MAE 5,8 ans) mais tout le reste s'effondre (FID 24,0 → 56,4, genre 86,8 → 67,7 %). La forme hybride, qui conserve la branche conjointe et n'ajoute qu'un supplément d'âge, avait été conçue pour éviter cette perte. Elle ne l'évite pas : elle l'adoucit.</w:t>
      </w:r>
    </w:p>
    <w:p>
      <w:pPr>
        <w:spacing w:after="60" w:before="160"/>
        <w:jc w:val="center"/>
      </w:pPr>
      <w:r>
        <w:drawing>
          <wp:inline distT="0" distB="0" distL="0" distR="0">
            <wp:extent cx="4114800" cy="2939142"/>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939142"/>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7 - Guidage d'âge hybride : chaque année de MAE gagnée coûte environ 3,5 points de fidélité au genre. Le compromis est linéaire et sans point d'inflexion — il n'existe pas de réglage gratuit.</w:t>
      </w:r>
    </w:p>
    <w:p>
      <w:pPr>
        <w:spacing w:after="160" w:line="300"/>
        <w:jc w:val="both"/>
      </w:pPr>
      <w:r>
        <w:rPr>
          <w:rFonts w:ascii="Calibri" w:cs="Calibri" w:eastAsia="Calibri" w:hAnsi="Calibri"/>
          <w:sz w:val="22"/>
          <w:szCs w:val="22"/>
        </w:rPr>
        <w:t xml:space="preserve">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pPr>
        <w:pStyle w:val="Heading1"/>
        <w:spacing w:after="200" w:before="360"/>
      </w:pPr>
      <w:r>
        <w:rPr>
          <w:rFonts w:ascii="Calibri" w:cs="Calibri" w:eastAsia="Calibri" w:hAnsi="Calibri"/>
        </w:rPr>
        <w:t xml:space="preserve">8. Réglage livré</w:t>
      </w:r>
    </w:p>
    <w:p>
      <w:pPr>
        <w:spacing w:after="160" w:line="300"/>
        <w:jc w:val="both"/>
      </w:pPr>
      <w:r>
        <w:rPr>
          <w:rFonts w:ascii="Calibri" w:cs="Calibri" w:eastAsia="Calibri" w:hAnsi="Calibri"/>
          <w:sz w:val="22"/>
          <w:szCs w:val="22"/>
        </w:rPr>
        <w:t xml:space="preserve">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pPr>
        <w:pStyle w:val="Heading1"/>
        <w:spacing w:after="200" w:before="360"/>
      </w:pPr>
      <w:r>
        <w:rPr>
          <w:rFonts w:ascii="Calibri" w:cs="Calibri" w:eastAsia="Calibri" w:hAnsi="Calibri"/>
        </w:rPr>
        <w:t xml:space="preserve">9. Tentative de montée en résolution : un échec instructif</w:t>
      </w:r>
    </w:p>
    <w:p>
      <w:pPr>
        <w:spacing w:after="160" w:line="300"/>
        <w:jc w:val="both"/>
      </w:pPr>
      <w:r>
        <w:rPr>
          <w:rFonts w:ascii="Calibri" w:cs="Calibri" w:eastAsia="Calibri" w:hAnsi="Calibri"/>
          <w:sz w:val="22"/>
          <w:szCs w:val="22"/>
        </w:rPr>
        <w:t xml:space="preserve">La résolution de 48 px étant la limite la plus visible du système, nous avons tenté de la doubler dans le temps restant. L'architecture s'y prête sans modification : l'attention étant placée à résolution/4, elle reste au troisième étage quelle que soit la taille d'entrée, et la liste des modules — donc les clés du state_dict — demeure identique. Le modèle 96 px a ainsi pu repartir des poids de v2 (vérification : zéro clé manquante, zéro clé inattendue) plutôt que d'un tirage aléatoire.</w:t>
      </w:r>
    </w:p>
    <w:p>
      <w:pPr>
        <w:spacing w:after="160" w:line="300"/>
        <w:jc w:val="both"/>
      </w:pPr>
      <w:r>
        <w:rPr>
          <w:rFonts w:ascii="Calibri" w:cs="Calibri" w:eastAsia="Calibri" w:hAnsi="Calibri"/>
          <w:sz w:val="22"/>
          <w:szCs w:val="22"/>
        </w:rPr>
        <w:t xml:space="preserve">Le débit mesuré est de 11,4 images par seconde contre 37 en 48 px, soit 107 minutes par epoch. Sur le budget disponible, 8,3 epochs ont été effectuées sur les 14 prévues.</w:t>
      </w:r>
    </w:p>
    <w:p>
      <w:pPr>
        <w:pStyle w:val="Heading2"/>
        <w:spacing w:after="120" w:before="240"/>
      </w:pPr>
      <w:r>
        <w:rPr>
          <w:rFonts w:ascii="Calibri" w:cs="Calibri" w:eastAsia="Calibri" w:hAnsi="Calibri"/>
        </w:rPr>
        <w:t xml:space="preserve">9.1 Ce qui a fonctionné : la qualité d'image</w:t>
      </w:r>
    </w:p>
    <w:p>
      <w:pPr>
        <w:spacing w:after="160" w:line="300"/>
        <w:jc w:val="both"/>
      </w:pPr>
      <w:r>
        <w:rPr>
          <w:rFonts w:ascii="Calibri" w:cs="Calibri" w:eastAsia="Calibri" w:hAnsi="Calibri"/>
          <w:sz w:val="22"/>
          <w:szCs w:val="22"/>
        </w:rPr>
        <w:t xml:space="preserve">Le suivi de qualité s'appuie sur les grilles de contrôle écrites périodiquement pendant l'entraînement (src/grid_stats.py). Elles sont échantillonnées avec les poids EMA et constituent donc un échantillon gratuit du modèle courant : deux indicateurs y sont mesurés — dérive colorimétrique et énergie du laplacien — puis comparés à la distribution des images réelles à la même résolution. Ce dispositif permet d'arbitrer en cours de route sans immobiliser le GPU.</w:t>
      </w:r>
    </w:p>
    <w:p>
      <w:pPr>
        <w:pStyle w:val="ListParagraph"/>
        <w:numPr>
          <w:ilvl w:val="0"/>
          <w:numId w:val="2"/>
        </w:numPr>
        <w:spacing w:after="80" w:line="300"/>
        <w:jc w:val="both"/>
      </w:pPr>
      <w:r>
        <w:rPr>
          <w:rFonts w:ascii="Calibri" w:cs="Calibri" w:eastAsia="Calibri" w:hAnsi="Calibri"/>
          <w:b/>
          <w:bCs/>
          <w:sz w:val="22"/>
          <w:szCs w:val="22"/>
        </w:rPr>
        <w:t xml:space="preserve">Reprise de structure en 2 000 steps : </w:t>
      </w:r>
      <w:r>
        <w:rPr>
          <w:rFonts w:ascii="Calibri" w:cs="Calibri" w:eastAsia="Calibri" w:hAnsi="Calibri"/>
          <w:sz w:val="22"/>
          <w:szCs w:val="22"/>
        </w:rPr>
        <w:t xml:space="preserve">la première grille après le changement de résolution montre des visages dupliqués et empilés — des filtres calibrés pour un visage de 48 px se déclenchent plusieurs fois sur une image deux fois plus grande. Le défaut disparaît en une cinquantaine de minutes.</w:t>
      </w:r>
    </w:p>
    <w:p>
      <w:pPr>
        <w:pStyle w:val="ListParagraph"/>
        <w:numPr>
          <w:ilvl w:val="0"/>
          <w:numId w:val="2"/>
        </w:numPr>
        <w:spacing w:after="80" w:line="300"/>
        <w:jc w:val="both"/>
      </w:pPr>
      <w:r>
        <w:rPr>
          <w:rFonts w:ascii="Calibri" w:cs="Calibri" w:eastAsia="Calibri" w:hAnsi="Calibri"/>
          <w:b/>
          <w:bCs/>
          <w:sz w:val="22"/>
          <w:szCs w:val="22"/>
        </w:rPr>
        <w:t xml:space="preserve">Netteté de 58 % à 76 % du réel entre les epochs 51 et 54, </w:t>
      </w:r>
      <w:r>
        <w:rPr>
          <w:rFonts w:ascii="Calibri" w:cs="Calibri" w:eastAsia="Calibri" w:hAnsi="Calibri"/>
          <w:sz w:val="22"/>
          <w:szCs w:val="22"/>
        </w:rPr>
        <w:t xml:space="preserve">et dérive colorimétrique ramenée au niveau des images réelles (0,176 contre 0,174). À taille d'affichage égale, le modèle 96 px produit 76 % de la netteté du réel là où v2 agrandi par interpolation n'en atteint que 46 % : le gain visuel recherché est réel et mesurable.</w:t>
      </w:r>
    </w:p>
    <w:p>
      <w:pPr>
        <w:spacing w:after="160" w:line="300"/>
        <w:jc w:val="both"/>
      </w:pPr>
      <w:r>
        <w:rPr>
          <w:rFonts w:ascii="Calibri" w:cs="Calibri" w:eastAsia="Calibri" w:hAnsi="Calibri"/>
          <w:sz w:val="22"/>
          <w:szCs w:val="22"/>
        </w:rPr>
        <w:t xml:space="preserve">Une précaution de lecture s'est révélée nécessaire : une netteté très SUPÉRIEURE au réel ne signale pas du détail mais de la texture parasite. Les premières grilles atteignent 240 % ; nous avons d'abord interprété la décroissance qui suit comme une régression, avant de comprendre qu'il s'agissait de la traversée du régime d'artefacts.</w:t>
      </w:r>
    </w:p>
    <w:p>
      <w:pPr>
        <w:pStyle w:val="Heading2"/>
        <w:spacing w:after="120" w:before="240"/>
      </w:pPr>
      <w:r>
        <w:rPr>
          <w:rFonts w:ascii="Calibri" w:cs="Calibri" w:eastAsia="Calibri" w:hAnsi="Calibri"/>
        </w:rPr>
        <w:t xml:space="preserve">9.2 Ce qui a échoué : le contrôle d'âge</w:t>
      </w:r>
    </w:p>
    <w:p>
      <w:pPr>
        <w:spacing w:after="60" w:before="160"/>
        <w:jc w:val="center"/>
      </w:pPr>
      <w:r>
        <w:drawing>
          <wp:inline distT="0" distB="0" distL="0" distR="0">
            <wp:extent cx="4572000" cy="326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26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8 - Réponse en âge du modèle 96 px après 8,3 epochs. La courbe est de nouveau plate : l'âge perçu reste entre 29 et 40 ans quelle que soit la consigne.</w:t>
      </w:r>
    </w:p>
    <w:p>
      <w:pPr>
        <w:spacing w:after="160" w:line="300"/>
        <w:jc w:val="both"/>
      </w:pPr>
      <w:r>
        <w:rPr>
          <w:rFonts w:ascii="Calibri" w:cs="Calibri" w:eastAsia="Calibri" w:hAnsi="Calibri"/>
          <w:sz w:val="22"/>
          <w:szCs w:val="22"/>
        </w:rPr>
        <w:t xml:space="preserve">Le conditionnement, lui, ne s'est pas transféré. L'amplitude de réponse en âge retombe à 10,8 ans et la MAE à 14,0 ans — le niveau de v1, c'est-à-dire l'état que la correction du §6 avait précisément levé. Les poids de conditionnement ont pourtant été repris intégralement : ce n'est pas une perte d'information mais une réadaptation inachevée. Le modèle a rétabli ses priorités dans l'ordre où le signal est le plus fort — structure, puis couleur — et le contrôle d'âge, déjà l'attribut le plus faible (§7.3), serait venu en dernier. Huit epochs sur quatorze n'y ont pas suffi.</w:t>
      </w:r>
    </w:p>
    <w:p>
      <w:pPr>
        <w:pStyle w:val="Heading2"/>
        <w:spacing w:after="120" w:before="240"/>
      </w:pPr>
      <w:r>
        <w:rPr>
          <w:rFonts w:ascii="Calibri" w:cs="Calibri" w:eastAsia="Calibri" w:hAnsi="Calibri"/>
        </w:rPr>
        <w:t xml:space="preserve">9.3 Décision et enseignement</w:t>
      </w:r>
    </w:p>
    <w:p>
      <w:pPr>
        <w:spacing w:after="160" w:line="300"/>
        <w:jc w:val="both"/>
      </w:pPr>
      <w:r>
        <w:rPr>
          <w:rFonts w:ascii="Calibri" w:cs="Calibri" w:eastAsia="Calibri" w:hAnsi="Calibri"/>
          <w:sz w:val="22"/>
          <w:szCs w:val="22"/>
        </w:rPr>
        <w:t xml:space="preserve">Le modèle livré reste donc v2 en 48 px. Le sujet demande un contrôle précis des attributs ; la résolution est une contrainte de moyens, documentée et assumée. Échanger un contrôle acquis et mesuré contre du piqué reviendrait à troquer une exigence contre un agrément.</w:t>
      </w:r>
    </w:p>
    <w:p>
      <w:pPr>
        <w:spacing w:after="160" w:line="300"/>
        <w:jc w:val="both"/>
      </w:pPr>
      <w:r>
        <w:rPr>
          <w:rFonts w:ascii="Calibri" w:cs="Calibri" w:eastAsia="Calibri" w:hAnsi="Calibri"/>
          <w:sz w:val="22"/>
          <w:szCs w:val="22"/>
        </w:rPr>
        <w:t xml:space="preserve">L'enseignement dépasse ce cas particulier. Un changement de résolution n'est pas une opération neutre sur un modèle conditionnel : il renégocie l'ordre dans lequel le réseau réalloue sa capacité, et les attributs les plus faiblement portés sont les premiers sacrifiés. Mesurer la seule qualité d'image aurait conclu au succès — les deux indicateurs visuels étaient au vert au moment de l'arrêt. C'est la courbe de réponse en âge, instrument construit au §6 pour un tout autre problème, qui a évité de livrer un modèle plus joli et moins contrôlable.</w:t>
      </w:r>
    </w:p>
    <w:p>
      <w:pPr>
        <w:pStyle w:val="Heading1"/>
        <w:spacing w:after="200" w:before="360"/>
      </w:pPr>
      <w:r>
        <w:rPr>
          <w:rFonts w:ascii="Calibri" w:cs="Calibri" w:eastAsia="Calibri" w:hAnsi="Calibri"/>
        </w:rPr>
        <w:t xml:space="preserve">10.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11.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 Id="rId14" Type="http://schemas.openxmlformats.org/officeDocument/2006/relationships/image" Target="media/edeea541f26ce13dbd12791302e70a80ace9ba70.png"/><Relationship Id="rId15" Type="http://schemas.openxmlformats.org/officeDocument/2006/relationships/image" Target="media/283098738affd9d1771a1c3592a01b11335d313b.png"/><Relationship Id="rId16" Type="http://schemas.openxmlformats.org/officeDocument/2006/relationships/image" Target="media/c1d3344add121d7ef771345feb05adb052675e6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