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Calibri Light" w:cs="Calibri Light" w:eastAsia="Calibri Light" w:hAnsi="Calibri Light"/>
          <w:b/>
          <w:bCs/>
          <w:color w:val="4F46A8"/>
          <w:sz w:val="52"/>
          <w:szCs w:val="52"/>
        </w:rPr>
        <w:t xml:space="preserve">EXPÉRIENCES ET RÉSULTATS</w:t>
      </w:r>
    </w:p>
    <w:p>
      <w:pPr>
        <w:spacing w:after="500"/>
        <w:jc w:val="center"/>
      </w:pPr>
      <w:r>
        <w:rPr>
          <w:rFonts w:ascii="Calibri Light" w:cs="Calibri Light" w:eastAsia="Calibri Light" w:hAnsi="Calibri Light"/>
          <w:color w:val="666666"/>
          <w:sz w:val="30"/>
          <w:szCs w:val="30"/>
        </w:rPr>
        <w:t xml:space="preserve">Génération de visages photo-réalistes avec contrôle d'attributs</w:t>
      </w:r>
    </w:p>
    <w:p>
      <w:pPr>
        <w:spacing w:after="1000"/>
        <w:jc w:val="center"/>
      </w:pPr>
      <w:r>
        <w:rPr>
          <w:rFonts w:ascii="Calibri" w:cs="Calibri" w:eastAsia="Calibri" w:hAnsi="Calibri"/>
          <w:i/>
          <w:iCs/>
          <w:color w:val="444444"/>
          <w:sz w:val="22"/>
          <w:szCs w:val="22"/>
        </w:rPr>
        <w:t xml:space="preserve">DDPM conditionnel + Classifier-Free Guidance vs cGAN - entraînement from scratch sur FairFace</w:t>
      </w:r>
    </w:p>
    <w:p>
      <w:pPr>
        <w:jc w:val="center"/>
      </w:pPr>
      <w:r>
        <w:rPr>
          <w:rFonts w:ascii="Calibri" w:cs="Calibri" w:eastAsia="Calibri" w:hAnsi="Calibri"/>
          <w:sz w:val="22"/>
          <w:szCs w:val="22"/>
        </w:rPr>
        <w:t xml:space="preserve">Projet MSC AIC - IA Générative - complément de l'état de l'art</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Protocole expérimental</w:t>
      </w:r>
    </w:p>
    <w:p>
      <w:pPr>
        <w:pStyle w:val="Heading2"/>
        <w:spacing w:after="160" w:before="280"/>
      </w:pPr>
      <w:r>
        <w:rPr>
          <w:rFonts w:ascii="Calibri" w:cs="Calibri" w:eastAsia="Calibri" w:hAnsi="Calibri"/>
        </w:rPr>
        <w:t xml:space="preserve">1.1 Données et matériel</w:t>
      </w:r>
    </w:p>
    <w:p>
      <w:pPr>
        <w:spacing w:after="160" w:line="300"/>
        <w:jc w:val="both"/>
      </w:pPr>
      <w:r>
        <w:rPr>
          <w:rFonts w:ascii="Calibri" w:cs="Calibri" w:eastAsia="Calibri" w:hAnsi="Calibri"/>
          <w:sz w:val="22"/>
          <w:szCs w:val="22"/>
        </w:rPr>
        <w:t xml:space="preserve">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pPr>
        <w:spacing w:after="160" w:line="300"/>
        <w:jc w:val="both"/>
      </w:pPr>
      <w:r>
        <w:rPr>
          <w:rFonts w:ascii="Calibri" w:cs="Calibri" w:eastAsia="Calibri" w:hAnsi="Calibri"/>
          <w:sz w:val="22"/>
          <w:szCs w:val="22"/>
        </w:rPr>
        <w:t xml:space="preserve">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pPr>
        <w:pStyle w:val="Heading2"/>
        <w:spacing w:after="160" w:before="280"/>
      </w:pPr>
      <w:r>
        <w:rPr>
          <w:rFonts w:ascii="Calibri" w:cs="Calibri" w:eastAsia="Calibri" w:hAnsi="Calibri"/>
        </w:rPr>
        <w:t xml:space="preserve">1.2 Modèles entraînés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650"/>
        <w:gridCol w:w="1700"/>
        <w:gridCol w:w="1300"/>
        <w:gridCol w:w="3700"/>
      </w:tblGrid>
      <w:tr>
        <w:trPr>
          <w:tblHeader/>
        </w:trPr>
        <w:tc>
          <w:tcPr>
            <w:tcW w:type="dxa" w:w="26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Modèle</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Rôle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Paramètres</w:t>
            </w:r>
          </w:p>
        </w:tc>
        <w:tc>
          <w:tcPr>
            <w:tcW w:type="dxa" w:w="3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Entraînement</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DDPM conditionnel (UNet + CFG)</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approche principale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15,9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epochs / 80 720 steps / ~18 h (52 img/s), lr 1e-4, EMA 0,9999, cosine schedule, masquage condition p=0,1</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à projection (hinge loss)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méthode de référence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~78 Mo (G+D)</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 epochs, 48 px, mêmes encodages d'attributs</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ResNet-18 tri-têtes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juge de fidélité</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11,7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 epochs ; val : genre 92,9 %, peau 62,1 %, MAE âge 6,5 ans</w:t>
            </w:r>
          </w:p>
        </w:tc>
      </w:tr>
    </w:tbl>
    <w:p>
      <w:pPr>
        <w:spacing w:after="120"/>
      </w:pPr>
    </w:p>
    <w:p>
      <w:pPr>
        <w:spacing w:after="160" w:line="300"/>
        <w:jc w:val="both"/>
      </w:pPr>
      <w:r>
        <w:rPr>
          <w:rFonts w:ascii="Calibri" w:cs="Calibri" w:eastAsia="Calibri" w:hAnsi="Calibri"/>
          <w:b/>
          <w:bCs/>
          <w:sz w:val="22"/>
          <w:szCs w:val="22"/>
        </w:rPr>
        <w:t xml:space="preserve">Protocole d'équité stricte : </w:t>
      </w:r>
      <w:r>
        <w:rPr>
          <w:rFonts w:ascii="Calibri" w:cs="Calibri" w:eastAsia="Calibri" w:hAnsi="Calibri"/>
          <w:sz w:val="22"/>
          <w:szCs w:val="22"/>
        </w:rPr>
        <w:t xml:space="preserve">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pPr>
        <w:spacing w:after="160" w:line="300"/>
        <w:jc w:val="both"/>
      </w:pPr>
      <w:r>
        <w:rPr>
          <w:rFonts w:ascii="Calibri" w:cs="Calibri" w:eastAsia="Calibri" w:hAnsi="Calibri"/>
          <w:b/>
          <w:bCs/>
          <w:sz w:val="22"/>
          <w:szCs w:val="22"/>
        </w:rPr>
        <w:t xml:space="preserve">Limite du juge : </w:t>
      </w:r>
      <w:r>
        <w:rPr>
          <w:rFonts w:ascii="Calibri" w:cs="Calibri" w:eastAsia="Calibri" w:hAnsi="Calibri"/>
          <w:sz w:val="22"/>
          <w:szCs w:val="22"/>
        </w:rPr>
        <w:t xml:space="preserve">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pPr>
        <w:pStyle w:val="Heading2"/>
        <w:spacing w:after="120" w:before="240"/>
      </w:pPr>
      <w:r>
        <w:rPr>
          <w:rFonts w:ascii="Calibri" w:cs="Calibri" w:eastAsia="Calibri" w:hAnsi="Calibri"/>
        </w:rPr>
        <w:t xml:space="preserve">1.3 Préprocessing et encodage des attributs</w:t>
      </w:r>
    </w:p>
    <w:p>
      <w:pPr>
        <w:spacing w:after="160" w:line="300"/>
        <w:jc w:val="both"/>
      </w:pPr>
      <w:r>
        <w:rPr>
          <w:rFonts w:ascii="Calibri" w:cs="Calibri" w:eastAsia="Calibri" w:hAnsi="Calibri"/>
          <w:sz w:val="22"/>
          <w:szCs w:val="22"/>
        </w:rPr>
        <w:t xml:space="preserve">Chaque image traverse la même chaîne avant d'atteindre le réseau : redimensionnement au format cible, recadrage centré, puis normalisation linéaire des trois canaux vers l'intervalle [-1, 1], domaine attendu par le processus de diffusion gaussien. L'augmentation se limite à une symétrie horizontale aléatoire (probabilité 0,5), appliquée à l'entraînement seulement. Ce choix est délibéré : rotations, recadrages agressifs et perturbations colorimétriques altéreraient précisément les indices dont dépendent les attributs conditionnés, la tonalité de peau au premier chef. Une augmentation trop riche aurait dégradé le contrôle que le sujet demande d'obtenir.</w:t>
      </w:r>
    </w:p>
    <w:p>
      <w:pPr>
        <w:spacing w:after="160" w:line="300"/>
        <w:jc w:val="both"/>
      </w:pPr>
      <w:r>
        <w:rPr>
          <w:rFonts w:ascii="Calibri" w:cs="Calibri" w:eastAsia="Calibri" w:hAnsi="Calibri"/>
          <w:sz w:val="22"/>
          <w:szCs w:val="22"/>
        </w:rPr>
        <w:t xml:space="preserve">Les trois attributs suivent des encodages distincts, adaptés à leur nature. Le genre et la tonalité de peau, catégoriels, passent par des tables d'embeddings apprises (2 et 7 entrées). L'âge, continu, est normalisé sur [0, 1] depuis l'intervalle 18-70 ans puis projeté par embedding sinusoïdal suivi d'un perceptron : cet encodage autorise l'interpolation entre deux âges quelconques, ce qu'un encodage par classes interdirait. Les trois vecteurs sont sommés puis injectés dans chaque bloc résiduel du UNet, au même titre que l'embedding temporel. Le §7.3 montre que cette mise en commun a un coût, mesuré.</w:t>
      </w:r>
    </w:p>
    <w:p>
      <w:pPr>
        <w:pStyle w:val="Heading2"/>
        <w:spacing w:after="120" w:before="240"/>
      </w:pPr>
      <w:r>
        <w:rPr>
          <w:rFonts w:ascii="Calibri" w:cs="Calibri" w:eastAsia="Calibri" w:hAnsi="Calibri"/>
        </w:rPr>
        <w:t xml:space="preserve">1.4 Latence de génération</w:t>
      </w:r>
    </w:p>
    <w:p>
      <w:pPr>
        <w:spacing w:after="160" w:line="300"/>
        <w:jc w:val="both"/>
      </w:pPr>
      <w:r>
        <w:rPr>
          <w:rFonts w:ascii="Calibri" w:cs="Calibri" w:eastAsia="Calibri" w:hAnsi="Calibri"/>
          <w:sz w:val="22"/>
          <w:szCs w:val="22"/>
        </w:rPr>
        <w:t xml:space="preserve">Le sujet demande un pipeline en temps réel ou quasi temps réel. L'échantillonnage DDIM déterministe remplace les 1000 pas du processus ancestral par 50, soit une réduction d'un facteur 20 du nombre de passages réseau. Mesures sur la machine de développement (Apple M5 Pro, MPS), guidage classifier-free actif, qui double le coût par pas puisque les branches conditionnelle et inconditionnelle sont évaluées ensemble :</w:t>
      </w:r>
    </w:p>
    <w:p>
      <w:pPr>
        <w:pStyle w:val="ListParagraph"/>
        <w:numPr>
          <w:ilvl w:val="0"/>
          <w:numId w:val="2"/>
        </w:numPr>
        <w:spacing w:after="80" w:line="300"/>
        <w:jc w:val="both"/>
      </w:pPr>
      <w:r>
        <w:rPr>
          <w:rFonts w:ascii="Calibri" w:cs="Calibri" w:eastAsia="Calibri" w:hAnsi="Calibri"/>
          <w:b/>
          <w:bCs/>
          <w:sz w:val="22"/>
          <w:szCs w:val="22"/>
        </w:rPr>
        <w:t xml:space="preserve">1,31 s pour un visage en 50 pas, </w:t>
      </w:r>
      <w:r>
        <w:rPr>
          <w:rFonts w:ascii="Calibri" w:cs="Calibri" w:eastAsia="Calibri" w:hAnsi="Calibri"/>
          <w:sz w:val="22"/>
          <w:szCs w:val="22"/>
        </w:rPr>
        <w:t xml:space="preserve">et 0,83 s en 30 pas.</w:t>
      </w:r>
    </w:p>
    <w:p>
      <w:pPr>
        <w:pStyle w:val="ListParagraph"/>
        <w:numPr>
          <w:ilvl w:val="0"/>
          <w:numId w:val="2"/>
        </w:numPr>
        <w:spacing w:after="80" w:line="300"/>
        <w:jc w:val="both"/>
      </w:pPr>
      <w:r>
        <w:rPr>
          <w:rFonts w:ascii="Calibri" w:cs="Calibri" w:eastAsia="Calibri" w:hAnsi="Calibri"/>
          <w:b/>
          <w:bCs/>
          <w:sz w:val="22"/>
          <w:szCs w:val="22"/>
        </w:rPr>
        <w:t xml:space="preserve">0,90 s par visage pour un lot de six en 50 pas, </w:t>
      </w:r>
      <w:r>
        <w:rPr>
          <w:rFonts w:ascii="Calibri" w:cs="Calibri" w:eastAsia="Calibri" w:hAnsi="Calibri"/>
          <w:sz w:val="22"/>
          <w:szCs w:val="22"/>
        </w:rPr>
        <w:t xml:space="preserve">et 0,53 s en 30 pas : le traitement par lot amortit le coût fixe.</w:t>
      </w:r>
    </w:p>
    <w:p>
      <w:pPr>
        <w:spacing w:after="160" w:line="300"/>
        <w:jc w:val="both"/>
      </w:pPr>
      <w:r>
        <w:rPr>
          <w:rFonts w:ascii="Calibri" w:cs="Calibri" w:eastAsia="Calibri" w:hAnsi="Calibri"/>
          <w:sz w:val="22"/>
          <w:szCs w:val="22"/>
        </w:rPr>
        <w:t xml:space="preserve">L'interface expose le nombre de pas comme réglage, ce qui laisse l'utilisateur arbitrer entre latence et qualité. Sur un processeur seul, configuration d'un hébergement gratuit, le même modèle demande 7,8 s par visage en 30 pas : la génération reste interactive, mais l'affichage d'une grille complète cesse de l'être, ce qui a conduit à abaisser les valeurs par défaut lorsque le calcul se fait sur processeur.</w:t>
      </w:r>
    </w:p>
    <w:p>
      <w:pPr>
        <w:pStyle w:val="Heading1"/>
        <w:spacing w:after="200" w:before="360"/>
      </w:pPr>
      <w:r>
        <w:rPr>
          <w:rFonts w:ascii="Calibri" w:cs="Calibri" w:eastAsia="Calibri" w:hAnsi="Calibri"/>
        </w:rPr>
        <w:t xml:space="preserve">2. Diffusion contre GAN : comparaison quantitative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1800"/>
        <w:gridCol w:w="1700"/>
        <w:gridCol w:w="3550"/>
      </w:tblGrid>
      <w:tr>
        <w:trPr>
          <w:tblHeader/>
        </w:trPr>
        <w:tc>
          <w:tcPr>
            <w:tcW w:type="dxa" w:w="2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Métrique</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DDPM + CFG (w=3)</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cGAN (baseline)</w:t>
            </w:r>
          </w:p>
        </w:tc>
        <w:tc>
          <w:tcPr>
            <w:tcW w:type="dxa" w:w="35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Lecture</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40,2</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139,6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 distributionnel ×3,5 en faveur du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Inception Score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3,35 ± 0,10</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 ± 0,06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cohérent avec le FID</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Diversité LPIPS intra-condition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0,401</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0,001</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en mode collapse conditionnel total</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genre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89,6 %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70,4 %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condition mieux respectée par le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peau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45,8 %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21,1 %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idem (plafond juge ≈ 62 %)</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MAE âge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 ans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12,2 ans</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équivalents ; voir analyse §4</w:t>
            </w:r>
          </w:p>
        </w:tc>
      </w:tr>
    </w:tbl>
    <w:p>
      <w:pPr>
        <w:spacing w:after="120"/>
      </w:pPr>
    </w:p>
    <w:p>
      <w:pPr>
        <w:spacing w:after="160" w:line="300"/>
        <w:jc w:val="both"/>
      </w:pPr>
      <w:r>
        <w:rPr>
          <w:rFonts w:ascii="Calibri" w:cs="Calibri" w:eastAsia="Calibri" w:hAnsi="Calibri"/>
          <w:sz w:val="22"/>
          <w:szCs w:val="22"/>
        </w:rPr>
        <w:t xml:space="preserve">Le résultat central est sans ambiguïté : à budget, données et conditionnement identiques, la diffusion domine le GAN sur tous les axes de qualité. </w:t>
      </w:r>
      <w:r>
        <w:rPr>
          <w:rFonts w:ascii="Calibri" w:cs="Calibri" w:eastAsia="Calibri" w:hAnsi="Calibri"/>
          <w:sz w:val="22"/>
          <w:szCs w:val="22"/>
        </w:rPr>
        <w:t xml:space="preserve">L'écart le plus instructif n'est pas le FID mais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entraîné par simple régression du bruit, y échappe structurellement (0,401, bien au-dessus du seuil de 0,2). Ce constat expérimental valide a posteriori le choix architectural défendu dans l'état de l'art.</w:t>
      </w:r>
    </w:p>
    <w:p>
      <w:pPr>
        <w:spacing w:after="60" w:before="160"/>
        <w:jc w:val="center"/>
      </w:pPr>
      <w:r>
        <w:drawing>
          <wp:inline distT="0" distB="0" distL="0" distR="0">
            <wp:extent cx="2857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337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1 - Grille de contrôle DDPM en fin d'entraînement (80 000 steps). Chaque ligne : un groupe de peau ; colonnes : hommes 18/44/70 ans puis femmes 18/44/70 ans. Le contrôle des trois attributs est visuellement effectif.</w:t>
      </w:r>
    </w:p>
    <w:p>
      <w:pPr>
        <w:pStyle w:val="Heading1"/>
        <w:spacing w:after="200" w:before="360"/>
      </w:pPr>
      <w:r>
        <w:rPr>
          <w:rFonts w:ascii="Calibri" w:cs="Calibri" w:eastAsia="Calibri" w:hAnsi="Calibri"/>
        </w:rPr>
        <w:t xml:space="preserve">3. Le compromis du Classifier-Free Guidance, mesuré</w:t>
      </w:r>
    </w:p>
    <w:p>
      <w:pPr>
        <w:spacing w:after="160" w:line="300"/>
        <w:jc w:val="both"/>
      </w:pPr>
      <w:r>
        <w:rPr>
          <w:rFonts w:ascii="Calibri" w:cs="Calibri" w:eastAsia="Calibri" w:hAnsi="Calibri"/>
          <w:sz w:val="22"/>
          <w:szCs w:val="22"/>
        </w:rPr>
        <w:t xml:space="preserve">Le poids de guidance w est balayé de 1 à 8 (2 000 visages par valeur), en mesurant simultanément réalisme, fidélité aux attributs et diversité :</w:t>
      </w:r>
    </w:p>
    <w:tbl>
      <w:tblPr>
        <w:tblW w:type="dxa" w:w="8500"/>
        <w:tblBorders>
          <w:top w:val="single" w:color="BBBBBB" w:sz="4"/>
          <w:left w:val="single" w:color="BBBBBB" w:sz="4"/>
          <w:bottom w:val="single" w:color="BBBBBB" w:sz="4"/>
          <w:right w:val="single" w:color="BBBBBB" w:sz="4"/>
          <w:insideH w:val="single" w:color="BBBBBB" w:sz="4"/>
          <w:insideV w:val="single" w:color="BBBBBB" w:sz="4"/>
        </w:tblBorders>
      </w:tblPr>
      <w:tblGrid>
        <w:gridCol w:w="800"/>
        <w:gridCol w:w="1300"/>
        <w:gridCol w:w="1500"/>
        <w:gridCol w:w="1500"/>
        <w:gridCol w:w="2000"/>
        <w:gridCol w:w="1400"/>
      </w:tblGrid>
      <w:tr>
        <w:trPr>
          <w:tblHeader/>
        </w:trPr>
        <w:tc>
          <w:tcPr>
            <w:tcW w:type="dxa" w:w="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Genre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Peau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c>
          <w:tcPr>
            <w:tcW w:type="dxa" w:w="1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LPIPS ↑</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14,0</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0,46</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44,1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83,4</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36,5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13,7</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50,3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89,7</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94,8</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11,8</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0,34</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67,5</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97,0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64,8</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11,1</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0,25</w:t>
            </w:r>
          </w:p>
        </w:tc>
      </w:tr>
    </w:tbl>
    <w:p>
      <w:pPr>
        <w:spacing w:after="120"/>
      </w:pPr>
    </w:p>
    <w:p>
      <w:pPr>
        <w:spacing w:after="60" w:before="160"/>
        <w:jc w:val="center"/>
      </w:pPr>
      <w:r>
        <w:drawing>
          <wp:inline distT="0" distB="0" distL="0" distR="0">
            <wp:extent cx="5905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2 - Compromis fidélité / diversité du CFG : le réalisme (FID) et la diversité se dégradent de façon monotone quand la fidélité aux attributs augmente.</w:t>
      </w:r>
    </w:p>
    <w:p>
      <w:pPr>
        <w:spacing w:after="160" w:line="300"/>
        <w:jc w:val="both"/>
      </w:pPr>
      <w:r>
        <w:rPr>
          <w:rFonts w:ascii="Calibri" w:cs="Calibri" w:eastAsia="Calibri" w:hAnsi="Calibri"/>
          <w:sz w:val="22"/>
          <w:szCs w:val="22"/>
        </w:rPr>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rFonts w:ascii="Calibri" w:cs="Calibri" w:eastAsia="Calibri" w:hAnsi="Calibri"/>
          <w:b/>
          <w:bCs/>
          <w:sz w:val="22"/>
          <w:szCs w:val="22"/>
        </w:rPr>
        <w:t xml:space="preserve">w = 3 constitue le coude de la courbe</w:t>
      </w:r>
      <w:r>
        <w:rPr>
          <w:rFonts w:ascii="Calibri" w:cs="Calibri" w:eastAsia="Calibri" w:hAnsi="Calibri"/>
          <w:sz w:val="22"/>
          <w:szCs w:val="22"/>
        </w:rPr>
        <w:t xml:space="preserve"> (fidélité genre ~90 % pour un FID encore contenu) et sert de réglage par défaut du démonstrateur ; l'interface expose néanmoins w comme curseur, transformant ce résultat d'analyse en fonctionnalité utilisateur.</w:t>
      </w:r>
    </w:p>
    <w:p>
      <w:pPr>
        <w:pStyle w:val="Heading1"/>
        <w:spacing w:after="200" w:before="360"/>
      </w:pPr>
      <w:r>
        <w:rPr>
          <w:rFonts w:ascii="Calibri" w:cs="Calibri" w:eastAsia="Calibri" w:hAnsi="Calibri"/>
        </w:rPr>
        <w:t xml:space="preserve">4. Équité démographique : au-delà de la moyenne</w:t>
      </w:r>
    </w:p>
    <w:tbl>
      <w:tblPr>
        <w:tblW w:type="dxa" w:w="750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1300"/>
        <w:gridCol w:w="2000"/>
        <w:gridCol w:w="180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Groupe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Fidélité peau %</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White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80,6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Black</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74,9</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Latino / Hispanic</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13,5</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Southeast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62,2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28,5</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Indian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63,2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18,6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Middle Eastern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69,6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12,7</w:t>
            </w:r>
          </w:p>
        </w:tc>
      </w:tr>
    </w:tbl>
    <w:p>
      <w:pPr>
        <w:spacing w:after="120"/>
      </w:pPr>
    </w:p>
    <w:p>
      <w:pPr>
        <w:spacing w:after="60" w:before="1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4787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3 - Équité par groupe : réalisme homogène, contrôle de la peau inégal.</w:t>
      </w:r>
    </w:p>
    <w:p>
      <w:pPr>
        <w:spacing w:after="160" w:line="300"/>
        <w:jc w:val="both"/>
      </w:pPr>
      <w:r>
        <w:rPr>
          <w:rFonts w:ascii="Calibri" w:cs="Calibri" w:eastAsia="Calibri" w:hAnsi="Calibri"/>
          <w:sz w:val="22"/>
          <w:szCs w:val="22"/>
        </w:rPr>
        <w:t xml:space="preserve">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pPr>
        <w:spacing w:after="160" w:line="300"/>
        <w:jc w:val="both"/>
      </w:pPr>
      <w:r>
        <w:rPr>
          <w:rFonts w:ascii="Calibri" w:cs="Calibri" w:eastAsia="Calibri" w:hAnsi="Calibri"/>
          <w:sz w:val="22"/>
          <w:szCs w:val="22"/>
        </w:rP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rFonts w:ascii="Calibri" w:cs="Calibri" w:eastAsia="Calibri" w:hAnsi="Calibri"/>
          <w:i/>
          <w:iCs/>
          <w:sz w:val="22"/>
          <w:szCs w:val="22"/>
        </w:rPr>
        <w:t xml:space="preserve">qualité</w:t>
      </w:r>
      <w:r>
        <w:rPr>
          <w:rFonts w:ascii="Calibri" w:cs="Calibri" w:eastAsia="Calibri" w:hAnsi="Calibri"/>
          <w:sz w:val="22"/>
          <w:szCs w:val="22"/>
        </w:rPr>
        <w:t xml:space="preserve">, pas l'équité de </w:t>
      </w:r>
      <w:r>
        <w:rPr>
          <w:rFonts w:ascii="Calibri" w:cs="Calibri" w:eastAsia="Calibri" w:hAnsi="Calibri"/>
          <w:i/>
          <w:iCs/>
          <w:sz w:val="22"/>
          <w:szCs w:val="22"/>
        </w:rPr>
        <w:t xml:space="preserve">contrôle</w:t>
      </w:r>
      <w:r>
        <w:rPr>
          <w:rFonts w:ascii="Calibri" w:cs="Calibri" w:eastAsia="Calibri" w:hAnsi="Calibri"/>
          <w:sz w:val="22"/>
          <w:szCs w:val="22"/>
        </w:rPr>
        <w:t xml:space="preserve"> ; (2) des catégories sémantiquement proches exigent soit plus de capacité de modèle, soit un conditionnement plus riche. C'est précisément le type de constat que la réflexion éthique du sujet demandait de quantifier plutôt que de déclarer.</w:t>
      </w:r>
    </w:p>
    <w:p>
      <w:pPr>
        <w:pStyle w:val="Heading1"/>
        <w:spacing w:after="200" w:before="360"/>
      </w:pPr>
      <w:r>
        <w:rPr>
          <w:rFonts w:ascii="Calibri" w:cs="Calibri" w:eastAsia="Calibri" w:hAnsi="Calibri"/>
        </w:rPr>
        <w:t xml:space="preserve">5. Résultats qualitatifs : interpolation et identité</w:t>
      </w:r>
    </w:p>
    <w:p>
      <w:pPr>
        <w:spacing w:after="60" w:before="160"/>
        <w:jc w:val="center"/>
      </w:pPr>
      <w:r>
        <w:drawing>
          <wp:inline distT="0" distB="0" distL="0" distR="0">
            <wp:extent cx="3829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29050" cy="4953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4 - Vieillissement continu 20 → 68 ans à identité fixée (même bruit initial x_T, DDIM déterministe) : les traits, la pose et le fond restent stables tandis que l'âge progresse.</w:t>
      </w:r>
    </w:p>
    <w:p>
      <w:pPr>
        <w:spacing w:after="160" w:line="300"/>
        <w:jc w:val="both"/>
      </w:pPr>
      <w:r>
        <w:rPr>
          <w:rFonts w:ascii="Calibri" w:cs="Calibri" w:eastAsia="Calibri" w:hAnsi="Calibri"/>
          <w:sz w:val="22"/>
          <w:szCs w:val="22"/>
        </w:rPr>
        <w:t xml:space="preserve">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pPr>
        <w:pStyle w:val="Heading1"/>
        <w:spacing w:after="200" w:before="360"/>
      </w:pPr>
      <w:r>
        <w:rPr>
          <w:rFonts w:ascii="Calibri" w:cs="Calibri" w:eastAsia="Calibri" w:hAnsi="Calibri"/>
        </w:rPr>
        <w:t xml:space="preserve">6. Le contrôle d'âge à l'épreuve : diagnostic d'un défaut de données</w:t>
      </w:r>
    </w:p>
    <w:p>
      <w:pPr>
        <w:spacing w:after="160" w:line="300"/>
        <w:jc w:val="both"/>
      </w:pPr>
      <w:r>
        <w:rPr>
          <w:rFonts w:ascii="Calibri" w:cs="Calibri" w:eastAsia="Calibri" w:hAnsi="Calibri"/>
          <w:sz w:val="22"/>
          <w:szCs w:val="22"/>
        </w:rPr>
        <w:t xml:space="preserve">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pPr>
        <w:spacing w:after="60" w:before="160"/>
        <w:jc w:val="center"/>
      </w:pPr>
      <w:r>
        <w:drawing>
          <wp:inline distT="0" distB="0" distL="0" distR="0">
            <wp:extent cx="5029200" cy="359228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9228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pPr>
        <w:spacing w:after="160" w:line="300"/>
        <w:jc w:val="both"/>
      </w:pPr>
      <w:r>
        <w:rPr>
          <w:rFonts w:ascii="Calibri" w:cs="Calibri" w:eastAsia="Calibri" w:hAnsi="Calibri"/>
          <w:sz w:val="22"/>
          <w:szCs w:val="22"/>
        </w:rPr>
        <w:t xml:space="preserve">Le résultat est sans appel : la réponse est plate. L'âge perçu reste confiné entre 36,4 et 44,1 ans (une amplitude de 7,7 ans) alors que la consigne balaie 52 ans. Le modèle ne se contente pas d'être imprécis sur l'âge : il ignore la condition et reproduit systématiquement l'âge moyen du jeu de données. La MAE de 12,5 ans n'est donc pas une erreur de contrôle, c'est la dispersion résiduelle d'une distribution non conditionnée.</w:t>
      </w:r>
    </w:p>
    <w:p>
      <w:pPr>
        <w:pStyle w:val="Heading2"/>
        <w:spacing w:after="120" w:before="240"/>
      </w:pPr>
      <w:r>
        <w:rPr>
          <w:rFonts w:ascii="Calibri" w:cs="Calibri" w:eastAsia="Calibri" w:hAnsi="Calibri"/>
        </w:rPr>
        <w:t xml:space="preserve">6.1 Cause racine : un support d'entraînement dégénéré</w:t>
      </w:r>
    </w:p>
    <w:p>
      <w:pPr>
        <w:spacing w:after="160" w:line="300"/>
        <w:jc w:val="both"/>
      </w:pPr>
      <w:r>
        <w:rPr>
          <w:rFonts w:ascii="Calibri" w:cs="Calibri" w:eastAsia="Calibri" w:hAnsi="Calibri"/>
          <w:sz w:val="22"/>
          <w:szCs w:val="22"/>
        </w:rPr>
        <w:t xml:space="preserve">L'explication n'est pas dans le modèle mais dans le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pPr>
        <w:pStyle w:val="ListParagraph"/>
        <w:numPr>
          <w:ilvl w:val="0"/>
          <w:numId w:val="2"/>
        </w:numPr>
        <w:spacing w:after="80" w:line="300"/>
        <w:jc w:val="both"/>
      </w:pPr>
      <w:r>
        <w:rPr>
          <w:rFonts w:ascii="Calibri" w:cs="Calibri" w:eastAsia="Calibri" w:hAnsi="Calibri"/>
          <w:b/>
          <w:bCs/>
          <w:sz w:val="22"/>
          <w:szCs w:val="22"/>
        </w:rPr>
        <w:t xml:space="preserve">Support réduit à cinq points : </w:t>
      </w:r>
      <w:r>
        <w:rPr>
          <w:rFonts w:ascii="Calibri" w:cs="Calibri" w:eastAsia="Calibri" w:hAnsi="Calibri"/>
          <w:sz w:val="22"/>
          <w:szCs w:val="22"/>
        </w:rPr>
        <w:t xml:space="preserve">après filtrage, les seuls âges présents dans les 64 599 images d'entraînement sont 24,5, 34,5, 44,5, 54,5 et 64,5 ans. L'encodage sinusoïdal continu de l'âge, choisi précisément pour permettre un contrôle continu, n'a jamais reçu qu'un signal à cinq niveaux.</w:t>
      </w:r>
    </w:p>
    <w:p>
      <w:pPr>
        <w:pStyle w:val="ListParagraph"/>
        <w:numPr>
          <w:ilvl w:val="0"/>
          <w:numId w:val="2"/>
        </w:numPr>
        <w:spacing w:after="80" w:line="300"/>
        <w:jc w:val="both"/>
      </w:pPr>
      <w:r>
        <w:rPr>
          <w:rFonts w:ascii="Calibri" w:cs="Calibri" w:eastAsia="Calibri" w:hAnsi="Calibri"/>
          <w:b/>
          <w:bCs/>
          <w:sz w:val="22"/>
          <w:szCs w:val="22"/>
        </w:rPr>
        <w:t xml:space="preserve">Tranche 18-19 ans entièrement perdue : </w:t>
      </w:r>
      <w:r>
        <w:rPr>
          <w:rFonts w:ascii="Calibri" w:cs="Calibri" w:eastAsia="Calibri" w:hAnsi="Calibri"/>
          <w:sz w:val="22"/>
          <w:szCs w:val="22"/>
        </w:rPr>
        <w:t xml:space="preserve">la tranche 10-19 a pour point médian 15 ans, éliminé par le filtre, alors qu'elle contient les 18 et 19 ans explicitement demandés par le cahier des charges. 9 103 images ont ainsi été écartées à tort.</w:t>
      </w:r>
    </w:p>
    <w:p>
      <w:pPr>
        <w:spacing w:after="160" w:line="300"/>
        <w:jc w:val="both"/>
      </w:pPr>
      <w:r>
        <w:rPr>
          <w:rFonts w:ascii="Calibri" w:cs="Calibri" w:eastAsia="Calibri" w:hAnsi="Calibri"/>
          <w:sz w:val="22"/>
          <w:szCs w:val="22"/>
        </w:rPr>
        <w:t xml:space="preserve">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pPr>
        <w:spacing w:after="160" w:line="300"/>
        <w:jc w:val="both"/>
      </w:pPr>
      <w:r>
        <w:rPr>
          <w:rFonts w:ascii="Calibri" w:cs="Calibri" w:eastAsia="Calibri" w:hAnsi="Calibri"/>
          <w:sz w:val="22"/>
          <w:szCs w:val="22"/>
        </w:rPr>
        <w:t xml:space="preserve">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gagne que 2,9 ans (14,0 → 11,1). Amplifier le guidage ne fait pas émerger une information que les données n'ont jamais portée.</w:t>
      </w:r>
    </w:p>
    <w:p>
      <w:pPr>
        <w:pStyle w:val="Heading2"/>
        <w:spacing w:after="120" w:before="240"/>
      </w:pPr>
      <w:r>
        <w:rPr>
          <w:rFonts w:ascii="Calibri" w:cs="Calibri" w:eastAsia="Calibri" w:hAnsi="Calibri"/>
        </w:rPr>
        <w:t xml:space="preserve">6.2 Ce qu'une correction à l'inférence peut, et ne peut pas, faire</w:t>
      </w:r>
    </w:p>
    <w:p>
      <w:pPr>
        <w:spacing w:after="160" w:line="300"/>
        <w:jc w:val="both"/>
      </w:pPr>
      <w:r>
        <w:rPr>
          <w:rFonts w:ascii="Calibri" w:cs="Calibri" w:eastAsia="Calibri" w:hAnsi="Calibri"/>
          <w:sz w:val="22"/>
          <w:szCs w:val="22"/>
        </w:rPr>
        <w:t xml:space="preserve">Nous avons d'abord cherché une correction sans ré-entraînement. La réponse mesurée étant monotone par morceaux, on peut en principe l'inverser et injecter, pour un âge voulu, la valeur de condition qui le produit réellement (calibration post-hoc, src/sampling.py). Cette voie est ici sans objet : une fonction d'amplitude 7,7 ans n'est pas inversible sur une plage de 52 ans. Le code le détecte et refuse la calibration (applicable : false) au lieu d'habiller une absence de contrôle par une table de correspondance. Nous le mentionnons parce que la tentation inverse (publier une calibration qui « améliore » la métrique sans rien changer au modèle) est exactement le type d'artefact qu'une évaluation de système génératif doit exclure.</w:t>
      </w:r>
    </w:p>
    <w:p>
      <w:pPr>
        <w:spacing w:after="160" w:line="300"/>
        <w:jc w:val="both"/>
      </w:pPr>
      <w:r>
        <w:rPr>
          <w:rFonts w:ascii="Calibri" w:cs="Calibri" w:eastAsia="Calibri" w:hAnsi="Calibri"/>
          <w:sz w:val="22"/>
          <w:szCs w:val="22"/>
        </w:rPr>
        <w:t xml:space="preserve">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pPr>
        <w:pStyle w:val="Heading2"/>
        <w:spacing w:after="120" w:before="240"/>
      </w:pPr>
      <w:r>
        <w:rPr>
          <w:rFonts w:ascii="Calibri" w:cs="Calibri" w:eastAsia="Calibri" w:hAnsi="Calibri"/>
        </w:rPr>
        <w:t xml:space="preserve">6.3 Correction à la racine et ré-entraînement</w:t>
      </w:r>
    </w:p>
    <w:p>
      <w:pPr>
        <w:spacing w:after="160" w:line="300"/>
        <w:jc w:val="both"/>
      </w:pPr>
      <w:r>
        <w:rPr>
          <w:rFonts w:ascii="Calibri" w:cs="Calibri" w:eastAsia="Calibri" w:hAnsi="Calibri"/>
          <w:sz w:val="22"/>
          <w:szCs w:val="22"/>
        </w:rPr>
        <w:t xml:space="preserve">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(les 18 heures déjà investies ne sont pas perdues) et affiné à faible pas d'apprentissage (5e-5) dans un répertoire distinct, afin que la comparaison avant/après reste reproductible.</w:t>
      </w:r>
    </w:p>
    <w:p>
      <w:pPr>
        <w:pStyle w:val="Heading1"/>
        <w:spacing w:after="200" w:before="360"/>
      </w:pPr>
      <w:r>
        <w:rPr>
          <w:rFonts w:ascii="Calibri" w:cs="Calibri" w:eastAsia="Calibri" w:hAnsi="Calibri"/>
        </w:rPr>
        <w:t xml:space="preserve">7. Résultats du modèle corrigé (v2)</w:t>
      </w:r>
    </w:p>
    <w:p>
      <w:pPr>
        <w:spacing w:after="160" w:line="300"/>
        <w:jc w:val="both"/>
      </w:pPr>
      <w:r>
        <w:rPr>
          <w:rFonts w:ascii="Calibri" w:cs="Calibri" w:eastAsia="Calibri" w:hAnsi="Calibri"/>
          <w:sz w:val="22"/>
          <w:szCs w:val="22"/>
        </w:rPr>
        <w:t xml:space="preserve">Le modèle v2 reprend le checkpoint v1 et l'affine 8 epochs (99 100 steps au total) avec trois changements : support d'âge continu (--age-jitter, 73 702 images), masquage indépendant par attribut, et EMA ramenée de 0,9999 à 0,999, à 0,9999 la demi-vie de la moyenne est d'environ trois epochs, et les poids servant à l'échantillonnage n'auraient rien reflété d'un affinage aussi court. Le répertoire d'entraînement est distinct, le modèle v1 reste disponible pour la comparaison.</w:t>
      </w:r>
    </w:p>
    <w:p>
      <w:pPr>
        <w:pStyle w:val="Heading2"/>
        <w:spacing w:after="120" w:before="240"/>
      </w:pPr>
      <w:r>
        <w:rPr>
          <w:rFonts w:ascii="Calibri" w:cs="Calibri" w:eastAsia="Calibri" w:hAnsi="Calibri"/>
        </w:rPr>
        <w:t xml:space="preserve">7.1 Le contrôle d'âge, avant et après</w:t>
      </w:r>
    </w:p>
    <w:p>
      <w:pPr>
        <w:spacing w:after="60" w:before="160"/>
        <w:jc w:val="center"/>
      </w:pPr>
      <w:r>
        <w:drawing>
          <wp:inline distT="0" distB="0" distL="0" distR="0">
            <wp:extent cx="5486400" cy="228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6 - Fonction de réponse en âge : v1, v2, et v2 sous guidage d'âge compositionnel. À droite, l'erreur par âge demandé ; la ligne pointillée marque l'erreur du juge sur images réelles (6,5 ans), plancher en deçà duquel la mesure ne distingue plus rien.</w:t>
      </w:r>
    </w:p>
    <w:p>
      <w:pPr>
        <w:spacing w:after="160" w:line="300"/>
        <w:jc w:val="both"/>
      </w:pPr>
      <w:r>
        <w:rPr>
          <w:rFonts w:ascii="Calibri" w:cs="Calibri" w:eastAsia="Calibri" w:hAnsi="Calibri"/>
          <w:sz w:val="22"/>
          <w:szCs w:val="22"/>
        </w:rPr>
        <w:t xml:space="preserve">L'amplitude de réponse passe de 7,7 ans (v1) à 16,2 ans (v2) et à 29,7 ans en poussant le guidage propre à l'âge ; la MAE moyenne suit, de 14,3 à 11,6 puis 6,1 ans. Entre 26 et 62 ans, la courbe verte suit la diagonale et son erreur passe sous le plancher du juge : dans cette plage, nous ne mesurons plus la précision du modèle mais la résolution de l'instrument. Les extrémités 18 et 70 ans restent tirées vers le centre, là où FairFace est le plus pauvre.</w:t>
      </w:r>
    </w:p>
    <w:p>
      <w:pPr>
        <w:spacing w:after="160" w:line="300"/>
        <w:jc w:val="both"/>
      </w:pPr>
      <w:r>
        <w:rPr>
          <w:rFonts w:ascii="Calibri" w:cs="Calibri" w:eastAsia="Calibri" w:hAnsi="Calibri"/>
          <w:sz w:val="22"/>
          <w:szCs w:val="22"/>
        </w:rPr>
        <w:t xml:space="preserve">L'ablation sépare les trois correctifs, et aucun ne suffit seul. Corriger les seules données ne produit rien de mesurable (amplitude 5,1 ans après une epoch) : le réseau avait déjà appris à ignorer l'âge. Le masquage indépendant fait passer l'amplitude à 16,2 ans, le guidage d'âge à 29,7 ans. C'est le diagnostic du §6 qui rend cette décomposition possible : une MAE agrégée n'aurait signalé ni la cause ni la part de chaque remède.</w:t>
      </w:r>
    </w:p>
    <w:p>
      <w:pPr>
        <w:pStyle w:val="Heading2"/>
        <w:spacing w:after="120" w:before="240"/>
      </w:pPr>
      <w:r>
        <w:rPr>
          <w:rFonts w:ascii="Calibri" w:cs="Calibri" w:eastAsia="Calibri" w:hAnsi="Calibri"/>
        </w:rPr>
        <w:t xml:space="preserve">7.2 Métriques globales : v2 contre v1</w:t>
      </w:r>
    </w:p>
    <w:p>
      <w:pPr>
        <w:pStyle w:val="ListParagraph"/>
        <w:numPr>
          <w:ilvl w:val="0"/>
          <w:numId w:val="2"/>
        </w:numPr>
        <w:spacing w:after="80" w:line="300"/>
        <w:jc w:val="both"/>
      </w:pPr>
      <w:r>
        <w:rPr>
          <w:rFonts w:ascii="Calibri" w:cs="Calibri" w:eastAsia="Calibri" w:hAnsi="Calibri"/>
          <w:b/>
          <w:bCs/>
          <w:sz w:val="22"/>
          <w:szCs w:val="22"/>
        </w:rPr>
        <w:t xml:space="preserve">FID 40,2 → 24,0 : </w:t>
      </w:r>
      <w:r>
        <w:rPr>
          <w:rFonts w:ascii="Calibri" w:cs="Calibri" w:eastAsia="Calibri" w:hAnsi="Calibri"/>
          <w:sz w:val="22"/>
          <w:szCs w:val="22"/>
        </w:rPr>
        <w:t xml:space="preserve">gain de 40 % du réalisme distributionnel. Il ne s'attribue pas au correctif d'âge mais aux 8 epochs supplémentaires et aux 9 103 images de 18-19 ans récupérées ; nous le rapportons comme tel.</w:t>
      </w:r>
    </w:p>
    <w:p>
      <w:pPr>
        <w:pStyle w:val="ListParagraph"/>
        <w:numPr>
          <w:ilvl w:val="0"/>
          <w:numId w:val="2"/>
        </w:numPr>
        <w:spacing w:after="80" w:line="300"/>
        <w:jc w:val="both"/>
      </w:pPr>
      <w:r>
        <w:rPr>
          <w:rFonts w:ascii="Calibri" w:cs="Calibri" w:eastAsia="Calibri" w:hAnsi="Calibri"/>
          <w:b/>
          <w:bCs/>
          <w:sz w:val="22"/>
          <w:szCs w:val="22"/>
        </w:rPr>
        <w:t xml:space="preserve">MAE d'âge 12,5 → 10,8 ans à guidage standard, </w:t>
      </w:r>
      <w:r>
        <w:rPr>
          <w:rFonts w:ascii="Calibri" w:cs="Calibri" w:eastAsia="Calibri" w:hAnsi="Calibri"/>
          <w:sz w:val="22"/>
          <w:szCs w:val="22"/>
        </w:rPr>
        <w:t xml:space="preserve">et 5,8 ans sous guidage d'âge, contre 6,5 ans d'erreur du juge sur images réelles.</w:t>
      </w:r>
    </w:p>
    <w:p>
      <w:pPr>
        <w:pStyle w:val="ListParagraph"/>
        <w:numPr>
          <w:ilvl w:val="0"/>
          <w:numId w:val="2"/>
        </w:numPr>
        <w:spacing w:after="80" w:line="300"/>
        <w:jc w:val="both"/>
      </w:pPr>
      <w:r>
        <w:rPr>
          <w:rFonts w:ascii="Calibri" w:cs="Calibri" w:eastAsia="Calibri" w:hAnsi="Calibri"/>
          <w:b/>
          <w:bCs/>
          <w:sz w:val="22"/>
          <w:szCs w:val="22"/>
        </w:rPr>
        <w:t xml:space="preserve">IS 3,35 → 3,31 et diversité LPIPS 0,401 → 0,388 : </w:t>
      </w:r>
      <w:r>
        <w:rPr>
          <w:rFonts w:ascii="Calibri" w:cs="Calibri" w:eastAsia="Calibri" w:hAnsi="Calibri"/>
          <w:sz w:val="22"/>
          <w:szCs w:val="22"/>
        </w:rPr>
        <w:t xml:space="preserve">inchangés aux fluctuations près ; aucun mode collapse n'apparaît.</w:t>
      </w:r>
    </w:p>
    <w:p>
      <w:pPr>
        <w:pStyle w:val="ListParagraph"/>
        <w:numPr>
          <w:ilvl w:val="0"/>
          <w:numId w:val="2"/>
        </w:numPr>
        <w:spacing w:after="80" w:line="300"/>
        <w:jc w:val="both"/>
      </w:pPr>
      <w:r>
        <w:rPr>
          <w:rFonts w:ascii="Calibri" w:cs="Calibri" w:eastAsia="Calibri" w:hAnsi="Calibri"/>
          <w:b/>
          <w:bCs/>
          <w:sz w:val="22"/>
          <w:szCs w:val="22"/>
        </w:rPr>
        <w:t xml:space="preserve">Genre 89,6 → 86,8 % et peau 45,8 → 44,7 % : </w:t>
      </w:r>
      <w:r>
        <w:rPr>
          <w:rFonts w:ascii="Calibri" w:cs="Calibri" w:eastAsia="Calibri" w:hAnsi="Calibri"/>
          <w:sz w:val="22"/>
          <w:szCs w:val="22"/>
        </w:rPr>
        <w:t xml:space="preserve">légère baisse, cohérente avec le budget de conditionnement analysé en §7.3.</w:t>
      </w:r>
    </w:p>
    <w:p>
      <w:pPr>
        <w:spacing w:after="160" w:line="300"/>
        <w:jc w:val="both"/>
      </w:pPr>
      <w:r>
        <w:rPr>
          <w:rFonts w:ascii="Calibri" w:cs="Calibri" w:eastAsia="Calibri" w:hAnsi="Calibri"/>
          <w:sz w:val="22"/>
          <w:szCs w:val="22"/>
        </w:rPr>
        <w:t xml:space="preserve">Par groupe démographique, le FID s'améliore partout (v1 : 60,3 à 74,9 ; v2 : 40,8 à 57,1) sans que la hiérarchie change : le groupe Black reste le moins bien modélisé, le groupe Indian le moins bien contrôlé en tonalité de peau (18,2 %). L'affinage relève le niveau général, il ne corrige pas l'inégalité entre groupes, conclusion cohérente avec le §4 et qu'il serait malhonnête de présenter comme un progrès d'équité.</w:t>
      </w:r>
    </w:p>
    <w:p>
      <w:pPr>
        <w:pStyle w:val="Heading2"/>
        <w:spacing w:after="120" w:before="240"/>
      </w:pPr>
      <w:r>
        <w:rPr>
          <w:rFonts w:ascii="Calibri" w:cs="Calibri" w:eastAsia="Calibri" w:hAnsi="Calibri"/>
        </w:rPr>
        <w:t xml:space="preserve">7.3 Le conditionnement partagé impose un budget entre attributs</w:t>
      </w:r>
    </w:p>
    <w:p>
      <w:pPr>
        <w:spacing w:after="160" w:line="300"/>
        <w:jc w:val="both"/>
      </w:pPr>
      <w:r>
        <w:rPr>
          <w:rFonts w:ascii="Calibri" w:cs="Calibri" w:eastAsia="Calibri" w:hAnsi="Calibri"/>
          <w:sz w:val="22"/>
          <w:szCs w:val="22"/>
        </w:rPr>
        <w:t xml:space="preserve">Le guidage propre à l'âge a été mesuré sous deux formes. La forme compositionnelle pure remplace la condition conjointe par une somme de branches mono-attribut : l'âge gagne (MAE 5,8 ans) mais tout le reste s'effondre (FID 24,0 → 56,4, genre 86,8 → 67,7 %). La forme hybride, qui conserve la branche conjointe et n'ajoute qu'un supplément d'âge, avait été conçue pour éviter cette perte. Elle ne l'évite pas : elle l'adoucit.</w:t>
      </w:r>
    </w:p>
    <w:p>
      <w:pPr>
        <w:spacing w:after="60" w:before="160"/>
        <w:jc w:val="center"/>
      </w:pPr>
      <w:r>
        <w:drawing>
          <wp:inline distT="0" distB="0" distL="0" distR="0">
            <wp:extent cx="4114800" cy="2939142"/>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939142"/>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7 - Guidage d'âge hybride : chaque année de MAE gagnée coûte environ 3,5 points de fidélité au genre. Le compromis est linéaire et sans point d'inflexion, il n'existe pas de réglage gratuit.</w:t>
      </w:r>
    </w:p>
    <w:p>
      <w:pPr>
        <w:spacing w:after="160" w:line="300"/>
        <w:jc w:val="both"/>
      </w:pPr>
      <w:r>
        <w:rPr>
          <w:rFonts w:ascii="Calibri" w:cs="Calibri" w:eastAsia="Calibri" w:hAnsi="Calibri"/>
          <w:sz w:val="22"/>
          <w:szCs w:val="22"/>
        </w:rPr>
        <w:t xml:space="preserve">L'explication est structurelle et non paramétrique. Les trois attributs sont encodés puis SOMMÉS en un vecteur unique, injecté au même point de chaque bloc résiduel. La branche « âge seul » est une condition dépourvue de genre : ajouter sa direction pousse mécaniquement vers des visages qui respectent moins le genre demandé. Aucune échelle de guidage ne peut défaire cela, parce que le conflit est dans la représentation, pas dans le guidage. Le remède connu est un conditionnement par cross-attention, où chaque attribut dispose de son propre canal d'interaction avec l'image ; il figurait déjà dans nos pistes d'amélioration, il y figure désormais avec une justification chiffrée plutôt qu'une intuition.</w:t>
      </w:r>
    </w:p>
    <w:p>
      <w:pPr>
        <w:pStyle w:val="Heading1"/>
        <w:spacing w:after="200" w:before="360"/>
      </w:pPr>
      <w:r>
        <w:rPr>
          <w:rFonts w:ascii="Calibri" w:cs="Calibri" w:eastAsia="Calibri" w:hAnsi="Calibri"/>
        </w:rPr>
        <w:t xml:space="preserve">8. Réglage livré</w:t>
      </w:r>
    </w:p>
    <w:p>
      <w:pPr>
        <w:spacing w:after="160" w:line="300"/>
        <w:jc w:val="both"/>
      </w:pPr>
      <w:r>
        <w:rPr>
          <w:rFonts w:ascii="Calibri" w:cs="Calibri" w:eastAsia="Calibri" w:hAnsi="Calibri"/>
          <w:sz w:val="22"/>
          <w:szCs w:val="22"/>
        </w:rPr>
        <w:t xml:space="preserve">Le modèle livré est v2 en guidage standard (w = 3, supplément d'âge nul) : FID 24,0, MAE d'âge 10,8 ans, genre 86,8 %. Il domine v1 sur le réalisme et sur le contrôle d'âge sans contrepartie à défendre. Le supplément de guidage d'âge reste exposé dans le démonstrateur et documenté par la figure 7 : c'est un curseur que l'utilisateur actionne en connaissance du prix, pas un réglage par défaut.</w:t>
      </w:r>
    </w:p>
    <w:p>
      <w:pPr>
        <w:pStyle w:val="Heading1"/>
        <w:spacing w:after="200" w:before="360"/>
      </w:pPr>
      <w:r>
        <w:rPr>
          <w:rFonts w:ascii="Calibri" w:cs="Calibri" w:eastAsia="Calibri" w:hAnsi="Calibri"/>
        </w:rPr>
        <w:t xml:space="preserve">9. Tentative de montée en résolution : un échec instructif</w:t>
      </w:r>
    </w:p>
    <w:p>
      <w:pPr>
        <w:spacing w:after="160" w:line="300"/>
        <w:jc w:val="both"/>
      </w:pPr>
      <w:r>
        <w:rPr>
          <w:rFonts w:ascii="Calibri" w:cs="Calibri" w:eastAsia="Calibri" w:hAnsi="Calibri"/>
          <w:sz w:val="22"/>
          <w:szCs w:val="22"/>
        </w:rPr>
        <w:t xml:space="preserve">La résolution de 48 px étant la limite la plus visible du système, nous avons tenté de la doubler dans le temps restant. L'architecture s'y prête sans modification : l'attention étant placée à résolution/4, elle reste au troisième étage quelle que soit la taille d'entrée, et la liste des modules (donc les clés du state_dict) demeure identique. Le modèle 96 px a ainsi pu repartir des poids de v2 (vérification : zéro clé manquante, zéro clé inattendue) plutôt que d'un tirage aléatoire.</w:t>
      </w:r>
    </w:p>
    <w:p>
      <w:pPr>
        <w:spacing w:after="160" w:line="300"/>
        <w:jc w:val="both"/>
      </w:pPr>
      <w:r>
        <w:rPr>
          <w:rFonts w:ascii="Calibri" w:cs="Calibri" w:eastAsia="Calibri" w:hAnsi="Calibri"/>
          <w:sz w:val="22"/>
          <w:szCs w:val="22"/>
        </w:rPr>
        <w:t xml:space="preserve">Le débit mesuré est de 11,4 images par seconde contre 37 en 48 px, soit 107 minutes par epoch. Sur le budget disponible, 8,3 epochs ont été effectuées sur les 14 prévues.</w:t>
      </w:r>
    </w:p>
    <w:p>
      <w:pPr>
        <w:pStyle w:val="Heading2"/>
        <w:spacing w:after="120" w:before="240"/>
      </w:pPr>
      <w:r>
        <w:rPr>
          <w:rFonts w:ascii="Calibri" w:cs="Calibri" w:eastAsia="Calibri" w:hAnsi="Calibri"/>
        </w:rPr>
        <w:t xml:space="preserve">9.1 Ce qui a fonctionné : la qualité d'image</w:t>
      </w:r>
    </w:p>
    <w:p>
      <w:pPr>
        <w:spacing w:after="160" w:line="300"/>
        <w:jc w:val="both"/>
      </w:pPr>
      <w:r>
        <w:rPr>
          <w:rFonts w:ascii="Calibri" w:cs="Calibri" w:eastAsia="Calibri" w:hAnsi="Calibri"/>
          <w:sz w:val="22"/>
          <w:szCs w:val="22"/>
        </w:rPr>
        <w:t xml:space="preserve">Le suivi de qualité s'appuie sur les grilles de contrôle écrites périodiquement pendant l'entraînement (src/grid_stats.py). Elles sont échantillonnées avec les poids EMA et constituent donc un échantillon gratuit du modèle courant : deux indicateurs y sont mesurés (dérive colorimétrique et énergie du laplacien) puis comparés à la distribution des images réelles à la même résolution. Ce dispositif permet d'arbitrer en cours de route sans immobiliser le GPU.</w:t>
      </w:r>
    </w:p>
    <w:p>
      <w:pPr>
        <w:pStyle w:val="ListParagraph"/>
        <w:numPr>
          <w:ilvl w:val="0"/>
          <w:numId w:val="2"/>
        </w:numPr>
        <w:spacing w:after="80" w:line="300"/>
        <w:jc w:val="both"/>
      </w:pPr>
      <w:r>
        <w:rPr>
          <w:rFonts w:ascii="Calibri" w:cs="Calibri" w:eastAsia="Calibri" w:hAnsi="Calibri"/>
          <w:b/>
          <w:bCs/>
          <w:sz w:val="22"/>
          <w:szCs w:val="22"/>
        </w:rPr>
        <w:t xml:space="preserve">Reprise de structure en 2 000 steps : </w:t>
      </w:r>
      <w:r>
        <w:rPr>
          <w:rFonts w:ascii="Calibri" w:cs="Calibri" w:eastAsia="Calibri" w:hAnsi="Calibri"/>
          <w:sz w:val="22"/>
          <w:szCs w:val="22"/>
        </w:rPr>
        <w:t xml:space="preserve">la première grille après le changement de résolution montre des visages dupliqués et empilés, des filtres calibrés pour un visage de 48 px se déclenchent plusieurs fois sur une image deux fois plus grande. Le défaut disparaît en une cinquantaine de minutes.</w:t>
      </w:r>
    </w:p>
    <w:p>
      <w:pPr>
        <w:pStyle w:val="ListParagraph"/>
        <w:numPr>
          <w:ilvl w:val="0"/>
          <w:numId w:val="2"/>
        </w:numPr>
        <w:spacing w:after="80" w:line="300"/>
        <w:jc w:val="both"/>
      </w:pPr>
      <w:r>
        <w:rPr>
          <w:rFonts w:ascii="Calibri" w:cs="Calibri" w:eastAsia="Calibri" w:hAnsi="Calibri"/>
          <w:b/>
          <w:bCs/>
          <w:sz w:val="22"/>
          <w:szCs w:val="22"/>
        </w:rPr>
        <w:t xml:space="preserve">Netteté de 58 % à 76 % du réel entre les epochs 51 et 54, </w:t>
      </w:r>
      <w:r>
        <w:rPr>
          <w:rFonts w:ascii="Calibri" w:cs="Calibri" w:eastAsia="Calibri" w:hAnsi="Calibri"/>
          <w:sz w:val="22"/>
          <w:szCs w:val="22"/>
        </w:rPr>
        <w:t xml:space="preserve">et dérive colorimétrique ramenée au niveau des images réelles (0,176 contre 0,174). À taille d'affichage égale, le modèle 96 px produit 76 % de la netteté du réel là où v2 agrandi par interpolation n'en atteint que 46 % : le gain visuel recherché est réel et mesurable.</w:t>
      </w:r>
    </w:p>
    <w:p>
      <w:pPr>
        <w:spacing w:after="160" w:line="300"/>
        <w:jc w:val="both"/>
      </w:pPr>
      <w:r>
        <w:rPr>
          <w:rFonts w:ascii="Calibri" w:cs="Calibri" w:eastAsia="Calibri" w:hAnsi="Calibri"/>
          <w:sz w:val="22"/>
          <w:szCs w:val="22"/>
        </w:rPr>
        <w:t xml:space="preserve">Une précaution de lecture s'est révélée nécessaire : une netteté très SUPÉRIEURE au réel ne signale pas du détail mais de la texture parasite. Les premières grilles atteignent 240 % ; nous avons d'abord interprété la décroissance qui suit comme une régression, avant de comprendre qu'il s'agissait de la traversée du régime d'artefacts.</w:t>
      </w:r>
    </w:p>
    <w:p>
      <w:pPr>
        <w:pStyle w:val="Heading2"/>
        <w:spacing w:after="120" w:before="240"/>
      </w:pPr>
      <w:r>
        <w:rPr>
          <w:rFonts w:ascii="Calibri" w:cs="Calibri" w:eastAsia="Calibri" w:hAnsi="Calibri"/>
        </w:rPr>
        <w:t xml:space="preserve">9.2 Ce qui a échoué : le contrôle d'âge</w:t>
      </w:r>
    </w:p>
    <w:p>
      <w:pPr>
        <w:spacing w:after="60" w:before="160"/>
        <w:jc w:val="center"/>
      </w:pPr>
      <w:r>
        <w:drawing>
          <wp:inline distT="0" distB="0" distL="0" distR="0">
            <wp:extent cx="4572000" cy="326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26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8 - Réponse en âge du modèle 96 px après 8,3 epochs. La courbe est de nouveau plate : l'âge perçu reste entre 29 et 40 ans quelle que soit la consigne.</w:t>
      </w:r>
    </w:p>
    <w:p>
      <w:pPr>
        <w:spacing w:after="160" w:line="300"/>
        <w:jc w:val="both"/>
      </w:pPr>
      <w:r>
        <w:rPr>
          <w:rFonts w:ascii="Calibri" w:cs="Calibri" w:eastAsia="Calibri" w:hAnsi="Calibri"/>
          <w:sz w:val="22"/>
          <w:szCs w:val="22"/>
        </w:rPr>
        <w:t xml:space="preserve">Le conditionnement, lui, ne s'est pas transféré. L'amplitude de réponse en âge retombe à 10,8 ans et la MAE à 14,0 ans (le niveau de v1, c'est-à-dire l'état que la correction du §6 avait précisément levé. Les poids de conditionnement ont pourtant été repris intégralement : ce n'est pas une perte d'information mais une réadaptation inachevée. Le modèle a rétabli ses priorités dans l'ordre où le signal est le plus fort) structure, puis couleur, et le contrôle d'âge, déjà l'attribut le plus faible (§7.3), serait venu en dernier. Huit epochs sur quatorze n'y ont pas suffi.</w:t>
      </w:r>
    </w:p>
    <w:p>
      <w:pPr>
        <w:pStyle w:val="Heading2"/>
        <w:spacing w:after="120" w:before="240"/>
      </w:pPr>
      <w:r>
        <w:rPr>
          <w:rFonts w:ascii="Calibri" w:cs="Calibri" w:eastAsia="Calibri" w:hAnsi="Calibri"/>
        </w:rPr>
        <w:t xml:space="preserve">9.3 Décision et enseignement</w:t>
      </w:r>
    </w:p>
    <w:p>
      <w:pPr>
        <w:spacing w:after="160" w:line="300"/>
        <w:jc w:val="both"/>
      </w:pPr>
      <w:r>
        <w:rPr>
          <w:rFonts w:ascii="Calibri" w:cs="Calibri" w:eastAsia="Calibri" w:hAnsi="Calibri"/>
          <w:sz w:val="22"/>
          <w:szCs w:val="22"/>
        </w:rPr>
        <w:t xml:space="preserve">Le modèle livré reste donc v2 en 48 px. Le sujet demande un contrôle précis des attributs ; la résolution est une contrainte de moyens, documentée et assumée. Échanger un contrôle acquis et mesuré contre du piqué reviendrait à troquer une exigence contre un agrément.</w:t>
      </w:r>
    </w:p>
    <w:p>
      <w:pPr>
        <w:spacing w:after="160" w:line="300"/>
        <w:jc w:val="both"/>
      </w:pPr>
      <w:r>
        <w:rPr>
          <w:rFonts w:ascii="Calibri" w:cs="Calibri" w:eastAsia="Calibri" w:hAnsi="Calibri"/>
          <w:sz w:val="22"/>
          <w:szCs w:val="22"/>
        </w:rPr>
        <w:t xml:space="preserve">L'enseignement dépasse ce cas particulier. Un changement de résolution n'est pas une opération neutre sur un modèle conditionnel : il renégocie l'ordre dans lequel le réseau réalloue sa capacité, et les attributs les plus faiblement portés sont les premiers sacrifiés. Mesurer la seule qualité d'image aurait conclu au succès, les deux indicateurs visuels étaient au vert au moment de l'arrêt. C'est la courbe de réponse en âge, instrument construit au §6 pour un tout autre problème, qui a évité de livrer un modèle plus joli et moins contrôlable.</w:t>
      </w:r>
    </w:p>
    <w:p>
      <w:pPr>
        <w:pStyle w:val="Heading1"/>
        <w:spacing w:after="200" w:before="360"/>
      </w:pPr>
      <w:r>
        <w:rPr>
          <w:rFonts w:ascii="Calibri" w:cs="Calibri" w:eastAsia="Calibri" w:hAnsi="Calibri"/>
        </w:rPr>
        <w:t xml:space="preserve">10. Analyse critique et limites</w:t>
      </w:r>
    </w:p>
    <w:p>
      <w:pPr>
        <w:pStyle w:val="ListParagraph"/>
        <w:numPr>
          <w:ilvl w:val="0"/>
          <w:numId w:val="2"/>
        </w:numPr>
        <w:spacing w:after="80" w:line="300"/>
        <w:jc w:val="both"/>
      </w:pPr>
      <w:r>
        <w:rPr>
          <w:rFonts w:ascii="Calibri" w:cs="Calibri" w:eastAsia="Calibri" w:hAnsi="Calibri"/>
          <w:b/>
          <w:bCs/>
          <w:sz w:val="22"/>
          <w:szCs w:val="22"/>
        </w:rPr>
        <w:t xml:space="preserve">MAE d'âge élevée (~12,5 ans) : </w:t>
      </w:r>
      <w:r>
        <w:rPr>
          <w:rFonts w:ascii="Calibri" w:cs="Calibri" w:eastAsia="Calibri" w:hAnsi="Calibri"/>
          <w:sz w:val="22"/>
          <w:szCs w:val="22"/>
        </w:rPr>
        <w:t xml:space="preserve">le §6 en établit la cause dominante,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progression d'âge que la mesure systématique du §6 ne confirme pas : elle illustre la continuité de la trajectoire dans l'espace d'embedding, pas la fidélité de l'âge produit.</w:t>
      </w:r>
    </w:p>
    <w:p>
      <w:pPr>
        <w:pStyle w:val="ListParagraph"/>
        <w:numPr>
          <w:ilvl w:val="0"/>
          <w:numId w:val="2"/>
        </w:numPr>
        <w:spacing w:after="80" w:line="300"/>
        <w:jc w:val="both"/>
      </w:pPr>
      <w:r>
        <w:rPr>
          <w:rFonts w:ascii="Calibri" w:cs="Calibri" w:eastAsia="Calibri" w:hAnsi="Calibri"/>
          <w:b/>
          <w:bCs/>
          <w:sz w:val="22"/>
          <w:szCs w:val="22"/>
        </w:rPr>
        <w:t xml:space="preserve">Résolution 48 px : </w:t>
      </w:r>
      <w:r>
        <w:rPr>
          <w:rFonts w:ascii="Calibri" w:cs="Calibri" w:eastAsia="Calibri" w:hAnsi="Calibri"/>
          <w:sz w:val="22"/>
          <w:szCs w:val="22"/>
        </w:rPr>
        <w:t xml:space="preserve">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pPr>
        <w:pStyle w:val="ListParagraph"/>
        <w:numPr>
          <w:ilvl w:val="0"/>
          <w:numId w:val="2"/>
        </w:numPr>
        <w:spacing w:after="80" w:line="300"/>
        <w:jc w:val="both"/>
      </w:pPr>
      <w:r>
        <w:rPr>
          <w:rFonts w:ascii="Calibri" w:cs="Calibri" w:eastAsia="Calibri" w:hAnsi="Calibri"/>
          <w:b/>
          <w:bCs/>
          <w:sz w:val="22"/>
          <w:szCs w:val="22"/>
        </w:rPr>
        <w:t xml:space="preserve">Artefacts résiduels : </w:t>
      </w:r>
      <w:r>
        <w:rPr>
          <w:rFonts w:ascii="Calibri" w:cs="Calibri" w:eastAsia="Calibri" w:hAnsi="Calibri"/>
          <w:sz w:val="22"/>
          <w:szCs w:val="22"/>
        </w:rPr>
        <w:t xml:space="preserve">environ 10-15 % des tirages présentent des textures saturées, fréquence qui augmente avec w (cohérent avec la dégradation du FID mesurée en §3). Baisser w ou augmenter les pas DDIM les réduit.</w:t>
      </w:r>
    </w:p>
    <w:p>
      <w:pPr>
        <w:pStyle w:val="ListParagraph"/>
        <w:numPr>
          <w:ilvl w:val="0"/>
          <w:numId w:val="2"/>
        </w:numPr>
        <w:spacing w:after="80" w:line="300"/>
        <w:jc w:val="both"/>
      </w:pPr>
      <w:r>
        <w:rPr>
          <w:rFonts w:ascii="Calibri" w:cs="Calibri" w:eastAsia="Calibri" w:hAnsi="Calibri"/>
          <w:b/>
          <w:bCs/>
          <w:sz w:val="22"/>
          <w:szCs w:val="22"/>
        </w:rPr>
        <w:t xml:space="preserve">Fidélité peau inégale : </w:t>
      </w:r>
      <w:r>
        <w:rPr>
          <w:rFonts w:ascii="Calibri" w:cs="Calibri" w:eastAsia="Calibri" w:hAnsi="Calibri"/>
          <w:sz w:val="22"/>
          <w:szCs w:val="22"/>
        </w:rPr>
        <w:t xml:space="preserve">voir §4 ; mesure confondue avec le biais du juge.</w:t>
      </w:r>
    </w:p>
    <w:p>
      <w:pPr>
        <w:pStyle w:val="Heading2"/>
        <w:spacing w:after="160" w:before="280"/>
      </w:pPr>
      <w:r>
        <w:rPr>
          <w:rFonts w:ascii="Calibri" w:cs="Calibri" w:eastAsia="Calibri" w:hAnsi="Calibri"/>
        </w:rPr>
        <w:t xml:space="preserve">Pistes d'amélioration</w:t>
      </w:r>
    </w:p>
    <w:p>
      <w:pPr>
        <w:spacing w:after="160" w:line="300"/>
        <w:jc w:val="both"/>
      </w:pPr>
      <w:r>
        <w:rPr>
          <w:rFonts w:ascii="Calibri" w:cs="Calibri" w:eastAsia="Calibri" w:hAnsi="Calibri"/>
          <w:sz w:val="22"/>
          <w:szCs w:val="22"/>
        </w:rPr>
        <w:t xml:space="preserve">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pPr>
        <w:pStyle w:val="Heading1"/>
        <w:spacing w:after="200" w:before="360"/>
      </w:pPr>
      <w:r>
        <w:rPr>
          <w:rFonts w:ascii="Calibri" w:cs="Calibri" w:eastAsia="Calibri" w:hAnsi="Calibri"/>
        </w:rPr>
        <w:t xml:space="preserve">11. Conclusion</w:t>
      </w:r>
    </w:p>
    <w:p>
      <w:pPr>
        <w:spacing w:after="160" w:line="300"/>
        <w:jc w:val="both"/>
      </w:pPr>
      <w:r>
        <w:rPr>
          <w:rFonts w:ascii="Calibri" w:cs="Calibri" w:eastAsia="Calibri" w:hAnsi="Calibri"/>
          <w:sz w:val="22"/>
          <w:szCs w:val="22"/>
        </w:rPr>
        <w:t xml:space="preserve">Le système remplit le cahier des charges : génération de visages contrôlée par âge continu, genre et tonalité de peau, interpolation à identité fixe, évaluation quantitative complète et comparaison à une méthode de référence - le tout entraîné from scratch sur une machine personnelle. Le contrôle d'âge n'a toutefois été acquis qu'au second modèle : la première version, dont toutes les métriques agrégées semblaient acceptables, ignorait purement et simplement la condition d'âge. Sur la plage 26-62 ans, la version corrigée descend sous le seuil de résolution du juge ; aux deux extrémités, 18 et 70 ans, le contrôle reste partiel et nous le rapportons comme tel.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b7a4cf998a71a54eb18aae85a9d96f1d128c.png"/><Relationship Id="rId9" Type="http://schemas.openxmlformats.org/officeDocument/2006/relationships/image" Target="media/bc5a7579fb9aca76da22ec1293477b6a87b73ad7.png"/><Relationship Id="rId10" Type="http://schemas.openxmlformats.org/officeDocument/2006/relationships/image" Target="media/146c4ee48059797ee8d267fb249f7596654c3c7f.png"/><Relationship Id="rId11" Type="http://schemas.openxmlformats.org/officeDocument/2006/relationships/image" Target="media/d14f164fd11c9871c11674abe9f0f05cf7780977.png"/><Relationship Id="rId12" Type="http://schemas.openxmlformats.org/officeDocument/2006/relationships/fontTable" Target="fontTable.xml"/><Relationship Id="rId13" Type="http://schemas.openxmlformats.org/officeDocument/2006/relationships/image" Target="media/669c776f7cc7b79af5ab5221361cd762e760cd31.png"/><Relationship Id="rId14" Type="http://schemas.openxmlformats.org/officeDocument/2006/relationships/image" Target="media/edeea541f26ce13dbd12791302e70a80ace9ba70.png"/><Relationship Id="rId15" Type="http://schemas.openxmlformats.org/officeDocument/2006/relationships/image" Target="media/283098738affd9d1771a1c3592a01b11335d313b.png"/><Relationship Id="rId16" Type="http://schemas.openxmlformats.org/officeDocument/2006/relationships/image" Target="media/c1d3344add121d7ef771345feb05adb052675e6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Un-named</cp:lastModifiedBy>
  <cp:revision>1</cp:revision>
  <dcterms:created xsi:type="dcterms:W3CDTF">2026-07-14T08:31:41.033Z</dcterms:created>
  <dcterms:modified xsi:type="dcterms:W3CDTF">2026-07-14T08:31:41.033Z</dcterms:modified>
</cp:coreProperties>
</file>

<file path=docProps/custom.xml><?xml version="1.0" encoding="utf-8"?>
<Properties xmlns="http://schemas.openxmlformats.org/officeDocument/2006/custom-properties" xmlns:vt="http://schemas.openxmlformats.org/officeDocument/2006/docPropsVTypes"/>
</file>