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 w:after="0"/>
      </w:pPr>
    </w:p>
    <w:p>
      <w:pPr>
        <w:spacing w:after="60"/>
      </w:pPr>
      <w:r>
        <w:rPr>
          <w:rFonts w:ascii="Consolas" w:hAnsi="Consolas"/>
          <w:color w:val="0C5C52"/>
          <w:sz w:val="20"/>
          <w:spacing w:val="60"/>
        </w:rPr>
        <w:t>YASTACOIN - QR BOLIVIA</w:t>
      </w:r>
    </w:p>
    <w:p>
      <w:pPr>
        <w:pStyle w:val="Portada"/>
      </w:pPr>
      <w:r>
        <w:t>Documentacion de Endpoints gRPC</w:t>
      </w:r>
    </w:p>
    <w:p>
      <w:pPr>
        <w:pStyle w:val="PortadaSub"/>
      </w:pPr>
      <w:r>
        <w:t>Contratos, atributos, respuestas y diccionario de errores de los microservicios Auth y AccountsAndMovements.</w:t>
      </w:r>
    </w:p>
    <w:p>
      <w:pPr>
        <w:pBdr>
          <w:bottom w:val="single" w:sz="18" w:color="0C5C52"/>
        </w:pBdr>
        <w:spacing w:before="240" w:after="360"/>
        <w:ind w:right="5400"/>
      </w:pPr>
    </w:p>
    <w:tbl>
      <w:tblPr>
        <w:tblW w:w="6000" w:type="dxa"/>
        <w:tblLayout w:type="fixed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40" w:type="dxa"/>
          <w:bottom w:w="40" w:type="dxa"/>
          <w:left w:w="0" w:type="dxa"/>
          <w:right w:w="80" w:type="dxa"/>
        </w:tblCellMar>
      </w:tblPr>
      <w:tblGrid>
        <w:gridCol w:w="1900"/>
        <w:gridCol w:w="4100"/>
      </w:tblGrid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Documento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Documentacion de Endpoints gRPC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Version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1.0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Fecha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03/09/2026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Estado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Aprobado para entrega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Reto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RETO 1 - QR Bolivia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Equipo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 . Mariel . Rene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Autor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Clasificacion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Uso interno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Control de versiones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628"/>
        <w:gridCol w:w="1628"/>
        <w:gridCol w:w="1628"/>
        <w:gridCol w:w="4476"/>
      </w:tblGrid>
      <w:tr>
        <w:trPr>
          <w:tblHeader/>
        </w:trPr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Version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Fecha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Autor</w:t>
            </w:r>
          </w:p>
        </w:tc>
        <w:tc>
          <w:tcPr>
            <w:tcW w:w="447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Descripcion del cambio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1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.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4476" w:type="dxa"/>
          </w:tcPr>
          <w:p>
            <w:pPr>
              <w:pStyle w:val="Celda"/>
            </w:pP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3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/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V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 xml:space="preserve">Indice</w:t>
      </w:r>
    </w:p>
    <w:p>
      <w:pPr>
        <w:spacing w:after="120"/>
      </w:pPr>
      <w:r>
        <w:rPr>
          <w:i/>
          <w:color w:val="5C6B67"/>
          <w:sz w:val="17"/>
        </w:rPr>
        <w:t>Si el indice aparece vacio, seleccionarlo y pulsar F9 para actualizar los campos.</w:t>
      </w:r>
    </w:p>
    <w:p>
      <w:pPr>
        <w:spacing w:after="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color w:val="5C6B67"/>
          <w:sz w:val="19"/>
        </w:rPr>
        <w:t>Actualizar con F9.</w:t>
      </w:r>
      <w:r>
        <w:fldChar w:fldCharType="end"/>
      </w:r>
    </w:p>
    <w:p>
      <w:r>
        <w:br w:type="page"/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418"/>
        <w:gridCol w:w="1418"/>
        <w:gridCol w:w="1702"/>
        <w:gridCol w:w="567"/>
        <w:gridCol w:w="4255"/>
      </w:tblGrid>
      <w:tr>
        <w:trPr>
          <w:tblHeader/>
        </w:trPr>
        <w:tc>
          <w:tcPr>
            <w:tcW w:w="141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Servicio</w:t>
            </w:r>
          </w:p>
        </w:tc>
        <w:tc>
          <w:tcPr>
            <w:tcW w:w="141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Paquete</w:t>
            </w:r>
          </w:p>
        </w:tc>
        <w:tc>
          <w:tcPr>
            <w:tcW w:w="1702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Puerto local</w:t>
            </w:r>
          </w:p>
        </w:tc>
        <w:tc>
          <w:tcPr>
            <w:tcW w:w="567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Docker</w:t>
            </w:r>
          </w:p>
        </w:tc>
        <w:tc>
          <w:tcPr>
            <w:tcW w:w="425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Contrato</w:t>
            </w:r>
          </w:p>
        </w:tc>
      </w:tr>
      <w:tr>
        <w:tc>
          <w:tcPr>
            <w:tcW w:w="141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Auth</w:t>
            </w:r>
          </w:p>
        </w:tc>
        <w:tc>
          <w:tcPr>
            <w:tcW w:w="14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auth</w:t>
            </w:r>
          </w:p>
        </w:tc>
        <w:tc>
          <w:tcPr>
            <w:tcW w:w="170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52127 http · 52126 https</w:t>
            </w:r>
          </w:p>
        </w:tc>
        <w:tc>
          <w:tcPr>
            <w:tcW w:w="56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52127</w:t>
            </w:r>
          </w:p>
        </w:tc>
        <w:tc>
          <w:tcPr>
            <w:tcW w:w="425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auth.proto</w:t>
            </w:r>
          </w:p>
        </w:tc>
      </w:tr>
      <w:tr>
        <w:tc>
          <w:tcPr>
            <w:tcW w:w="141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AccountsAndMovements</w:t>
            </w:r>
          </w:p>
        </w:tc>
        <w:tc>
          <w:tcPr>
            <w:tcW w:w="14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accounts_movements</w:t>
            </w:r>
          </w:p>
        </w:tc>
        <w:tc>
          <w:tcPr>
            <w:tcW w:w="170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52131 http · 52130 https</w:t>
            </w:r>
          </w:p>
        </w:tc>
        <w:tc>
          <w:tcPr>
            <w:tcW w:w="567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52131</w:t>
            </w:r>
          </w:p>
        </w:tc>
        <w:tc>
          <w:tcPr>
            <w:tcW w:w="425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accounts_movements.proto</w:t>
            </w:r>
          </w:p>
        </w:tc>
      </w:tr>
    </w:tbl>
    <w:p>
      <w:pPr>
        <w:spacing w:after="0" w:line="120" w:lineRule="exact"/>
      </w:pPr>
    </w:p>
    <w:p>
      <w:r>
        <w:rPr>
          <w:color w:val="1A2422"/>
          <w:sz w:val="21"/>
        </w:rPr>
        <w:t xml:space="preserve">Los dos importan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base_response.proto</w:t>
      </w:r>
      <w:r>
        <w:rPr>
          <w:color w:val="1A2422"/>
          <w:sz w:val="21"/>
        </w:rPr>
        <w:t xml:space="preserve">: esa carpeta es </w:t>
      </w:r>
      <w:r>
        <w:rPr>
          <w:i/>
          <w:color w:val="1A2422"/>
          <w:sz w:val="21"/>
        </w:rPr>
        <w:t xml:space="preserve">import path</w:t>
      </w:r>
      <w:r>
        <w:rPr>
          <w:color w:val="1A2422"/>
          <w:sz w:val="21"/>
        </w:rPr>
        <w:t xml:space="preserve"> obligatorio para compilarlos.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1. El sobre de respuesta</w:t>
      </w:r>
    </w:p>
    <w:p>
      <w:r>
        <w:rPr>
          <w:color w:val="1A2422"/>
          <w:sz w:val="21"/>
        </w:rPr>
        <w:t xml:space="preserve">Todas las respuestas comparten la misma forma. Nunca hay un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data</w:t>
      </w:r>
      <w:r>
        <w:rPr>
          <w:color w:val="1A2422"/>
          <w:sz w:val="21"/>
        </w:rPr>
        <w:t xml:space="preserve"> suelto.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484"/>
        <w:gridCol w:w="1940"/>
        <w:gridCol w:w="5936"/>
      </w:tblGrid>
      <w:tr>
        <w:trPr>
          <w:tblHeader/>
        </w:trPr>
        <w:tc>
          <w:tcPr>
            <w:tcW w:w="1484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Campo</w:t>
            </w:r>
          </w:p>
        </w:tc>
        <w:tc>
          <w:tcPr>
            <w:tcW w:w="194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Cuándo viene</w:t>
            </w:r>
          </w:p>
        </w:tc>
        <w:tc>
          <w:tcPr>
            <w:tcW w:w="593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Contiene</w:t>
            </w:r>
          </w:p>
        </w:tc>
      </w:tr>
      <w:tr>
        <w:tc>
          <w:tcPr>
            <w:tcW w:w="148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status_code</w:t>
            </w:r>
          </w:p>
        </w:tc>
        <w:tc>
          <w:tcPr>
            <w:tcW w:w="194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siempre</w:t>
            </w:r>
          </w:p>
        </w:tc>
        <w:tc>
          <w:tcPr>
            <w:tcW w:w="593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SUC000</w:t>
            </w:r>
            <w:r>
              <w:rPr>
                <w:color w:val="1A2422"/>
                <w:sz w:val="18"/>
              </w:rPr>
              <w:t xml:space="preserve"> si salió bien; si no, el código del error</w:t>
            </w:r>
          </w:p>
        </w:tc>
      </w:tr>
      <w:tr>
        <w:tc>
          <w:tcPr>
            <w:tcW w:w="148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message</w:t>
            </w:r>
          </w:p>
        </w:tc>
        <w:tc>
          <w:tcPr>
            <w:tcW w:w="194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siempre</w:t>
            </w:r>
          </w:p>
        </w:tc>
        <w:tc>
          <w:tcPr>
            <w:tcW w:w="593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Texto en español, listo para mostrar</w:t>
            </w:r>
          </w:p>
        </w:tc>
      </w:tr>
      <w:tr>
        <w:tc>
          <w:tcPr>
            <w:tcW w:w="148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</w:t>
            </w:r>
          </w:p>
        </w:tc>
        <w:tc>
          <w:tcPr>
            <w:tcW w:w="194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solo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SUC000</w:t>
            </w:r>
          </w:p>
        </w:tc>
        <w:tc>
          <w:tcPr>
            <w:tcW w:w="593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resultado; su tipo cambia por endpoint</w:t>
            </w:r>
          </w:p>
        </w:tc>
      </w:tr>
      <w:tr>
        <w:tc>
          <w:tcPr>
            <w:tcW w:w="148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errors</w:t>
            </w:r>
          </w:p>
        </w:tc>
        <w:tc>
          <w:tcPr>
            <w:tcW w:w="194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solo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VAL001</w:t>
            </w:r>
          </w:p>
        </w:tc>
        <w:tc>
          <w:tcPr>
            <w:tcW w:w="593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elemento por campo inválido: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{ field, message }</w:t>
            </w:r>
          </w:p>
        </w:tc>
      </w:tr>
      <w:tr>
        <w:tc>
          <w:tcPr>
            <w:tcW w:w="1484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exception</w:t>
            </w:r>
          </w:p>
        </w:tc>
        <w:tc>
          <w:tcPr>
            <w:tcW w:w="194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solo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ERR001</w:t>
            </w:r>
          </w:p>
        </w:tc>
        <w:tc>
          <w:tcPr>
            <w:tcW w:w="593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Detalle de la excepción</w:t>
            </w:r>
          </w:p>
        </w:tc>
      </w:tr>
    </w:tbl>
    <w:p>
      <w:pPr>
        <w:spacing w:after="0" w:line="120" w:lineRule="exact"/>
      </w:pPr>
    </w:p>
    <w:p>
      <w:r>
        <w:rPr>
          <w:b/>
          <w:color w:val="1A2422"/>
          <w:sz w:val="21"/>
        </w:rPr>
        <w:t xml:space="preserve">Se lee el `status_code`, no el canal de transporte.</w:t>
      </w:r>
      <w:r>
        <w:rPr>
          <w:color w:val="1A2422"/>
          <w:sz w:val="21"/>
        </w:rPr>
        <w:t xml:space="preserve"> Un error de negocio —saldo insuficiente, QR vencido— viaja como respuesta gRPC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OK</w:t>
      </w:r>
      <w:r>
        <w:rPr>
          <w:color w:val="1A2422"/>
          <w:sz w:val="21"/>
        </w:rPr>
        <w:t xml:space="preserve"> con su código: son resultados esperados, no fallas de comunicación. Los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StatusCode</w:t>
      </w:r>
      <w:r>
        <w:rPr>
          <w:color w:val="1A2422"/>
          <w:sz w:val="21"/>
        </w:rPr>
        <w:t xml:space="preserve"> de gRPC quedan para lo que sí es transporte (§5).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629"/>
        <w:gridCol w:w="5731"/>
      </w:tblGrid>
      <w:tr>
        <w:trPr>
          <w:tblHeader/>
        </w:trPr>
        <w:tc>
          <w:tcPr>
            <w:tcW w:w="3629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Convención</w:t>
            </w:r>
          </w:p>
        </w:tc>
        <w:tc>
          <w:tcPr>
            <w:tcW w:w="5731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Motivo</w:t>
            </w:r>
          </w:p>
        </w:tc>
      </w:tr>
      <w:tr>
        <w:tc>
          <w:tcPr>
            <w:tcW w:w="362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Decimales como </w:t>
            </w:r>
            <w:r>
              <w:rPr>
                <w:b/>
                <w:color w:val="1A2422"/>
                <w:sz w:val="18"/>
              </w:rPr>
              <w:t xml:space="preserve">string</w:t>
            </w:r>
            <w:r>
              <w:rPr>
                <w:color w:val="1A2422"/>
                <w:sz w:val="18"/>
              </w:rPr>
              <w:t xml:space="preserve"> (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"139.20"</w:t>
            </w:r>
            <w:r>
              <w:rPr>
                <w:color w:val="1A2422"/>
                <w:sz w:val="18"/>
              </w:rPr>
              <w:t xml:space="preserve">)</w:t>
            </w:r>
          </w:p>
        </w:tc>
        <w:tc>
          <w:tcPr>
            <w:tcW w:w="5731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double</w:t>
            </w:r>
            <w:r>
              <w:rPr>
                <w:color w:val="1A2422"/>
                <w:sz w:val="18"/>
              </w:rPr>
              <w:t xml:space="preserve"> redondearía montos y tipos de cambio, y eso quedaría grabado en el asiento</w:t>
            </w:r>
          </w:p>
        </w:tc>
      </w:tr>
      <w:tr>
        <w:tc>
          <w:tcPr>
            <w:tcW w:w="3629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Fechas como </w:t>
            </w:r>
            <w:r>
              <w:rPr>
                <w:b/>
                <w:color w:val="1A2422"/>
                <w:sz w:val="18"/>
              </w:rPr>
              <w:t xml:space="preserve">string ISO 8601</w:t>
            </w:r>
          </w:p>
        </w:tc>
        <w:tc>
          <w:tcPr>
            <w:tcW w:w="5731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proto3 no tiene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null</w:t>
            </w:r>
            <w:r>
              <w:rPr>
                <w:color w:val="1A2422"/>
                <w:sz w:val="18"/>
              </w:rPr>
              <w:t xml:space="preserve"> para escalares</w:t>
            </w:r>
          </w:p>
        </w:tc>
      </w:tr>
      <w:tr>
        <w:tc>
          <w:tcPr>
            <w:tcW w:w="362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""</w:t>
            </w:r>
            <w:r>
              <w:rPr>
                <w:color w:val="1A2422"/>
                <w:sz w:val="18"/>
              </w:rPr>
              <w:t xml:space="preserve"> y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0</w:t>
            </w:r>
            <w:r>
              <w:rPr>
                <w:color w:val="1A2422"/>
                <w:sz w:val="18"/>
              </w:rPr>
              <w:t xml:space="preserve"> significan </w:t>
            </w:r>
            <w:r>
              <w:rPr>
                <w:b/>
                <w:color w:val="1A2422"/>
                <w:sz w:val="18"/>
              </w:rPr>
              <w:t xml:space="preserve">sin valor</w:t>
            </w:r>
          </w:p>
        </w:tc>
        <w:tc>
          <w:tcPr>
            <w:tcW w:w="5731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Misma razón</w:t>
            </w:r>
          </w:p>
        </w:tc>
      </w:tr>
    </w:tbl>
    <w:p>
      <w:pPr>
        <w:spacing w:after="0" w:line="120" w:lineRule="exact"/>
      </w:pPr>
    </w:p>
    <w:p>
      <w:r>
        <w:rPr>
          <w:b/>
          <w:color w:val="1A2422"/>
          <w:sz w:val="21"/>
        </w:rPr>
        <w:t xml:space="preserve">Autenticación</w:t>
      </w:r>
      <w:r>
        <w:rPr>
          <w:color w:val="1A2422"/>
          <w:sz w:val="21"/>
        </w:rPr>
        <w:t xml:space="preserve"> · todos los RPC exigen metadata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authorization: Bearer &lt;jwt&gt;</w:t>
      </w:r>
      <w:r>
        <w:rPr>
          <w:color w:val="1A2422"/>
          <w:sz w:val="21"/>
        </w:rPr>
        <w:t xml:space="preserve">. El servicio </w:t>
      </w:r>
      <w:r>
        <w:rPr>
          <w:b/>
          <w:color w:val="1A2422"/>
          <w:sz w:val="21"/>
        </w:rPr>
        <w:t xml:space="preserve">lee</w:t>
      </w:r>
      <w:r>
        <w:rPr>
          <w:color w:val="1A2422"/>
          <w:sz w:val="21"/>
        </w:rPr>
        <w:t xml:space="preserve"> el token pero no verifica su firma —eso es del Gateway—; lo que sí resuelve es la </w:t>
      </w:r>
      <w:r>
        <w:rPr>
          <w:b/>
          <w:color w:val="1A2422"/>
          <w:sz w:val="21"/>
        </w:rPr>
        <w:t xml:space="preserve">identidad</w:t>
      </w:r>
      <w:r>
        <w:rPr>
          <w:color w:val="1A2422"/>
          <w:sz w:val="21"/>
        </w:rPr>
        <w:t xml:space="preserve">, que no se delega: un token auténtico podría traer en el cuerpo el id de otro cliente. Los endpoints  sacan el cliente del claim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client_id</w:t>
      </w:r>
      <w:r>
        <w:rPr>
          <w:color w:val="1A2422"/>
          <w:sz w:val="21"/>
        </w:rPr>
        <w:t xml:space="preserve"> y no lo reciben como parámetro.</w:t>
      </w:r>
    </w:p>
    <w:p>
      <w:r>
        <w:rPr>
          <w:color w:val="1A2422"/>
          <w:sz w:val="21"/>
        </w:rPr>
        <w:t xml:space="preserve">Claims que emite Auth: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sub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client_id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username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role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permissions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jti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exp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2. Auth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585"/>
        <w:gridCol w:w="2925"/>
        <w:gridCol w:w="2925"/>
        <w:gridCol w:w="2925"/>
      </w:tblGrid>
      <w:tr>
        <w:trPr>
          <w:tblHeader/>
        </w:trPr>
        <w:tc>
          <w:tcPr>
            <w:tcW w:w="58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RPC</w:t>
            </w:r>
          </w:p>
        </w:tc>
        <w:tc>
          <w:tcPr>
            <w:tcW w:w="292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Request</w:t>
            </w:r>
          </w:p>
        </w:tc>
        <w:tc>
          <w:tcPr>
            <w:tcW w:w="292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Response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</w:t>
            </w:r>
          </w:p>
        </w:tc>
        <w:tc>
          <w:tcPr>
            <w:tcW w:w="292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Errores</w:t>
            </w:r>
          </w:p>
        </w:tc>
      </w:tr>
      <w:tr>
        <w:tc>
          <w:tcPr>
            <w:tcW w:w="58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Login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username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password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access_token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expires_at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expires_in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user_id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client_id</w:t>
            </w:r>
            <w:r>
              <w:rPr>
                <w:color w:val="1A2422"/>
                <w:sz w:val="18"/>
              </w:rPr>
              <w:t xml:space="preserve"> (0 = operador interno),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username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full_name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role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INVALID_CREDENTIALS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USER_INACTIVE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USER_LOCKED</w:t>
            </w:r>
          </w:p>
        </w:tc>
      </w:tr>
      <w:tr>
        <w:tc>
          <w:tcPr>
            <w:tcW w:w="58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CreateUser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username</w:t>
            </w:r>
            <w:r>
              <w:rPr>
                <w:color w:val="1A2422"/>
                <w:sz w:val="18"/>
              </w:rPr>
              <w:t xml:space="preserve"> (único),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password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document</w:t>
            </w:r>
            <w:r>
              <w:rPr>
                <w:color w:val="1A2422"/>
                <w:sz w:val="18"/>
              </w:rPr>
              <w:t xml:space="preserve"> (vacío = ADMIN interno),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full_name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role</w:t>
            </w:r>
            <w:r>
              <w:rPr>
                <w:color w:val="1A2422"/>
                <w:sz w:val="18"/>
              </w:rPr>
              <w:t xml:space="preserve">: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CLIENTE</w:t>
            </w:r>
            <w:r>
              <w:rPr>
                <w:color w:val="1A2422"/>
                <w:sz w:val="18"/>
              </w:rPr>
              <w:t xml:space="preserve">·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AGENTE</w:t>
            </w:r>
            <w:r>
              <w:rPr>
                <w:color w:val="1A2422"/>
                <w:sz w:val="18"/>
              </w:rPr>
              <w:t xml:space="preserve">·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ADMIN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int64</w:t>
            </w:r>
            <w:r>
              <w:rPr>
                <w:color w:val="1A2422"/>
                <w:sz w:val="18"/>
              </w:rPr>
              <w:t xml:space="preserve"> user_id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USER_DUPLICATE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CLIENT_NOT_FOUND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CLIENT_INACTIVE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CLIENT_ALREADY_HAS_USER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INSERT_FAILED</w:t>
            </w:r>
          </w:p>
        </w:tc>
      </w:tr>
      <w:tr>
        <w:tc>
          <w:tcPr>
            <w:tcW w:w="58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DeleteUser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user_id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int64</w:t>
            </w:r>
            <w:r>
              <w:rPr>
                <w:color w:val="1A2422"/>
                <w:sz w:val="18"/>
              </w:rPr>
              <w:t xml:space="preserve"> id eliminado</w:t>
            </w:r>
          </w:p>
        </w:tc>
        <w:tc>
          <w:tcPr>
            <w:tcW w:w="292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USER_NOT_FOUND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DELETE_FAILED</w:t>
            </w:r>
          </w:p>
        </w:tc>
      </w:tr>
    </w:tbl>
    <w:p>
      <w:pPr>
        <w:spacing w:after="0" w:line="120" w:lineRule="exact"/>
      </w:pP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Login</w:t>
      </w:r>
      <w:r>
        <w:rPr>
          <w:color w:val="1A2422"/>
          <w:sz w:val="21"/>
        </w:rPr>
        <w:t xml:space="preserve"> es el único endpoint anónimo. Usuario inexistente y contraseña incorrecta devuelven </w:t>
      </w:r>
      <w:r>
        <w:rPr>
          <w:b/>
          <w:color w:val="1A2422"/>
          <w:sz w:val="21"/>
        </w:rPr>
        <w:t xml:space="preserve">el mismo error</w:t>
      </w:r>
      <w:r>
        <w:rPr>
          <w:color w:val="1A2422"/>
          <w:sz w:val="21"/>
        </w:rPr>
        <w:t xml:space="preserve">: distinguirlos le diría a un atacante qué usuarios existen. Cada fallo suma al contador; al llegar 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Jwt:MaxFailedAttempts</w:t>
      </w:r>
      <w:r>
        <w:rPr>
          <w:color w:val="1A2422"/>
          <w:sz w:val="21"/>
        </w:rPr>
        <w:t xml:space="preserve"> el usuario queda bloqueado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Jwt:LockMinutes</w:t>
      </w:r>
      <w:r>
        <w:rPr>
          <w:color w:val="1A2422"/>
          <w:sz w:val="21"/>
        </w:rPr>
        <w:t xml:space="preserve">.</w:t>
      </w:r>
    </w:p>
    <w:p>
      <w:r>
        <w:rPr>
          <w:color w:val="1A2422"/>
          <w:sz w:val="21"/>
        </w:rPr>
        <w:t xml:space="preserve">La contraseña se guarda como PBKDF2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iteraciones.salt.hash</w:t>
      </w:r>
      <w:r>
        <w:rPr>
          <w:color w:val="1A2422"/>
          <w:sz w:val="21"/>
        </w:rPr>
        <w:t xml:space="preserve"> y nunca sale de Auth —tampoco a la auditoría—.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DeleteUser</w:t>
      </w:r>
      <w:r>
        <w:rPr>
          <w:color w:val="1A2422"/>
          <w:sz w:val="21"/>
        </w:rPr>
        <w:t xml:space="preserve"> es baja </w:t>
      </w:r>
      <w:r>
        <w:rPr>
          <w:b/>
          <w:color w:val="1A2422"/>
          <w:sz w:val="21"/>
        </w:rPr>
        <w:t xml:space="preserve">lógica</w:t>
      </w:r>
      <w:r>
        <w:rPr>
          <w:color w:val="1A2422"/>
          <w:sz w:val="21"/>
        </w:rPr>
        <w:t xml:space="preserve">: un libro de auditoría sin el actor no sirve.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3. Cuentas</w:t>
      </w:r>
    </w:p>
    <w:p>
      <w:r>
        <w:rPr>
          <w:color w:val="1A2422"/>
          <w:sz w:val="21"/>
        </w:rPr>
        <w:t xml:space="preserve">No hay un endpoint genérico con discriminador de titular: cliente y comercio tienen reglas distintas y cada uno tiene su operación, así el contrato </w:t>
      </w:r>
      <w:r>
        <w:rPr>
          <w:b/>
          <w:color w:val="1A2422"/>
          <w:sz w:val="21"/>
        </w:rPr>
        <w:t xml:space="preserve">no permite expresar</w:t>
      </w:r>
      <w:r>
        <w:rPr>
          <w:color w:val="1A2422"/>
          <w:sz w:val="21"/>
        </w:rPr>
        <w:t xml:space="preserve"> combinaciones inválidas en vez de rechazarlas en ejecución.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289"/>
        <w:gridCol w:w="3363"/>
        <w:gridCol w:w="1345"/>
        <w:gridCol w:w="3363"/>
      </w:tblGrid>
      <w:tr>
        <w:trPr>
          <w:tblHeader/>
        </w:trPr>
        <w:tc>
          <w:tcPr>
            <w:tcW w:w="1289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RPC</w:t>
            </w:r>
          </w:p>
        </w:tc>
        <w:tc>
          <w:tcPr>
            <w:tcW w:w="3363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Request</w:t>
            </w:r>
          </w:p>
        </w:tc>
        <w:tc>
          <w:tcPr>
            <w:tcW w:w="1345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Response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</w:t>
            </w:r>
          </w:p>
        </w:tc>
        <w:tc>
          <w:tcPr>
            <w:tcW w:w="3363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Errores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CreateClientAccount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client_id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coin_code</w:t>
            </w:r>
            <w:r>
              <w:rPr>
                <w:color w:val="1A2422"/>
                <w:sz w:val="18"/>
              </w:rPr>
              <w:t xml:space="preserve"> (máx 10, alfanum.),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initial_balance</w:t>
            </w:r>
            <w:r>
              <w:rPr>
                <w:color w:val="1A2422"/>
                <w:sz w:val="18"/>
              </w:rPr>
              <w:t xml:space="preserve"> &gt;=0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int64</w:t>
            </w:r>
            <w:r>
              <w:rPr>
                <w:color w:val="1A2422"/>
                <w:sz w:val="18"/>
              </w:rPr>
              <w:t xml:space="preserve"> id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CUSTOMER_NOT_FOUND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CUSTOMER_INACTIVE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CURRENCY_NOT_SUPPORTED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ACCOUNT_DUPLICATE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INSERT_FAILED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CreateCommerceAccount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commerce_id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initial_balance</w:t>
            </w:r>
            <w:r>
              <w:rPr>
                <w:color w:val="1A2422"/>
                <w:sz w:val="18"/>
              </w:rPr>
              <w:t xml:space="preserve"> &gt;=0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int64</w:t>
            </w:r>
            <w:r>
              <w:rPr>
                <w:color w:val="1A2422"/>
                <w:sz w:val="18"/>
              </w:rPr>
              <w:t xml:space="preserve"> id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COMMERCE_NOT_FOUND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COMMERCE_INACTIVE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CURRENCY_NOT_SUPPORTED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ACCOUNT_DUPLICATE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INSERT_FAILED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GetAccount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number</w:t>
            </w:r>
            <w:r>
              <w:rPr>
                <w:color w:val="1A2422"/>
                <w:sz w:val="18"/>
              </w:rPr>
              <w:t xml:space="preserve"> (máx 20)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AccountDataPb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ACCOUNT_NOT_FOUND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GetMyAccount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coin_code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AccountDataPb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ACCOUNT_NOT_FOUND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GetMyAccounts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only_active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repeated AccountDataPb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—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GetCommerceAccount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commerce_id</w:t>
            </w:r>
            <w:r>
              <w:rPr>
                <w:color w:val="1A2422"/>
                <w:sz w:val="18"/>
              </w:rPr>
              <w:t xml:space="preserve"> &gt;0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AccountDataPb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ACCOUNT_NOT_FOUND</w:t>
            </w:r>
          </w:p>
        </w:tc>
      </w:tr>
      <w:tr>
        <w:tc>
          <w:tcPr>
            <w:tcW w:w="1289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GetCommerceAccounts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commerce_id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only_active</w:t>
            </w:r>
          </w:p>
        </w:tc>
        <w:tc>
          <w:tcPr>
            <w:tcW w:w="1345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repeated AccountDataPb</w:t>
            </w:r>
          </w:p>
        </w:tc>
        <w:tc>
          <w:tcPr>
            <w:tcW w:w="336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—</w:t>
            </w:r>
          </w:p>
        </w:tc>
      </w:tr>
    </w:tbl>
    <w:p>
      <w:pPr>
        <w:spacing w:after="0" w:line="120" w:lineRule="exact"/>
      </w:pP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CreateCommerceAccount</w:t>
      </w:r>
      <w:r>
        <w:rPr>
          <w:color w:val="1A2422"/>
          <w:sz w:val="21"/>
        </w:rPr>
        <w:t xml:space="preserve"> </w:t>
      </w:r>
      <w:r>
        <w:rPr>
          <w:b/>
          <w:color w:val="1A2422"/>
          <w:sz w:val="21"/>
        </w:rPr>
        <w:t xml:space="preserve">no recibe moneda</w:t>
      </w:r>
      <w:r>
        <w:rPr>
          <w:color w:val="1A2422"/>
          <w:sz w:val="21"/>
        </w:rPr>
        <w:t xml:space="preserve">: el comercio boliviano cobra en BOB por regla del negocio, y al no ser parámetro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COMMERCE_CURRENCY_INVALID</w:t>
      </w:r>
      <w:r>
        <w:rPr>
          <w:color w:val="1A2422"/>
          <w:sz w:val="21"/>
        </w:rPr>
        <w:t xml:space="preserve"> dejó de poder ocurrir.</w:t>
      </w:r>
    </w:p>
    <w:p>
      <w:r>
        <w:rPr>
          <w:color w:val="1A2422"/>
          <w:sz w:val="21"/>
        </w:rPr>
        <w:t xml:space="preserve">El número de cuenta se deriva del id: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</w:t>
      </w:r>
      <w:r>
        <w:rPr>
          <w:color w:val="1A2422"/>
          <w:sz w:val="21"/>
        </w:rPr>
        <w:t xml:space="preserve"> + 10 dígitos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QR0000000001</w:t>
      </w:r>
      <w:r>
        <w:rPr>
          <w:color w:val="1A2422"/>
          <w:sz w:val="21"/>
        </w:rPr>
        <w:t xml:space="preserve">. El saldo inicial no se escribe directo en la cuenta: entra como asiento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CREDITO</w:t>
      </w:r>
      <w:r>
        <w:rPr>
          <w:color w:val="1A2422"/>
          <w:sz w:val="21"/>
        </w:rPr>
        <w:t xml:space="preserve"> de apertura, para que el libro mayor explique el saldo desde el principio.</w:t>
      </w:r>
    </w:p>
    <w:p>
      <w:r>
        <w:rPr>
          <w:color w:val="1A2422"/>
          <w:sz w:val="21"/>
        </w:rPr>
        <w:t xml:space="preserve">Una lista vacía es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SUC000</w:t>
      </w:r>
      <w:r>
        <w:rPr>
          <w:color w:val="1A2422"/>
          <w:sz w:val="21"/>
        </w:rPr>
        <w:t xml:space="preserve">, no un error: "no tenés cuentas" es una respuesta válida.</w:t>
      </w:r>
    </w:p>
    <w:p>
      <w:pPr>
        <w:pStyle w:val="Nota"/>
        <w:pBdr>
          <w:left w:val="single" w:sz="18" w:color="B8860B"/>
        </w:pBdr>
        <w:shd w:val="clear" w:color="auto" w:fill="FBF4E4"/>
        <w:ind w:left="200"/>
        <w:spacing w:before="120" w:after="120"/>
      </w:pPr>
      <w:r>
        <w:rPr>
          <w:b/>
          <w:color w:val="1A2422"/>
          <w:sz w:val="21"/>
        </w:rPr>
        <w:t xml:space="preserve">Pendiente</w:t>
      </w:r>
      <w:r>
        <w:rPr>
          <w:color w:val="1A2422"/>
          <w:sz w:val="21"/>
        </w:rPr>
        <w:t xml:space="preserve">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initial_balance</w:t>
      </w:r>
      <w:r>
        <w:rPr>
          <w:color w:val="1A2422"/>
          <w:sz w:val="21"/>
        </w:rPr>
        <w:t xml:space="preserve"> acredita saldo real, así que las dos altas deberían exigir rol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AGENTE</w:t>
      </w:r>
      <w:r>
        <w:rPr>
          <w:color w:val="1A2422"/>
          <w:sz w:val="21"/>
        </w:rPr>
        <w:t xml:space="preserve"> 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ADMIN</w:t>
      </w:r>
      <w:r>
        <w:rPr>
          <w:color w:val="1A2422"/>
          <w:sz w:val="21"/>
        </w:rPr>
        <w:t xml:space="preserve">. Hoy no hay control de rol.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AccountDataPb</w:t>
      </w:r>
      <w:r>
        <w:rPr>
          <w:color w:val="1A2422"/>
          <w:sz w:val="21"/>
        </w:rPr>
        <w:t xml:space="preserve">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account_id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number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account_type</w:t>
      </w:r>
      <w:r>
        <w:rPr>
          <w:color w:val="1A2422"/>
          <w:sz w:val="21"/>
        </w:rPr>
        <w:t xml:space="preserve"> (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</w:t>
      </w:r>
      <w:r>
        <w:rPr>
          <w:color w:val="1A2422"/>
          <w:sz w:val="21"/>
        </w:rPr>
        <w:t xml:space="preserve">·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</w:t>
      </w:r>
      <w:r>
        <w:rPr>
          <w:color w:val="1A2422"/>
          <w:sz w:val="21"/>
        </w:rPr>
        <w:t xml:space="preserve">),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holder_id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coin_id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coin_code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balance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is_active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created_at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updated_at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deleted_at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4. Movimientos y pagos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598"/>
        <w:gridCol w:w="4566"/>
        <w:gridCol w:w="3196"/>
      </w:tblGrid>
      <w:tr>
        <w:trPr>
          <w:tblHeader/>
        </w:trPr>
        <w:tc>
          <w:tcPr>
            <w:tcW w:w="159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RPC</w:t>
            </w:r>
          </w:p>
        </w:tc>
        <w:tc>
          <w:tcPr>
            <w:tcW w:w="456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Request</w:t>
            </w:r>
          </w:p>
        </w:tc>
        <w:tc>
          <w:tcPr>
            <w:tcW w:w="319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Response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data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ApplyMovement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account_number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type</w:t>
            </w:r>
            <w:r>
              <w:rPr>
                <w:color w:val="1A2422"/>
                <w:sz w:val="18"/>
              </w:rPr>
              <w:t xml:space="preserve">: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CREDITO</w:t>
            </w:r>
            <w:r>
              <w:rPr>
                <w:color w:val="1A2422"/>
                <w:sz w:val="18"/>
              </w:rPr>
              <w:t xml:space="preserve">·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DEBITO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amount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reference</w:t>
            </w:r>
            <w:r>
              <w:rPr>
                <w:color w:val="1A2422"/>
                <w:sz w:val="18"/>
              </w:rPr>
              <w:t xml:space="preserve"> (64),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idempotency_key</w:t>
            </w:r>
            <w:r>
              <w:rPr>
                <w:color w:val="1A2422"/>
                <w:sz w:val="18"/>
              </w:rPr>
              <w:t xml:space="preserve"> (60),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description</w:t>
            </w:r>
            <w:r>
              <w:rPr>
                <w:color w:val="1A2422"/>
                <w:sz w:val="18"/>
              </w:rPr>
              <w:t xml:space="preserve"> (250)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movement_id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account_number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balance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ExecuteQrPayment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qr_code</w:t>
            </w:r>
            <w:r>
              <w:rPr>
                <w:color w:val="1A2422"/>
                <w:sz w:val="18"/>
              </w:rPr>
              <w:t xml:space="preserve"> (64),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amount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currency_code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idempotency_key</w:t>
            </w:r>
            <w:r>
              <w:rPr>
                <w:color w:val="1A2422"/>
                <w:sz w:val="18"/>
              </w:rPr>
              <w:t xml:space="preserve"> (60),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description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PaymentDataPb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GetPayment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transaction_code</w:t>
            </w:r>
            <w:r>
              <w:rPr>
                <w:color w:val="1A2422"/>
                <w:sz w:val="18"/>
              </w:rPr>
              <w:t xml:space="preserve"> (36) </w:t>
            </w:r>
            <w:r>
              <w:rPr>
                <w:b/>
                <w:color w:val="1A2422"/>
                <w:sz w:val="18"/>
              </w:rPr>
              <w:t xml:space="preserve">o</w:t>
            </w:r>
            <w:r>
              <w:rPr>
                <w:color w:val="1A2422"/>
                <w:sz w:val="18"/>
              </w:rPr>
              <w:t xml:space="preserve">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idempotency_key</w:t>
            </w:r>
            <w:r>
              <w:rPr>
                <w:color w:val="1A2422"/>
                <w:sz w:val="18"/>
              </w:rPr>
              <w:t xml:space="preserve"> (64)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PaymentDataPb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GetMovements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account_number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page_number</w:t>
            </w:r>
            <w:r>
              <w:rPr>
                <w:color w:val="1A2422"/>
                <w:sz w:val="18"/>
              </w:rPr>
              <w:t xml:space="preserve"> &gt;0,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page_size</w:t>
            </w:r>
            <w:r>
              <w:rPr>
                <w:color w:val="1A2422"/>
                <w:sz w:val="18"/>
              </w:rPr>
              <w:t xml:space="preserve"> 1-100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repeated MovementDataPb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GetMyHistory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date_from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date_to</w:t>
            </w:r>
            <w:r>
              <w:rPr>
                <w:color w:val="1A2422"/>
                <w:sz w:val="18"/>
              </w:rPr>
              <w:t xml:space="preserve"> (inclusive, &gt;= from),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status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page_number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page_size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repeated MovementDataPb</w:t>
            </w:r>
          </w:p>
        </w:tc>
      </w:tr>
      <w:tr>
        <w:tc>
          <w:tcPr>
            <w:tcW w:w="159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GetCommerceHistory</w:t>
            </w:r>
          </w:p>
        </w:tc>
        <w:tc>
          <w:tcPr>
            <w:tcW w:w="456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igual +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commerce_id</w:t>
            </w:r>
            <w:r>
              <w:rPr>
                <w:color w:val="1A2422"/>
                <w:sz w:val="18"/>
              </w:rPr>
              <w:t xml:space="preserve"> &gt;0</w:t>
            </w:r>
          </w:p>
        </w:tc>
        <w:tc>
          <w:tcPr>
            <w:tcW w:w="3196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repeated MovementDataPb</w:t>
            </w:r>
          </w:p>
        </w:tc>
      </w:tr>
    </w:tbl>
    <w:p>
      <w:pPr>
        <w:spacing w:after="0" w:line="120" w:lineRule="exact"/>
      </w:pP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ApplyMovement</w:t>
      </w:r>
      <w:r>
        <w:rPr>
          <w:color w:val="1A2422"/>
          <w:sz w:val="21"/>
        </w:rPr>
        <w:t xml:space="preserve"> es para créditos y débitos sueltos —recargas, ajustes, reversas—. </w:t>
      </w:r>
      <w:r>
        <w:rPr>
          <w:b/>
          <w:color w:val="1A2422"/>
          <w:sz w:val="21"/>
        </w:rPr>
        <w:t xml:space="preserve">El pago QR no pasa por acá</w:t>
      </w:r>
      <w:r>
        <w:rPr>
          <w:color w:val="1A2422"/>
          <w:sz w:val="21"/>
        </w:rPr>
        <w:t xml:space="preserve">: tiene su propia operación atómica de dos patas. Errores: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ACCOUNT_NOT_FOUND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ACCOUNT_INACTIVE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INSUFFICIENT_FUNDS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DUPLICATE_TRANSACTION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MOVEMENT_FAILED</w:t>
      </w:r>
      <w:r>
        <w:rPr>
          <w:color w:val="1A2422"/>
          <w:sz w:val="21"/>
        </w:rPr>
        <w:t xml:space="preserve">.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GetMyHistory</w:t>
      </w:r>
      <w:r>
        <w:rPr>
          <w:color w:val="1A2422"/>
          <w:sz w:val="21"/>
        </w:rPr>
        <w:t xml:space="preserve"> es del </w:t>
      </w:r>
      <w:r>
        <w:rPr>
          <w:b/>
          <w:color w:val="1A2422"/>
          <w:sz w:val="21"/>
        </w:rPr>
        <w:t xml:space="preserve">titular</w:t>
      </w:r>
      <w:r>
        <w:rPr>
          <w:color w:val="1A2422"/>
          <w:sz w:val="21"/>
        </w:rPr>
        <w:t xml:space="preserve">: si tiene cuentas en varias monedas salen todas juntas.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GetPayment</w:t>
      </w:r>
      <w:r>
        <w:rPr>
          <w:color w:val="1A2422"/>
          <w:sz w:val="21"/>
        </w:rPr>
        <w:t xml:space="preserve"> se resuelve solo con el libro mayor —no llama a Comercios ni a Monedas—, así una consulta de algo ya ocurrido no se cae porque otro servicio esté abajo; la contrapartida es que devuelve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commerce_name</w:t>
      </w:r>
      <w:r>
        <w:rPr>
          <w:color w:val="1A2422"/>
          <w:sz w:val="21"/>
        </w:rPr>
        <w:t xml:space="preserve"> vacío.</w:t>
      </w:r>
    </w:p>
    <w:p>
      <w:pPr>
        <w:pStyle w:val="Heading2"/>
      </w:pPr>
      <w:r>
        <w:t xml:space="preserve">Idempotencia</w:t>
      </w:r>
    </w:p>
    <w:p>
      <w:r>
        <w:rPr>
          <w:color w:val="1A2422"/>
          <w:sz w:val="21"/>
        </w:rPr>
        <w:t xml:space="preserve">Las dos operaciones son idempotentes por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idempotency_key</w:t>
      </w:r>
      <w:r>
        <w:rPr>
          <w:color w:val="1A2422"/>
          <w:sz w:val="21"/>
        </w:rPr>
        <w:t xml:space="preserve">. Repetir la llamada </w:t>
      </w:r>
      <w:r>
        <w:rPr>
          <w:b/>
          <w:color w:val="1A2422"/>
          <w:sz w:val="21"/>
        </w:rPr>
        <w:t xml:space="preserve">con los mismos datos</w:t>
      </w:r>
      <w:r>
        <w:rPr>
          <w:color w:val="1A2422"/>
          <w:sz w:val="21"/>
        </w:rPr>
        <w:t xml:space="preserve"> devuelve el mismo resultado sin volver a mover saldo: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ExecuteQrPayment</w:t>
      </w:r>
      <w:r>
        <w:rPr>
          <w:color w:val="1A2422"/>
          <w:sz w:val="21"/>
        </w:rPr>
        <w:t xml:space="preserve"> responde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SUC000</w:t>
      </w:r>
      <w:r>
        <w:rPr>
          <w:color w:val="1A2422"/>
          <w:sz w:val="21"/>
        </w:rPr>
        <w:t xml:space="preserve"> con </w:t>
      </w:r>
      <w:r>
        <w:rPr>
          <w:b/>
          <w:color w:val="1A2422"/>
          <w:sz w:val="21"/>
        </w:rPr>
        <w:t xml:space="preserve">`is_duplicate: true`</w:t>
      </w:r>
      <w:r>
        <w:rPr>
          <w:color w:val="1A2422"/>
          <w:sz w:val="21"/>
        </w:rPr>
        <w:t xml:space="preserve"> y el saldo que quedó </w:t>
      </w:r>
      <w:r>
        <w:rPr>
          <w:i/>
          <w:color w:val="1A2422"/>
          <w:sz w:val="21"/>
        </w:rPr>
        <w:t xml:space="preserve">entonces</w:t>
      </w:r>
      <w:r>
        <w:rPr>
          <w:color w:val="1A2422"/>
          <w:sz w:val="21"/>
        </w:rPr>
        <w:t xml:space="preserve">, no el de hoy.</w:t>
      </w:r>
    </w:p>
    <w:p>
      <w:r>
        <w:rPr>
          <w:color w:val="1A2422"/>
          <w:sz w:val="21"/>
        </w:rPr>
        <w:t xml:space="preserve">Cuenta como reintento solo si coinciden cuenta, tipo y monto. Reusar una clave para otra operación devuelve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DUPLICATE_TRANSACTION</w:t>
      </w:r>
      <w:r>
        <w:rPr>
          <w:color w:val="1A2422"/>
          <w:sz w:val="21"/>
        </w:rPr>
        <w:t xml:space="preserve">, no un éxito que ocultaría que el movimiento nuevo nunca se aplicó.</w:t>
      </w:r>
    </w:p>
    <w:p>
      <w:pPr>
        <w:pStyle w:val="Nota"/>
        <w:pBdr>
          <w:left w:val="single" w:sz="18" w:color="B8860B"/>
        </w:pBdr>
        <w:shd w:val="clear" w:color="auto" w:fill="FBF4E4"/>
        <w:ind w:left="200"/>
        <w:spacing w:before="120" w:after="120"/>
      </w:pPr>
      <w:r>
        <w:rPr>
          <w:color w:val="1A2422"/>
          <w:sz w:val="21"/>
        </w:rPr>
        <w:t xml:space="preserve">El límite de 60 sobre una columna de 64 no es arbitrario: el asiento del comercio reutiliza la clave con el sufijo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-IN</w:t>
      </w:r>
      <w:r>
        <w:rPr>
          <w:color w:val="1A2422"/>
          <w:sz w:val="21"/>
        </w:rPr>
        <w:t xml:space="preserve">.</w:t>
      </w:r>
    </w:p>
    <w:p>
      <w:pPr>
        <w:pStyle w:val="Heading2"/>
      </w:pPr>
      <w:r>
        <w:t xml:space="preserve">ExecuteQrPayment — ejemplo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// request  ·  metadata: authorization: Bearer &lt;jwt del cliente 1&gt;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{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"qr_code": "QR-BO-0001", "amount": "20", "currency_code": "USD",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"idempotency_key": "TX-2026-000001", "description": "Almuerzo en Café Central"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}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/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// response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{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"status_code": "SUC000",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"message": "Operación realizada con éxito.",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"data": {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"transaction_code": "8f3c1e0a-...", "movement_id": 2,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"client_id": 1, "client_account_number": "QR0000000001",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"commerce_id": 55, "commerce_name": "Café Central",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"commerce_account_number": "QR0000000002", "qr_code": "QR-BO-0001",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"original_amount": "20", "original_currency": "USD", "exchange_rate": "6.96",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"converted_amount": "139.20", "target_currency": "BOB",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"client_balance": "480.00", "status": "COMPLETED",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"idempotency_key": "TX-2026-000001", "is_duplicate": false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}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}</w:t>
      </w:r>
    </w:p>
    <w:p>
      <w:r>
        <w:rPr>
          <w:b/>
          <w:color w:val="1A2422"/>
          <w:sz w:val="21"/>
        </w:rPr>
        <w:t xml:space="preserve">Errores, en el orden en que se evalúan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Código</w:t>
            </w:r>
          </w:p>
        </w:tc>
        <w:tc>
          <w:tcPr>
            <w:tcW w:w="468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Cuándo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DUPLICATE_TRANSACTION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clave ya existe con otros datos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CUSTOMER_NOT_FOUND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CUSTOMER_INACTIVE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Cliente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QR_NOT_FOUND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QR_ALREADY_USED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QR_EXPIRED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QR_INACTIVE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QR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COMMERCE_NOT_FOUND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COMMERCE_INACTIVE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Comercio emisor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CURRENCY_NOT_SUPPORTED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Moneda fuera del catálogo o inactiva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CURRENCY_MISMATCH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moneda del QR no coincide con la del comercio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EXCHANGE_RATE_NOT_FOUND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Sin cotización vigente para el par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INVALID_AMOUNT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QR tiene monto fijo y el convertido no coincide. Monto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0</w:t>
            </w:r>
            <w:r>
              <w:rPr>
                <w:color w:val="1A2422"/>
                <w:sz w:val="18"/>
              </w:rPr>
              <w:t xml:space="preserve"> = QR abierto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ACCOUNT_NOT_FOUND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COMMERCE_ACCOUNT_NOT_FOUND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Falta la cuenta de algún lado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ACCOUNT_INACTIVE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COMMERCE_ACCOUNT_INACTIVE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Cuenta dada de baja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INSUFFICIENT_FUNDS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Lo decide el motor con la fila bloqueada, no el handler</w:t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PAYMENT_FAILED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Cualquier otro fallo del procedimiento</w:t>
            </w:r>
          </w:p>
        </w:tc>
      </w:tr>
    </w:tbl>
    <w:p>
      <w:pPr>
        <w:spacing w:after="0" w:line="120" w:lineRule="exact"/>
      </w:pP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5. Códigos</w:t>
      </w:r>
    </w:p>
    <w:p>
      <w:r>
        <w:rPr>
          <w:b/>
          <w:color w:val="1A2422"/>
          <w:sz w:val="21"/>
        </w:rPr>
        <w:t xml:space="preserve">Transversales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SUC000</w:t>
      </w:r>
      <w:r>
        <w:rPr>
          <w:color w:val="1A2422"/>
          <w:sz w:val="21"/>
        </w:rPr>
        <w:t xml:space="preserve"> éxito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VAL001</w:t>
      </w:r>
      <w:r>
        <w:rPr>
          <w:color w:val="1A2422"/>
          <w:sz w:val="21"/>
        </w:rPr>
        <w:t xml:space="preserve"> validación, detalle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errors[]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ERR001</w:t>
      </w:r>
      <w:r>
        <w:rPr>
          <w:color w:val="1A2422"/>
          <w:sz w:val="21"/>
        </w:rPr>
        <w:t xml:space="preserve"> error no controlado, detalle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exception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AUT001</w:t>
      </w:r>
      <w:r>
        <w:rPr>
          <w:color w:val="1A2422"/>
          <w:sz w:val="21"/>
        </w:rPr>
        <w:t xml:space="preserve"> token ausente o inválido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AUT002</w:t>
      </w:r>
      <w:r>
        <w:rPr>
          <w:color w:val="1A2422"/>
          <w:sz w:val="21"/>
        </w:rPr>
        <w:t xml:space="preserve"> firma o vigencia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AUT003</w:t>
      </w:r>
      <w:r>
        <w:rPr>
          <w:color w:val="1A2422"/>
          <w:sz w:val="21"/>
        </w:rPr>
        <w:t xml:space="preserve"> sin permiso.</w:t>
      </w:r>
    </w:p>
    <w:p>
      <w:r>
        <w:rPr>
          <w:b/>
          <w:color w:val="1A2422"/>
          <w:sz w:val="21"/>
        </w:rPr>
        <w:t xml:space="preserve">Los doce que exige el reto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740"/>
        <w:gridCol w:w="6620"/>
      </w:tblGrid>
      <w:tr>
        <w:trPr>
          <w:tblHeader/>
        </w:trPr>
        <w:tc>
          <w:tcPr>
            <w:tcW w:w="274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Código</w:t>
            </w:r>
          </w:p>
        </w:tc>
        <w:tc>
          <w:tcPr>
            <w:tcW w:w="662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Mensaje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CUSTOMER_NOT_FOUND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cliente indicado no existe.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CUSTOMER_INACTIVE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cliente indicado se encuentra inactivo.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COMMERCE_NOT_FOUND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comercio indicado no existe.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COMMERCE_INACTIVE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comercio indicado se encuentra inactivo.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QR_NOT_FOUND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código QR no existe.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QR_EXPIRED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código QR expiró.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QR_ALREADY_USED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código QR ya fue utilizado.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QR_INACTIVE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código QR no se encuentra activo.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INSUFFICIENT_FUNDS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saldo de la cuenta es insuficiente.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CURRENCY_NOT_SUPPORTED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moneda indicada no está soportada.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INVALID_AMOUNT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monto de la operación no es válido.</w:t>
            </w:r>
          </w:p>
        </w:tc>
      </w:tr>
      <w:tr>
        <w:tc>
          <w:tcPr>
            <w:tcW w:w="27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DUPLICATE_TRANSACTION</w:t>
            </w:r>
          </w:p>
        </w:tc>
        <w:tc>
          <w:tcPr>
            <w:tcW w:w="66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clave de idempotencia ya fue usada con datos distintos.</w:t>
            </w:r>
          </w:p>
        </w:tc>
      </w:tr>
    </w:tbl>
    <w:p>
      <w:pPr>
        <w:spacing w:after="0" w:line="120" w:lineRule="exact"/>
      </w:pPr>
    </w:p>
    <w:p>
      <w:r>
        <w:rPr>
          <w:b/>
          <w:color w:val="1A2422"/>
          <w:sz w:val="21"/>
        </w:rPr>
        <w:t xml:space="preserve">Propios de AccountsAndMovements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ACCOUNT_DUPLICATE</w:t>
      </w:r>
      <w:r>
        <w:rPr>
          <w:color w:val="1A2422"/>
          <w:sz w:val="21"/>
        </w:rPr>
        <w:t xml:space="preserve"> (el titular ya tiene cuenta en esa moneda)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COMMERCE_ACCOUNT_NOT_FOUND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COMMERCE_ACCOUNT_INACTIVE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CURRENCY_MISMATCH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EXCHANGE_RATE_NOT_FOUND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INSERT_FAILED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MOVEMENT_FAILED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PAYMENT_FAILED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PAYMENT_NOT_FOUND</w:t>
      </w:r>
      <w:r>
        <w:rPr>
          <w:color w:val="1A2422"/>
          <w:sz w:val="21"/>
        </w:rPr>
        <w:t xml:space="preserve">. Más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COMMERCE_CURRENCY_INVALID</w:t>
      </w:r>
      <w:r>
        <w:rPr>
          <w:color w:val="1A2422"/>
          <w:sz w:val="21"/>
        </w:rPr>
        <w:t xml:space="preserve">, inalcanzable desde que el alta de comercio no recibe moneda; se conserva por compatibilidad.</w:t>
      </w:r>
    </w:p>
    <w:p>
      <w:r>
        <w:rPr>
          <w:b/>
          <w:color w:val="1A2422"/>
          <w:sz w:val="21"/>
        </w:rPr>
        <w:t xml:space="preserve">Propios de Auth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INVALID_CREDENTIALS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USER_INACTIVE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USER_LOCKED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USER_DUPLICATE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USER_NOT_FOUND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INSERT_FAILED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DELETE_FAILED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CLIENT_ALREADY_HAS_USER</w:t>
      </w:r>
      <w:r>
        <w:rPr>
          <w:color w:val="1A2422"/>
          <w:sz w:val="21"/>
        </w:rPr>
        <w:t xml:space="preserve">.</w:t>
      </w:r>
    </w:p>
    <w:p>
      <w:r>
        <w:rPr>
          <w:b/>
          <w:color w:val="1A2422"/>
          <w:sz w:val="21"/>
        </w:rPr>
        <w:t xml:space="preserve">Transporte gRPC</w:t>
      </w:r>
      <w:r>
        <w:rPr>
          <w:color w:val="1A2422"/>
          <w:sz w:val="21"/>
        </w:rPr>
        <w:t xml:space="preserve"> — solo para lo que de verdad es transporte: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UNAUTHENTICATED</w:t>
      </w:r>
      <w:r>
        <w:rPr>
          <w:color w:val="1A2422"/>
          <w:sz w:val="21"/>
        </w:rPr>
        <w:t xml:space="preserve"> (falta la metadata o no empieza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Bearer </w:t>
      </w:r>
      <w:r>
        <w:rPr>
          <w:color w:val="1A2422"/>
          <w:sz w:val="21"/>
        </w:rPr>
        <w:t xml:space="preserve">),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PERMISSION_DENIED</w:t>
      </w:r>
      <w:r>
        <w:rPr>
          <w:color w:val="1A2422"/>
          <w:sz w:val="21"/>
        </w:rPr>
        <w:t xml:space="preserve"> (token sin cliente en un endpoint , o rol insuficiente),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INTERNAL</w:t>
      </w:r>
      <w:r>
        <w:rPr>
          <w:color w:val="1A2422"/>
          <w:sz w:val="21"/>
        </w:rPr>
        <w:t xml:space="preserve"> (falla no controlada).</w:t>
      </w:r>
    </w:p>
    <w:p>
      <w:r>
        <w:rPr>
          <w:b/>
          <w:color w:val="1A2422"/>
          <w:sz w:val="21"/>
        </w:rPr>
        <w:t xml:space="preserve">Internos de los procedimientos</w:t>
      </w:r>
      <w:r>
        <w:rPr>
          <w:color w:val="1A2422"/>
          <w:sz w:val="21"/>
        </w:rPr>
        <w:t xml:space="preserve"> — un valor positivo es el id del asiento: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118"/>
        <w:gridCol w:w="3912"/>
        <w:gridCol w:w="1118"/>
        <w:gridCol w:w="3212"/>
      </w:tblGrid>
      <w:tr>
        <w:trPr>
          <w:tblHeader/>
        </w:trPr>
        <w:tc>
          <w:tcPr>
            <w:tcW w:w="111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Retorno</w:t>
            </w:r>
          </w:p>
        </w:tc>
        <w:tc>
          <w:tcPr>
            <w:tcW w:w="3912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Se traduce a</w:t>
            </w:r>
          </w:p>
        </w:tc>
        <w:tc>
          <w:tcPr>
            <w:tcW w:w="111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Retorno</w:t>
            </w:r>
          </w:p>
        </w:tc>
        <w:tc>
          <w:tcPr>
            <w:tcW w:w="3212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Se traduce a</w:t>
            </w:r>
          </w:p>
        </w:tc>
      </w:tr>
      <w:tr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-1</w:t>
            </w:r>
          </w:p>
        </w:tc>
        <w:tc>
          <w:tcPr>
            <w:tcW w:w="39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ACCOUNT_NOT_FOUND</w:t>
            </w:r>
          </w:p>
        </w:tc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-6</w:t>
            </w:r>
          </w:p>
        </w:tc>
        <w:tc>
          <w:tcPr>
            <w:tcW w:w="32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QR_ALREADY_USED</w:t>
            </w:r>
          </w:p>
        </w:tc>
      </w:tr>
      <w:tr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-2</w:t>
            </w:r>
          </w:p>
        </w:tc>
        <w:tc>
          <w:tcPr>
            <w:tcW w:w="39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ACCOUNT_INACTIVE</w:t>
            </w:r>
          </w:p>
        </w:tc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-7</w:t>
            </w:r>
          </w:p>
        </w:tc>
        <w:tc>
          <w:tcPr>
            <w:tcW w:w="32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CURRENCY_MISMATCH</w:t>
            </w:r>
          </w:p>
        </w:tc>
      </w:tr>
      <w:tr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-3</w:t>
            </w:r>
          </w:p>
        </w:tc>
        <w:tc>
          <w:tcPr>
            <w:tcW w:w="39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INSUFFICIENT_FUNDS</w:t>
            </w:r>
          </w:p>
        </w:tc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-8</w:t>
            </w:r>
          </w:p>
        </w:tc>
        <w:tc>
          <w:tcPr>
            <w:tcW w:w="32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INVALID_AMOUNT</w:t>
            </w:r>
          </w:p>
        </w:tc>
      </w:tr>
      <w:tr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-4</w:t>
            </w:r>
          </w:p>
        </w:tc>
        <w:tc>
          <w:tcPr>
            <w:tcW w:w="39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COMMERCE_ACCOUNT_NOT_FOUND</w:t>
            </w:r>
          </w:p>
        </w:tc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-9</w:t>
            </w:r>
          </w:p>
        </w:tc>
        <w:tc>
          <w:tcPr>
            <w:tcW w:w="32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DUPLICATE_TRANSACTION</w:t>
            </w:r>
          </w:p>
        </w:tc>
      </w:tr>
      <w:tr>
        <w:tc>
          <w:tcPr>
            <w:tcW w:w="1118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-5</w:t>
            </w:r>
          </w:p>
        </w:tc>
        <w:tc>
          <w:tcPr>
            <w:tcW w:w="391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COMMERCE_ACCOUNT_INACTIVE</w:t>
            </w:r>
          </w:p>
        </w:tc>
        <w:tc>
          <w:tcPr>
            <w:tcW w:w="1118" w:type="dxa"/>
          </w:tcPr>
          <w:p>
            <w:pPr>
              <w:pStyle w:val="Celda"/>
            </w:pPr>
          </w:p>
        </w:tc>
        <w:tc>
          <w:tcPr>
            <w:tcW w:w="3212" w:type="dxa"/>
          </w:tcPr>
          <w:p>
            <w:pPr>
              <w:pStyle w:val="Celda"/>
            </w:pPr>
          </w:p>
        </w:tc>
      </w:tr>
    </w:tbl>
    <w:p>
      <w:pPr>
        <w:spacing w:after="0" w:line="120" w:lineRule="exact"/>
      </w:pP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commerce.INSERT_CUENTA</w:t>
      </w:r>
      <w:r>
        <w:rPr>
          <w:color w:val="1A2422"/>
          <w:sz w:val="21"/>
        </w:rPr>
        <w:t xml:space="preserve"> devuelve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-1</w:t>
      </w:r>
      <w:r>
        <w:rPr>
          <w:color w:val="1A2422"/>
          <w:sz w:val="21"/>
        </w:rPr>
        <w:t xml:space="preserve"> si el titular ya tiene cuenta en esa moneda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ACCOUNT_DUPLICATE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6. Auditoría</w:t>
      </w:r>
    </w:p>
    <w:p>
      <w:r>
        <w:rPr>
          <w:color w:val="1A2422"/>
          <w:sz w:val="21"/>
        </w:rPr>
        <w:t xml:space="preserve">Dos tablas que responden preguntas distintas.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854"/>
        <w:gridCol w:w="3532"/>
        <w:gridCol w:w="3974"/>
      </w:tblGrid>
      <w:tr>
        <w:trPr>
          <w:tblHeader/>
        </w:trPr>
        <w:tc>
          <w:tcPr>
            <w:tcW w:w="1854" w:type="dxa"/>
            <w:shd w:val="clear" w:color="auto" w:fill="DFEEEA"/>
          </w:tcPr>
          <w:p>
            <w:pPr>
              <w:pStyle w:val="CeldaTitulo"/>
            </w:pPr>
          </w:p>
        </w:tc>
        <w:tc>
          <w:tcPr>
            <w:tcW w:w="3532" w:type="dxa"/>
            <w:shd w:val="clear" w:color="auto" w:fill="DFEEEA"/>
          </w:tcPr>
          <w:p>
            <w:pPr>
              <w:pStyle w:val="CeldaTitulo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aud.BITACORA</w:t>
            </w:r>
          </w:p>
        </w:tc>
        <w:tc>
          <w:tcPr>
            <w:tcW w:w="3974" w:type="dxa"/>
            <w:shd w:val="clear" w:color="auto" w:fill="DFEEEA"/>
          </w:tcPr>
          <w:p>
            <w:pPr>
              <w:pStyle w:val="CeldaTitulo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aud.AUDITORIA</w:t>
            </w:r>
          </w:p>
        </w:tc>
      </w:tr>
      <w:tr>
        <w:tc>
          <w:tcPr>
            <w:tcW w:w="185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Responde</w:t>
            </w:r>
          </w:p>
        </w:tc>
        <w:tc>
          <w:tcPr>
            <w:tcW w:w="353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¿Quién llamó a qué, cuándo, desde dónde?</w:t>
            </w:r>
          </w:p>
        </w:tc>
        <w:tc>
          <w:tcPr>
            <w:tcW w:w="397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¿Cómo llegó este dato a este valor?</w:t>
            </w:r>
          </w:p>
        </w:tc>
      </w:tr>
      <w:tr>
        <w:tc>
          <w:tcPr>
            <w:tcW w:w="185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Registra</w:t>
            </w:r>
          </w:p>
        </w:tc>
        <w:tc>
          <w:tcPr>
            <w:tcW w:w="353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Toda llamada, </w:t>
            </w:r>
            <w:r>
              <w:rPr>
                <w:b/>
                <w:color w:val="1A2422"/>
                <w:sz w:val="18"/>
              </w:rPr>
              <w:t xml:space="preserve">consultas incluidas</w:t>
            </w:r>
          </w:p>
        </w:tc>
        <w:tc>
          <w:tcPr>
            <w:tcW w:w="397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Solo lo que cambió</w:t>
            </w:r>
          </w:p>
        </w:tc>
      </w:tr>
      <w:tr>
        <w:tc>
          <w:tcPr>
            <w:tcW w:w="185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La escribe</w:t>
            </w:r>
          </w:p>
        </w:tc>
        <w:tc>
          <w:tcPr>
            <w:tcW w:w="3532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AuditInterceptor</w:t>
            </w:r>
            <w:r>
              <w:rPr>
                <w:color w:val="1A2422"/>
                <w:sz w:val="18"/>
              </w:rPr>
              <w:t xml:space="preserve">, al terminar el RPC</w:t>
            </w:r>
          </w:p>
        </w:tc>
        <w:tc>
          <w:tcPr>
            <w:tcW w:w="397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El stored procedure, dentro de su transacción</w:t>
            </w:r>
          </w:p>
        </w:tc>
      </w:tr>
      <w:tr>
        <w:tc>
          <w:tcPr>
            <w:tcW w:w="185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 la operación falla</w:t>
            </w:r>
          </w:p>
        </w:tc>
        <w:tc>
          <w:tcPr>
            <w:tcW w:w="353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Se escribe igual, con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ERROR</w:t>
            </w:r>
          </w:p>
        </w:tc>
        <w:tc>
          <w:tcPr>
            <w:tcW w:w="397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No queda nada: el rollback se la lleva</w:t>
            </w:r>
          </w:p>
        </w:tc>
      </w:tr>
      <w:tr>
        <w:tc>
          <w:tcPr>
            <w:tcW w:w="185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Si escribirla falla</w:t>
            </w:r>
          </w:p>
        </w:tc>
        <w:tc>
          <w:tcPr>
            <w:tcW w:w="3532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Warning, y la respuesta sigue</w:t>
            </w:r>
          </w:p>
        </w:tc>
        <w:tc>
          <w:tcPr>
            <w:tcW w:w="397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Se deshace la operación</w:t>
            </w:r>
          </w:p>
        </w:tc>
      </w:tr>
    </w:tbl>
    <w:p>
      <w:pPr>
        <w:spacing w:after="0" w:line="120" w:lineRule="exact"/>
      </w:pPr>
    </w:p>
    <w:p>
      <w:r>
        <w:rPr>
          <w:color w:val="1A2422"/>
          <w:sz w:val="21"/>
        </w:rPr>
        <w:t xml:space="preserve">Se enlazan por </w:t>
      </w:r>
      <w:r>
        <w:rPr>
          <w:b/>
          <w:color w:val="1A2422"/>
          <w:sz w:val="21"/>
        </w:rPr>
        <w:t xml:space="preserve">TraceId</w:t>
      </w:r>
      <w:r>
        <w:rPr>
          <w:color w:val="1A2422"/>
          <w:sz w:val="21"/>
        </w:rPr>
        <w:t xml:space="preserve">, el mismo que imprime Serilog y usa OpenTelemetry: desde una fila de auditoría se llega a la llamada, a sus logs y a su traza. Un pago QR deja una fila de bitácora y cuatro de auditoría —dos asientos, dos saldos—.</w:t>
      </w:r>
    </w:p>
    <w:p>
      <w:r>
        <w:rPr>
          <w:color w:val="1A2422"/>
          <w:sz w:val="21"/>
        </w:rPr>
        <w:t xml:space="preserve">Los tres procedimientos reciben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@AUDITORIA_TRAZA_VC</w:t>
      </w:r>
      <w:r>
        <w:rPr>
          <w:color w:val="1A2422"/>
          <w:sz w:val="21"/>
        </w:rPr>
        <w:t xml:space="preserve">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@AUDITORIA_USUARIO_IT</w:t>
      </w:r>
      <w:r>
        <w:rPr>
          <w:color w:val="1A2422"/>
          <w:sz w:val="21"/>
        </w:rPr>
        <w:t xml:space="preserve"> con default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NULL</w:t>
      </w:r>
      <w:r>
        <w:rPr>
          <w:color w:val="1A2422"/>
          <w:sz w:val="21"/>
        </w:rPr>
        <w:t xml:space="preserve">; no afectan el resultado.</w:t>
      </w:r>
    </w:p>
    <w:p>
      <w:r>
        <w:rPr>
          <w:color w:val="1A2422"/>
          <w:sz w:val="21"/>
        </w:rPr>
        <w:t xml:space="preserve">Contraseñas y tokens nunca llegan a la bitácora: el interceptor los enmascara antes de escribir, y los SP de Auth enumeran columnas para dejar el hash fuera de la auditoría. Las bajas se registran como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DELETE</w:t>
      </w:r>
      <w:r>
        <w:rPr>
          <w:color w:val="1A2422"/>
          <w:sz w:val="21"/>
        </w:rPr>
        <w:t xml:space="preserve"> aunque físicamente sean un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UPDATE</w:t>
      </w:r>
      <w:r>
        <w:rPr>
          <w:color w:val="1A2422"/>
          <w:sz w:val="21"/>
        </w:rPr>
        <w:t xml:space="preserve">: se guarda la intención, no la mecánica.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-- Toda la historia de una cuenta, y quién la produjo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SELECT a.AUDI_FECHA_DT, a.AUDI_OPERACION_VC,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 JSON_VALUE(a.AUDI_DATO_ANTERIOR_NV, '$.CUEN_SALDO_DE') AS SaldoAntes,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 JSON_VALUE(a.AUDI_DATO_NUEVO_NV,    '$.CUEN_SALDO_DE') AS SaldoDespues,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 b.BITA_METODO_VC, b.BITA_USUARIO_VC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FROM   aud.AUDITORIA a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LEFT   JOIN aud.BITACORA b ON b.BITA_ID_IT = a.AUDI_BITACORA_ID_IT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WHERE  a.AUDI_TABLA_VC = 'CUENTA' AND a.AUDI_LLAVE_VC = '1'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ORDER  BY a.AUDI_FECHA_DT;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7. Consumir los contratos</w:t>
      </w:r>
    </w:p>
    <w:p>
      <w:r>
        <w:rPr>
          <w:color w:val="1A2422"/>
          <w:sz w:val="21"/>
        </w:rPr>
        <w:t xml:space="preserve">No hay </w:t>
      </w:r>
      <w:r>
        <w:rPr>
          <w:i/>
          <w:color w:val="1A2422"/>
          <w:sz w:val="21"/>
        </w:rPr>
        <w:t xml:space="preserve">server reflection</w:t>
      </w:r>
      <w:r>
        <w:rPr>
          <w:color w:val="1A2422"/>
          <w:sz w:val="21"/>
        </w:rPr>
        <w:t xml:space="preserve">: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.proto</w:t>
      </w:r>
      <w:r>
        <w:rPr>
          <w:color w:val="1A2422"/>
          <w:sz w:val="21"/>
        </w:rPr>
        <w:t xml:space="preserve"> es obligatorio para generar el cliente, y en los tres casos hay que sumar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YastaCoin/Shared/Core.Domain/Grpc/Protobuf/</w:t>
      </w:r>
      <w:r>
        <w:rPr>
          <w:color w:val="1A2422"/>
          <w:sz w:val="21"/>
        </w:rPr>
        <w:t xml:space="preserve"> como import path o falla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import "base_response.proto"</w:t>
      </w:r>
      <w:r>
        <w:rPr>
          <w:color w:val="1A2422"/>
          <w:sz w:val="21"/>
        </w:rPr>
        <w:t xml:space="preserve">.</w:t>
      </w:r>
    </w:p>
    <w:p>
      <w:r>
        <w:rPr>
          <w:b/>
          <w:color w:val="1A2422"/>
          <w:sz w:val="21"/>
        </w:rPr>
        <w:t xml:space="preserve">Postman</w:t>
      </w:r>
      <w:r>
        <w:rPr>
          <w:color w:val="1A2422"/>
          <w:sz w:val="21"/>
        </w:rPr>
        <w:t xml:space="preserve"> · New  gRPC, URL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localhost:52131</w:t>
      </w:r>
      <w:r>
        <w:rPr>
          <w:color w:val="1A2422"/>
          <w:sz w:val="21"/>
        </w:rPr>
        <w:t xml:space="preserve">, TLS apagado.</w:t>
      </w:r>
    </w:p>
    <w:p>
      <w:r>
        <w:rPr>
          <w:b/>
          <w:color w:val="1A2422"/>
          <w:sz w:val="21"/>
        </w:rPr>
        <w:t xml:space="preserve">Flutter / Dart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protoc --dart_out=grpc:lib/generated \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-I Microservices/AccountsAndMovements/AccountsAndMovements.Api/Protos \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-I YastaCoin/Shared/Core.Domain/Grpc/Protobuf \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  accounts_movements.proto base_response.proto</w:t>
      </w:r>
    </w:p>
    <w:p>
      <w:r>
        <w:rPr>
          <w:b/>
          <w:color w:val="1A2422"/>
          <w:sz w:val="21"/>
        </w:rPr>
        <w:t xml:space="preserve">C#</w:t>
      </w:r>
      <w:r>
        <w:rPr>
          <w:color w:val="1A2422"/>
          <w:sz w:val="21"/>
        </w:rPr>
        <w:t xml:space="preserve"> ·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.proto</w:t>
      </w:r>
      <w:r>
        <w:rPr>
          <w:color w:val="1A2422"/>
          <w:sz w:val="21"/>
        </w:rPr>
        <w:t xml:space="preserve"> como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&lt;Protobuf ... GrpcServices="Client" /&gt;</w:t>
      </w:r>
      <w:r>
        <w:rPr>
          <w:color w:val="1A2422"/>
          <w:sz w:val="21"/>
        </w:rPr>
        <w:t xml:space="preserve">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AdditionalImportDirs</w:t>
      </w:r>
      <w:r>
        <w:rPr>
          <w:color w:val="1A2422"/>
          <w:sz w:val="21"/>
        </w:rPr>
        <w:t xml:space="preserve"> a la misma carpeta.</w:t>
      </w:r>
    </w:p>
    <w:sectPr>
      <w:headerReference w:type="default" r:id="rIdHdr"/>
      <w:footerReference w:type="default" r:id="rIdFtr"/>
      <w:titlePg/>
      <w:pgSz w:w="12240" w:h="15840"/>
      <w:pgMar w:top="1418" w:right="1440" w:bottom="1418" w:left="1440" w:header="709" w:footer="709" w:gutter="0"/>
      <w:cols w:space="708"/>
    </w:sectPr>
  </w:body>
</w:document>
</file>

<file path=word/footer1.xml><?xml version="1.0" encoding="utf-8"?>
<w:ftr xmlns:w="http://schemas.openxmlformats.org/wordprocessingml/2006/main">
  <w:p>
    <w:pPr>
      <w:pStyle w:val="Pie"/>
      <w:tabs>
        <w:tab w:val="center" w:pos="4680"/>
        <w:tab w:val="right" w:pos="9360"/>
      </w:tabs>
      <w:pBdr>
        <w:top w:val="single" w:sz="4" w:color="C3D2CE"/>
      </w:pBdr>
    </w:pPr>
    <w:r>
      <w:t xml:space="preserve">Edson . Mariel . Rene</w:t>
    </w:r>
    <w:r>
      <w:tab/>
      <w:t xml:space="preserve">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  <w:t>03/09/2026</w:t>
    </w:r>
  </w:p>
</w:ftr>
</file>

<file path=word/header1.xml><?xml version="1.0" encoding="utf-8"?>
<w:hdr xmlns:w="http://schemas.openxmlformats.org/wordprocessingml/2006/main">
  <w:p>
    <w:pPr>
      <w:pStyle w:val="Encabezado"/>
      <w:tabs>
        <w:tab w:val="right" w:pos="9360"/>
      </w:tabs>
      <w:pBdr>
        <w:bottom w:val="single" w:sz="4" w:color="C3D2CE"/>
      </w:pBdr>
    </w:pPr>
    <w:r>
      <w:t xml:space="preserve">YastaCoin - QR Bolivia — Documentacion de Endpoints gRPC</w:t>
    </w:r>
    <w:r>
      <w:tab/>
      <w:t>v1.0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20"/>
      </w:pPr>
      <w:rPr>
        <w:rFonts w:ascii="Symbol" w:hAnsi="Symbol" w:hint="default"/>
        <w:color w:val="0C5C52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A2422"/>
        <w:sz w:val="21"/>
        <w:szCs w:val="21"/>
        <w:lang w:val="es-BO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Portada">
    <w:name w:val="Portada"/>
    <w:basedOn w:val="Normal"/>
    <w:pPr>
      <w:spacing w:before="0" w:after="60" w:line="240" w:lineRule="auto"/>
    </w:pPr>
    <w:rPr>
      <w:rFonts w:ascii="Calibri Light" w:hAnsi="Calibri Light"/>
      <w:b/>
      <w:color w:val="1A2422"/>
      <w:sz w:val="64"/>
    </w:rPr>
  </w:style>
  <w:style w:type="paragraph" w:styleId="PortadaSub">
    <w:name w:val="PortadaSub"/>
    <w:basedOn w:val="Normal"/>
    <w:pPr>
      <w:spacing w:before="0" w:after="0" w:line="264" w:lineRule="auto"/>
      <w:ind w:right="2200"/>
    </w:pPr>
    <w:rPr>
      <w:color w:val="5C6B67"/>
      <w:sz w:val="26"/>
    </w:rPr>
  </w:style>
  <w:style w:type="paragraph" w:styleId="Heading1">
    <w:name w:val="heading 1"/>
    <w:basedOn w:val="Normal"/>
    <w:next w:val="Normal"/>
    <w:qFormat/>
    <w:pPr>
      <w:keepNext/>
      <w:outlineLvl w:val="0"/>
      <w:spacing w:before="420" w:after="160"/>
      <w:pBdr>
        <w:bottom w:val="single" w:sz="8" w:color="0C5C52"/>
      </w:pBdr>
    </w:pPr>
    <w:rPr>
      <w:rFonts w:ascii="Calibri Light" w:hAnsi="Calibri Light"/>
      <w:b/>
      <w:color w:val="0C5C52"/>
      <w:sz w:val="3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300" w:after="120"/>
    </w:pPr>
    <w:rPr>
      <w:b/>
      <w:color w:val="0A423B"/>
      <w:sz w:val="26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40" w:after="90"/>
    </w:pPr>
    <w:rPr>
      <w:b/>
      <w:color w:val="1A2422"/>
      <w:sz w:val="22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200" w:after="80"/>
    </w:pPr>
    <w:rPr>
      <w:b/>
      <w:i/>
      <w:color w:val="5C6B67"/>
      <w:sz w:val="21"/>
    </w:rPr>
  </w:style>
  <w:style w:type="paragraph" w:styleId="Codigo">
    <w:name w:val="Codigo"/>
    <w:basedOn w:val="Normal"/>
    <w:pPr>
      <w:spacing w:after="0" w:line="240" w:lineRule="auto"/>
      <w:ind w:left="120"/>
      <w:shd w:val="clear" w:color="auto" w:fill="F2F5F4"/>
    </w:pPr>
    <w:rPr>
      <w:rFonts w:ascii="Consolas" w:hAnsi="Consolas"/>
      <w:color w:val="1A2422"/>
      <w:sz w:val="17"/>
    </w:rPr>
  </w:style>
  <w:style w:type="paragraph" w:styleId="Celda">
    <w:name w:val="Celda"/>
    <w:basedOn w:val="Normal"/>
    <w:pPr>
      <w:spacing w:before="20" w:after="20" w:line="252" w:lineRule="auto"/>
    </w:pPr>
    <w:rPr>
      <w:sz w:val="18"/>
    </w:rPr>
  </w:style>
  <w:style w:type="paragraph" w:styleId="CeldaTitulo">
    <w:name w:val="CeldaTitulo"/>
    <w:basedOn w:val="Celda"/>
    <w:rPr>
      <w:b/>
      <w:color w:val="0A423B"/>
      <w:sz w:val="18"/>
    </w:rPr>
  </w:style>
  <w:style w:type="paragraph" w:styleId="Vineta">
    <w:name w:val="Vineta"/>
    <w:basedOn w:val="Normal"/>
    <w:pPr>
      <w:spacing w:after="60"/>
      <w:ind w:left="360" w:hanging="220"/>
    </w:pPr>
  </w:style>
  <w:style w:type="paragraph" w:styleId="Nota">
    <w:name w:val="Nota"/>
    <w:basedOn w:val="Normal"/>
    <w:rPr>
      <w:sz w:val="19"/>
      <w:color w:val="4A3A14"/>
    </w:rPr>
  </w:style>
  <w:style w:type="paragraph" w:styleId="Encabezado">
    <w:name w:val="header"/>
    <w:basedOn w:val="Normal"/>
    <w:pPr>
      <w:spacing w:after="0"/>
    </w:pPr>
    <w:rPr>
      <w:color w:val="5C6B67"/>
      <w:sz w:val="16"/>
    </w:rPr>
  </w:style>
  <w:style w:type="paragraph" w:styleId="Pie">
    <w:name w:val="footer"/>
    <w:basedOn w:val="Normal"/>
    <w:pPr>
      <w:spacing w:after="0"/>
    </w:pPr>
    <w:rPr>
      <w:color w:val="5C6B67"/>
      <w:sz w:val="16"/>
    </w:rPr>
  </w:style>
  <w:style w:type="paragraph" w:styleId="TOC1">
    <w:name w:val="toc 1"/>
    <w:basedOn w:val="Normal"/>
    <w:pPr>
      <w:spacing w:before="120" w:after="0"/>
      <w:tabs>
        <w:tab w:val="right" w:leader="dot" w:pos="9360"/>
      </w:tabs>
    </w:pPr>
    <w:rPr>
      <w:b/>
      <w:color w:val="0A423B"/>
      <w:sz w:val="20"/>
    </w:rPr>
  </w:style>
  <w:style w:type="paragraph" w:styleId="TOC2">
    <w:name w:val="toc 2"/>
    <w:basedOn w:val="Normal"/>
    <w:pPr>
      <w:spacing w:after="0"/>
      <w:ind w:left="240"/>
      <w:tabs>
        <w:tab w:val="right" w:leader="dot" w:pos="9360"/>
      </w:tabs>
    </w:pPr>
    <w:rPr>
      <w:sz w:val="19"/>
    </w:rPr>
  </w:style>
  <w:style w:type="paragraph" w:styleId="TOC3">
    <w:name w:val="toc 3"/>
    <w:basedOn w:val="Normal"/>
    <w:pPr>
      <w:spacing w:after="0"/>
      <w:ind w:left="480"/>
      <w:tabs>
        <w:tab w:val="right" w:leader="dot" w:pos="9360"/>
      </w:tabs>
    </w:pPr>
    <w:rPr>
      <w:color w:val="5C6B67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Sty" Type="http://schemas.openxmlformats.org/officeDocument/2006/relationships/styles" Target="styles.xml"/>
  <Relationship Id="rIdNum" Type="http://schemas.openxmlformats.org/officeDocument/2006/relationships/numbering" Target="numbering.xml"/>
  <Relationship Id="rIdSet" Type="http://schemas.openxmlformats.org/officeDocument/2006/relationships/settings" Target="settings.xml"/>
  <Relationship Id="rIdHdr" Type="http://schemas.openxmlformats.org/officeDocument/2006/relationships/header" Target="header1.xml"/>
  <Relationship Id="rIdFt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YastaCoin DocGen</Application>
  <Company>Edson . Mariel . Rene</Company>
  <AppVersion>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Documentacion de Endpoints gRPC</dc:title>
  <dc:subject>Contratos, atributos, respuestas y diccionario de errores de los microservicios Auth y AccountsAndMovements.</dc:subject>
  <dc:creator>Edson</dc:creator>
  <cp:lastModifiedBy>Edson</cp:lastModifiedBy>
  <cp:revision>1.0</cp:revision>
  <cp:category>YastaCoin - QR Bolivia</cp:category>
  <cp:contentStatus>Aprobado para entrega</cp:contentStatus>
  <dcterms:created xsi:type="dcterms:W3CDTF">2026-09-03T00:00:00Z</dcterms:created>
  <dcterms:modified xsi:type="dcterms:W3CDTF">2026-09-03T00:00:00Z</dcterms:modified>
</cp:coreProperties>
</file>