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2400" w:after="0"/>
      </w:pPr>
    </w:p>
    <w:p>
      <w:pPr>
        <w:spacing w:after="60"/>
      </w:pPr>
      <w:r>
        <w:rPr>
          <w:rFonts w:ascii="Consolas" w:hAnsi="Consolas"/>
          <w:color w:val="0C5C52"/>
          <w:sz w:val="20"/>
          <w:spacing w:val="60"/>
        </w:rPr>
        <w:t>YASTACOIN - QR BOLIVIA</w:t>
      </w:r>
    </w:p>
    <w:p>
      <w:pPr>
        <w:pStyle w:val="Portada"/>
      </w:pPr>
      <w:r>
        <w:t>Documento Tecnico</w:t>
      </w:r>
    </w:p>
    <w:p>
      <w:pPr>
        <w:pStyle w:val="PortadaSub"/>
      </w:pPr>
      <w:r>
        <w:t>Arquitectura, modelo de datos y las decisiones de diseno que sostienen la consistencia del saldo, la idempotencia y el control de concurrencia.</w:t>
      </w:r>
    </w:p>
    <w:p>
      <w:pPr>
        <w:pBdr>
          <w:bottom w:val="single" w:sz="18" w:color="0C5C52"/>
        </w:pBdr>
        <w:spacing w:before="240" w:after="360"/>
        <w:ind w:right="5400"/>
      </w:pPr>
    </w:p>
    <w:tbl>
      <w:tblPr>
        <w:tblW w:w="6000" w:type="dxa"/>
        <w:tblLayout w:type="fixed"/>
        <w:tblBorders>
          <w:top w:val="nil"/>
          <w:bottom w:val="nil"/>
          <w:left w:val="nil"/>
          <w:right w:val="nil"/>
          <w:insideH w:val="nil"/>
          <w:insideV w:val="nil"/>
        </w:tblBorders>
        <w:tblCellMar>
          <w:top w:w="40" w:type="dxa"/>
          <w:bottom w:w="40" w:type="dxa"/>
          <w:left w:w="0" w:type="dxa"/>
          <w:right w:w="80" w:type="dxa"/>
        </w:tblCellMar>
      </w:tblPr>
      <w:tblGrid>
        <w:gridCol w:w="1900"/>
        <w:gridCol w:w="4100"/>
      </w:tblGrid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Documento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Documento Tecnico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Version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1.0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Fecha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03/09/2026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Estado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Aprobado para entrega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Reto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RETO 1 - QR Bolivia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Equipo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Edson . Mariel . Rene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Autor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Edson</w:t>
            </w:r>
          </w:p>
        </w:tc>
      </w:tr>
      <w:tr>
        <w:tc>
          <w:tcPr>
            <w:tcW w:w="1900" w:type="dxa"/>
          </w:tcPr>
          <w:p>
            <w:pPr>
              <w:spacing w:after="0" w:line="260" w:lineRule="auto"/>
            </w:pPr>
            <w:r>
              <w:rPr>
                <w:rFonts w:ascii="Consolas" w:hAnsi="Consolas"/>
                <w:color w:val="5C6B67"/>
                <w:sz w:val="17"/>
              </w:rPr>
              <w:t>Clasificacion</w:t>
            </w:r>
          </w:p>
        </w:tc>
        <w:tc>
          <w:tcPr>
            <w:tcW w:w="4100" w:type="dxa"/>
          </w:tcPr>
          <w:p>
            <w:pPr>
              <w:spacing w:after="0" w:line="260" w:lineRule="auto"/>
            </w:pPr>
            <w:r>
              <w:rPr>
                <w:b/>
                <w:color w:val="1A2422"/>
                <w:sz w:val="19"/>
              </w:rPr>
              <w:t>Uso interno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Control de versiones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628"/>
        <w:gridCol w:w="1628"/>
        <w:gridCol w:w="1628"/>
        <w:gridCol w:w="4476"/>
      </w:tblGrid>
      <w:tr>
        <w:trPr>
          <w:tblHeader/>
        </w:trPr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Version</w:t>
            </w:r>
          </w:p>
        </w:tc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Fecha</w:t>
            </w:r>
          </w:p>
        </w:tc>
        <w:tc>
          <w:tcPr>
            <w:tcW w:w="1628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Autor</w:t>
            </w:r>
          </w:p>
        </w:tc>
        <w:tc>
          <w:tcPr>
            <w:tcW w:w="4476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Descripcion del cambio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1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.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  <w:tc>
          <w:tcPr>
            <w:tcW w:w="4476" w:type="dxa"/>
          </w:tcPr>
          <w:p>
            <w:pPr>
              <w:pStyle w:val="Celda"/>
            </w:pP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3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/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0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d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o</w:t>
            </w:r>
          </w:p>
        </w:tc>
      </w:tr>
      <w:tr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V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</w:t>
            </w:r>
          </w:p>
        </w:tc>
        <w:tc>
          <w:tcPr>
            <w:tcW w:w="1628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</w:t>
            </w:r>
          </w:p>
        </w:tc>
        <w:tc>
          <w:tcPr>
            <w:tcW w:w="4476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</w:t>
            </w:r>
          </w:p>
        </w:tc>
      </w:tr>
    </w:tbl>
    <w:p>
      <w:pPr>
        <w:spacing w:after="0" w:line="120" w:lineRule="exact"/>
      </w:pPr>
    </w:p>
    <w:p>
      <w:pPr>
        <w:pStyle w:val="Heading1"/>
      </w:pPr>
      <w:r>
        <w:t xml:space="preserve">Indice</w:t>
      </w:r>
    </w:p>
    <w:p>
      <w:pPr>
        <w:spacing w:after="120"/>
      </w:pPr>
      <w:r>
        <w:rPr>
          <w:i/>
          <w:color w:val="5C6B67"/>
          <w:sz w:val="17"/>
        </w:rPr>
        <w:t>Si el indice aparece vacio, seleccionarlo y pulsar F9 para actualizar los campos.</w:t>
      </w:r>
    </w:p>
    <w:p>
      <w:pPr>
        <w:spacing w:after="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color w:val="5C6B67"/>
          <w:sz w:val="19"/>
        </w:rPr>
        <w:t>Actualizar con F9.</w:t>
      </w:r>
      <w:r>
        <w:fldChar w:fldCharType="end"/>
      </w:r>
    </w:p>
    <w:p>
      <w:r>
        <w:br w:type="page"/>
      </w:r>
    </w:p>
    <w:p>
      <w:r>
        <w:rPr>
          <w:color w:val="1A2422"/>
          <w:sz w:val="21"/>
        </w:rPr>
        <w:t xml:space="preserve">Dueño de las </w:t>
      </w:r>
      <w:r>
        <w:rPr>
          <w:b/>
          <w:color w:val="1A2422"/>
          <w:sz w:val="21"/>
        </w:rPr>
        <w:t xml:space="preserve">cuentas</w:t>
      </w:r>
      <w:r>
        <w:rPr>
          <w:color w:val="1A2422"/>
          <w:sz w:val="21"/>
        </w:rPr>
        <w:t xml:space="preserve"> (saldos) y los </w:t>
      </w:r>
      <w:r>
        <w:rPr>
          <w:b/>
          <w:color w:val="1A2422"/>
          <w:sz w:val="21"/>
        </w:rPr>
        <w:t xml:space="preserve">movimientos</w:t>
      </w:r>
      <w:r>
        <w:rPr>
          <w:color w:val="1A2422"/>
          <w:sz w:val="21"/>
        </w:rPr>
        <w:t xml:space="preserve"> (libro mayor). Es el único punto por el que la plata cambia de manos: valida contra los demás microservicios, convierte la moneda y ejecuta el pago de forma atómica.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1450"/>
        <w:gridCol w:w="7910"/>
      </w:tblGrid>
      <w:tr>
        <w:trPr>
          <w:tblHeader/>
        </w:trPr>
        <w:tc>
          <w:tcPr>
            <w:tcW w:w="1450" w:type="dxa"/>
            <w:shd w:val="clear" w:color="auto" w:fill="DFEEEA"/>
          </w:tcPr>
          <w:p>
            <w:pPr>
              <w:pStyle w:val="CeldaTitulo"/>
            </w:pPr>
          </w:p>
        </w:tc>
        <w:tc>
          <w:tcPr>
            <w:tcW w:w="7910" w:type="dxa"/>
            <w:shd w:val="clear" w:color="auto" w:fill="DFEEEA"/>
          </w:tcPr>
          <w:p>
            <w:pPr>
              <w:pStyle w:val="CeldaTitulo"/>
            </w:pPr>
          </w:p>
        </w:tc>
      </w:tr>
      <w:tr>
        <w:tc>
          <w:tcPr>
            <w:tcW w:w="145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Responsable</w:t>
            </w:r>
          </w:p>
        </w:tc>
        <w:tc>
          <w:tcPr>
            <w:tcW w:w="791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Edson · RETO 1 QR Bolivia (Edson + Mariel + Rene)</w:t>
            </w:r>
          </w:p>
        </w:tc>
      </w:tr>
      <w:tr>
        <w:tc>
          <w:tcPr>
            <w:tcW w:w="145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Puertos</w:t>
            </w:r>
          </w:p>
        </w:tc>
        <w:tc>
          <w:tcPr>
            <w:tcW w:w="791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https://localhost:52130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http://localhost:52131</w:t>
            </w:r>
          </w:p>
        </w:tc>
      </w:tr>
      <w:tr>
        <w:tc>
          <w:tcPr>
            <w:tcW w:w="145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Base</w:t>
            </w:r>
          </w:p>
        </w:tc>
        <w:tc>
          <w:tcPr>
            <w:tcW w:w="791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DB_QRBolivia</w:t>
            </w:r>
            <w:r>
              <w:rPr>
                <w:color w:val="1A2422"/>
                <w:sz w:val="18"/>
              </w:rPr>
              <w:t xml:space="preserve">, esquema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</w:t>
            </w:r>
          </w:p>
        </w:tc>
      </w:tr>
      <w:tr>
        <w:tc>
          <w:tcPr>
            <w:tcW w:w="145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Stack</w:t>
            </w:r>
          </w:p>
        </w:tc>
        <w:tc>
          <w:tcPr>
            <w:tcW w:w="791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C# · ASP.NET Core · gRPC · SQL con Dapper + ADO.NET, </w:t>
            </w:r>
            <w:r>
              <w:rPr>
                <w:b/>
                <w:color w:val="1A2422"/>
                <w:sz w:val="18"/>
              </w:rPr>
              <w:t xml:space="preserve">sin EF Core</w:t>
            </w:r>
          </w:p>
        </w:tc>
      </w:tr>
    </w:tbl>
    <w:p>
      <w:pPr>
        <w:spacing w:after="0" w:line="120" w:lineRule="exact"/>
      </w:pPr>
    </w:p>
    <w:p>
      <w:r>
        <w:rPr>
          <w:b/>
          <w:color w:val="1A2422"/>
          <w:sz w:val="21"/>
        </w:rPr>
        <w:t xml:space="preserve">Hace</w:t>
      </w:r>
      <w:r>
        <w:rPr>
          <w:color w:val="1A2422"/>
          <w:sz w:val="21"/>
        </w:rPr>
        <w:t xml:space="preserve">: abrir y consultar cuentas de clientes extranjeros (en su moneda) y de comercios bolivianos (en BOB); acreditar y debitar saldo de forma idempotente; ejecutar el pago QR; consultar operaciones e historial.</w:t>
      </w:r>
    </w:p>
    <w:p>
      <w:r>
        <w:rPr>
          <w:b/>
          <w:color w:val="1A2422"/>
          <w:sz w:val="21"/>
        </w:rPr>
        <w:t xml:space="preserve">No hace</w:t>
      </w:r>
      <w:r>
        <w:rPr>
          <w:color w:val="1A2422"/>
          <w:sz w:val="21"/>
        </w:rPr>
        <w:t xml:space="preserve">, porque es de otros microservicios del equipo: catálogo de clientes, países, monedas y tipos de cambio, comercios, y generación/estado de los QR.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1. Estructura</w:t>
      </w:r>
    </w:p>
    <w:p>
      <w:r>
        <w:rPr>
          <w:color w:val="1A2422"/>
          <w:sz w:val="21"/>
        </w:rPr>
        <w:t xml:space="preserve">Clean Architecture + CQRS con MediatR, validación con FluentValidation, respuestas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BaseResponse&lt;T&gt;</w:t>
      </w:r>
      <w:r>
        <w:rPr>
          <w:color w:val="1A2422"/>
          <w:sz w:val="21"/>
        </w:rPr>
        <w:t xml:space="preserve"> — la arquitectura del proyecto base.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AccountsAndMovements.Domain/          Entidades, códigos de error, contratos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Entities · Errors · ExternalServices · Repositories · Services/CurrencyConverter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AccountsAndMovements.Infrastructure/  SQL y clientes gRPC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Persistence/Commands (SP) · Persistence/Queries (Dapper) · ExternalServices · Protos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AccountsAndMovements.Application/     Casos de uso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Features/{Accounts,Payments,Movements}/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AccountsAndMovements.Api/             Borde gRPC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Protos/accounts_movements.proto · Services (mensaje → MediatR)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Tests/AccountsAndMovements.Unit.Tests/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2. Base de datos</w:t>
      </w:r>
    </w:p>
    <w:p>
      <w:r>
        <w:rPr>
          <w:color w:val="1A2422"/>
          <w:sz w:val="21"/>
        </w:rPr>
        <w:t xml:space="preserve">Stored procedures para todo lo que escribe, Dapper para lo que lee. Scripts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Database/AccountsAndMovements/</w:t>
      </w:r>
      <w:r>
        <w:rPr>
          <w:color w:val="1A2422"/>
          <w:sz w:val="21"/>
        </w:rPr>
        <w:t xml:space="preserve">.</w:t>
      </w:r>
    </w:p>
    <w:p>
      <w:r>
        <w:rPr>
          <w:b/>
          <w:color w:val="1A2422"/>
          <w:sz w:val="21"/>
        </w:rPr>
        <w:t xml:space="preserve">`commerce.CUENTA`</w:t>
      </w:r>
      <w:r>
        <w:rPr>
          <w:color w:val="1A2422"/>
          <w:sz w:val="21"/>
        </w:rPr>
        <w:t xml:space="preserve"> — saldo por titular y moneda. El titular es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</w:t>
      </w:r>
      <w:r>
        <w:rPr>
          <w:color w:val="1A2422"/>
          <w:sz w:val="21"/>
        </w:rPr>
        <w:t xml:space="preserve"> 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</w:t>
      </w:r>
      <w:r>
        <w:rPr>
          <w:color w:val="1A2422"/>
          <w:sz w:val="21"/>
        </w:rPr>
        <w:t xml:space="preserve">: una sola tabla para los dos lados del pago.</w:t>
      </w:r>
    </w:p>
    <w:p>
      <w:r>
        <w:rPr>
          <w:b/>
          <w:color w:val="1A2422"/>
          <w:sz w:val="21"/>
        </w:rPr>
        <w:t xml:space="preserve">`commerce.MOVIMIENTO`</w:t>
      </w:r>
      <w:r>
        <w:rPr>
          <w:color w:val="1A2422"/>
          <w:sz w:val="21"/>
        </w:rPr>
        <w:t xml:space="preserve"> — libro mayor. Cada fila es un asiento inmutable con saldo anterior y posterior. Un pago escribe </w:t>
      </w:r>
      <w:r>
        <w:rPr>
          <w:b/>
          <w:color w:val="1A2422"/>
          <w:sz w:val="21"/>
        </w:rPr>
        <w:t xml:space="preserve">dos</w:t>
      </w:r>
      <w:r>
        <w:rPr>
          <w:color w:val="1A2422"/>
          <w:sz w:val="21"/>
        </w:rPr>
        <w:t xml:space="preserve"> filas con el mismo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MOVI_TRANSACCION_VC</w:t>
      </w:r>
      <w:r>
        <w:rPr>
          <w:color w:val="1A2422"/>
          <w:sz w:val="21"/>
        </w:rPr>
        <w:t xml:space="preserve">: el DEBITO del cliente y el CREDITO del comercio. Los campos de conversión se graban en el asiento y nunca se recalculan: </w:t>
      </w:r>
      <w:r>
        <w:rPr>
          <w:b/>
          <w:color w:val="1A2422"/>
          <w:sz w:val="21"/>
        </w:rPr>
        <w:t xml:space="preserve">la operación histórica no cambia si mañana cambia el tipo de cambio.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340"/>
        <w:gridCol w:w="5020"/>
      </w:tblGrid>
      <w:tr>
        <w:trPr>
          <w:tblHeader/>
        </w:trPr>
        <w:tc>
          <w:tcPr>
            <w:tcW w:w="434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Restricción</w:t>
            </w:r>
          </w:p>
        </w:tc>
        <w:tc>
          <w:tcPr>
            <w:tcW w:w="502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Para qué</w:t>
            </w:r>
          </w:p>
        </w:tc>
      </w:tr>
      <w:tr>
        <w:tc>
          <w:tcPr>
            <w:tcW w:w="43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CK_COMMERCE_CUENTA_SALDO</w:t>
            </w:r>
            <w:r>
              <w:rPr>
                <w:color w:val="1A2422"/>
                <w:sz w:val="18"/>
              </w:rPr>
              <w:t xml:space="preserve"> (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&gt;= 0</w:t>
            </w:r>
            <w:r>
              <w:rPr>
                <w:color w:val="1A2422"/>
                <w:sz w:val="18"/>
              </w:rPr>
              <w:t xml:space="preserve">)</w:t>
            </w:r>
          </w:p>
        </w:tc>
        <w:tc>
          <w:tcPr>
            <w:tcW w:w="50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Garantía final de que no hay saldo negativo</w:t>
            </w:r>
          </w:p>
        </w:tc>
      </w:tr>
      <w:tr>
        <w:tc>
          <w:tcPr>
            <w:tcW w:w="43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UQ_COMMERCE_CUENTA_TITULAR</w:t>
            </w:r>
          </w:p>
        </w:tc>
        <w:tc>
          <w:tcPr>
            <w:tcW w:w="50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Un titular, una cuenta por moneda</w:t>
            </w:r>
          </w:p>
        </w:tc>
      </w:tr>
      <w:tr>
        <w:tc>
          <w:tcPr>
            <w:tcW w:w="43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UQ_COMMERCE_MOVIMIENTO_IDEMPOTENCIA</w:t>
            </w:r>
            <w:r>
              <w:rPr>
                <w:color w:val="1A2422"/>
                <w:sz w:val="18"/>
              </w:rPr>
              <w:t xml:space="preserve"> (global)</w:t>
            </w:r>
          </w:p>
        </w:tc>
        <w:tc>
          <w:tcPr>
            <w:tcW w:w="50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Imposible cobrar dos veces la misma operación</w:t>
            </w:r>
          </w:p>
        </w:tc>
      </w:tr>
      <w:tr>
        <w:tc>
          <w:tcPr>
            <w:tcW w:w="43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UQ_COMMERCE_MOVIMIENTO_QR</w:t>
            </w:r>
            <w:r>
              <w:rPr>
                <w:color w:val="1A2422"/>
                <w:sz w:val="18"/>
              </w:rPr>
              <w:t xml:space="preserve"> (filtrado, solo DEBITO)</w:t>
            </w:r>
          </w:p>
        </w:tc>
        <w:tc>
          <w:tcPr>
            <w:tcW w:w="50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Un QR se paga una sola vez, aunque dos lo escaneen a la vez</w:t>
            </w:r>
          </w:p>
        </w:tc>
      </w:tr>
    </w:tbl>
    <w:p>
      <w:pPr>
        <w:spacing w:after="0" w:line="120" w:lineRule="exact"/>
      </w:pP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050"/>
        <w:gridCol w:w="6310"/>
      </w:tblGrid>
      <w:tr>
        <w:trPr>
          <w:tblHeader/>
        </w:trPr>
        <w:tc>
          <w:tcPr>
            <w:tcW w:w="305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SP</w:t>
            </w:r>
          </w:p>
        </w:tc>
        <w:tc>
          <w:tcPr>
            <w:tcW w:w="631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Qué resuelve</w:t>
            </w:r>
          </w:p>
        </w:tc>
      </w:tr>
      <w:tr>
        <w:tc>
          <w:tcPr>
            <w:tcW w:w="305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commerce.INSERT_CUENTA</w:t>
            </w:r>
          </w:p>
        </w:tc>
        <w:tc>
          <w:tcPr>
            <w:tcW w:w="631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Crea la cuenta y, si trae saldo inicial, su asiento de apertura</w:t>
            </w:r>
          </w:p>
        </w:tc>
      </w:tr>
      <w:tr>
        <w:tc>
          <w:tcPr>
            <w:tcW w:w="305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commerce.APLICAR_MOVIMIENTO</w:t>
            </w:r>
          </w:p>
        </w:tc>
        <w:tc>
          <w:tcPr>
            <w:tcW w:w="631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Crédito o débito, con bloqueo de fila e idempotencia</w:t>
            </w:r>
          </w:p>
        </w:tc>
      </w:tr>
      <w:tr>
        <w:tc>
          <w:tcPr>
            <w:tcW w:w="305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commerce.EJECUTAR_PAGO_QR</w:t>
            </w:r>
          </w:p>
        </w:tc>
        <w:tc>
          <w:tcPr>
            <w:tcW w:w="631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Pago completo: débito + crédito + dos asientos, todo o nada</w:t>
            </w:r>
          </w:p>
        </w:tc>
      </w:tr>
    </w:tbl>
    <w:p>
      <w:pPr>
        <w:spacing w:after="0" w:line="120" w:lineRule="exact"/>
      </w:pP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aud.BITACORA</w:t>
      </w:r>
      <w:r>
        <w:rPr>
          <w:color w:val="1A2422"/>
          <w:sz w:val="21"/>
        </w:rPr>
        <w:t xml:space="preserve">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aud.AUDITORIA</w:t>
      </w:r>
      <w:r>
        <w:rPr>
          <w:color w:val="1A2422"/>
          <w:sz w:val="21"/>
        </w:rPr>
        <w:t xml:space="preserve"> (scripts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Database/Core/</w:t>
      </w:r>
      <w:r>
        <w:rPr>
          <w:color w:val="1A2422"/>
          <w:sz w:val="21"/>
        </w:rPr>
        <w:t xml:space="preserve">) guardan quién llamó a qué y cómo quedó cada dato. Se instalan en la base de cada microservicio.</w:t>
      </w:r>
    </w:p>
    <w:p>
      <w:r>
        <w:rPr>
          <w:b/>
          <w:color w:val="1A2422"/>
          <w:sz w:val="21"/>
        </w:rPr>
        <w:t xml:space="preserve">Instalación</w:t>
      </w:r>
      <w:r>
        <w:rPr>
          <w:color w:val="1A2422"/>
          <w:sz w:val="21"/>
        </w:rPr>
        <w:t xml:space="preserve"> — completa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docs/EJECUCION.md</w:t>
      </w:r>
      <w:r>
        <w:rPr>
          <w:color w:val="1A2422"/>
          <w:sz w:val="21"/>
        </w:rPr>
        <w:t xml:space="preserve">. El orden importa: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aud</w:t>
      </w:r>
      <w:r>
        <w:rPr>
          <w:color w:val="1A2422"/>
          <w:sz w:val="21"/>
        </w:rPr>
        <w:t xml:space="preserve"> antes que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</w:t>
      </w:r>
      <w:r>
        <w:rPr>
          <w:color w:val="1A2422"/>
          <w:sz w:val="21"/>
        </w:rPr>
        <w:t xml:space="preserve">, porque los SP 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</w:t>
      </w:r>
      <w:r>
        <w:rPr>
          <w:color w:val="1A2422"/>
          <w:sz w:val="21"/>
        </w:rPr>
        <w:t xml:space="preserve"> llaman 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aud.REGISTRAR_AUDITORIA</w:t>
      </w:r>
      <w:r>
        <w:rPr>
          <w:color w:val="1A2422"/>
          <w:sz w:val="21"/>
        </w:rPr>
        <w:t xml:space="preserve">.</w:t>
      </w:r>
    </w:p>
    <w:p>
      <w:pPr>
        <w:pStyle w:val="Nota"/>
        <w:pBdr>
          <w:left w:val="single" w:sz="18" w:color="B8860B"/>
        </w:pBdr>
        <w:shd w:val="clear" w:color="auto" w:fill="FBF4E4"/>
        <w:ind w:left="200"/>
        <w:spacing w:before="120" w:after="120"/>
      </w:pPr>
      <w:r>
        <w:rPr>
          <w:b/>
          <w:color w:val="1A2422"/>
          <w:sz w:val="21"/>
        </w:rPr>
        <w:t xml:space="preserve">`QUOTED_IDENTIFIER` y el índice filtrado.</w:t>
      </w:r>
      <w:r>
        <w:rPr>
          <w:color w:val="1A2422"/>
          <w:sz w:val="21"/>
        </w:rPr>
        <w:t xml:space="preserve"> SQL Server exige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QUOTED_IDENTIFIER ON</w:t>
      </w:r>
      <w:r>
        <w:rPr>
          <w:color w:val="1A2422"/>
          <w:sz w:val="21"/>
        </w:rPr>
        <w:t xml:space="preserve"> para cualquier DML sobre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commerce.MOVIMIENTO</w:t>
      </w:r>
      <w:r>
        <w:rPr>
          <w:color w:val="1A2422"/>
          <w:sz w:val="21"/>
        </w:rPr>
        <w:t xml:space="preserve">. Los SP ya lo fijan al crearse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Microsoft.Data.SqlClient</w:t>
      </w:r>
      <w:r>
        <w:rPr>
          <w:color w:val="1A2422"/>
          <w:sz w:val="21"/>
        </w:rPr>
        <w:t xml:space="preserve"> lo activa al conectar, así que el servicio funciona sin hacer nada. Pero para consultas sueltas </w:t>
      </w:r>
      <w:r>
        <w:rPr>
          <w:b/>
          <w:color w:val="1A2422"/>
          <w:sz w:val="21"/>
        </w:rPr>
        <w:t xml:space="preserve">desde `sqlcmd`</w:t>
      </w:r>
      <w:r>
        <w:rPr>
          <w:color w:val="1A2422"/>
          <w:sz w:val="21"/>
        </w:rPr>
        <w:t xml:space="preserve">, que lo trae en OFF, hay que abrir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SET QUOTED_IDENTIFIER ON;</w:t>
      </w:r>
      <w:r>
        <w:rPr>
          <w:color w:val="1A2422"/>
          <w:sz w:val="21"/>
        </w:rPr>
        <w:t xml:space="preserve"> o llega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Msg 1934</w:t>
      </w:r>
      <w:r>
        <w:rPr>
          <w:color w:val="1A2422"/>
          <w:sz w:val="21"/>
        </w:rPr>
        <w:t xml:space="preserve">. SSMS no tiene ese problema.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3. Contrato gRPC</w:t>
      </w: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AccountsAndMovements.Api/Protos/accounts_movements.proto</w:t>
      </w:r>
      <w:r>
        <w:rPr>
          <w:color w:val="1A2422"/>
          <w:sz w:val="21"/>
        </w:rPr>
        <w:t xml:space="preserve">. Decimales como </w:t>
      </w:r>
      <w:r>
        <w:rPr>
          <w:b/>
          <w:color w:val="1A2422"/>
          <w:sz w:val="21"/>
        </w:rPr>
        <w:t xml:space="preserve">string</w:t>
      </w:r>
      <w:r>
        <w:rPr>
          <w:color w:val="1A2422"/>
          <w:sz w:val="21"/>
        </w:rPr>
        <w:t xml:space="preserve"> para no perder precisión, fechas </w:t>
      </w:r>
      <w:r>
        <w:rPr>
          <w:b/>
          <w:color w:val="1A2422"/>
          <w:sz w:val="21"/>
        </w:rPr>
        <w:t xml:space="preserve">ISO 8601</w:t>
      </w:r>
      <w:r>
        <w:rPr>
          <w:color w:val="1A2422"/>
          <w:sz w:val="21"/>
        </w:rPr>
        <w:t xml:space="preserve">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""</w:t>
      </w:r>
      <w:r>
        <w:rPr>
          <w:color w:val="1A2422"/>
          <w:sz w:val="21"/>
        </w:rPr>
        <w:t xml:space="preserve"> = sin valor.</w:t>
      </w:r>
    </w:p>
    <w:p>
      <w:r>
        <w:rPr>
          <w:color w:val="1A2422"/>
          <w:sz w:val="21"/>
        </w:rPr>
        <w:t xml:space="preserve">No hay endpoint genérico con discriminador de titular: cliente y comercio tienen reglas distintas y cada uno tiene el suyo. Los  sacan el cliente del claim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client_id</w:t>
      </w:r>
      <w:r>
        <w:rPr>
          <w:color w:val="1A2422"/>
          <w:sz w:val="21"/>
        </w:rPr>
        <w:t xml:space="preserve"> del JWT y </w:t>
      </w:r>
      <w:r>
        <w:rPr>
          <w:b/>
          <w:color w:val="1A2422"/>
          <w:sz w:val="21"/>
        </w:rPr>
        <w:t xml:space="preserve">no lo reciben como parámetro</w:t>
      </w:r>
      <w:r>
        <w:rPr>
          <w:color w:val="1A2422"/>
          <w:sz w:val="21"/>
        </w:rPr>
        <w:t xml:space="preserve">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940"/>
        <w:gridCol w:w="4420"/>
      </w:tblGrid>
      <w:tr>
        <w:trPr>
          <w:tblHeader/>
        </w:trPr>
        <w:tc>
          <w:tcPr>
            <w:tcW w:w="494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RPC</w:t>
            </w:r>
          </w:p>
        </w:tc>
        <w:tc>
          <w:tcPr>
            <w:tcW w:w="442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Para qué</w:t>
            </w:r>
          </w:p>
        </w:tc>
      </w:tr>
      <w:tr>
        <w:tc>
          <w:tcPr>
            <w:tcW w:w="49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CreateClientAccount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CreateCommerceAccount</w:t>
            </w:r>
          </w:p>
        </w:tc>
        <w:tc>
          <w:tcPr>
            <w:tcW w:w="44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Altas. La de comercio no recibe moneda: siempre BOB</w:t>
            </w:r>
          </w:p>
        </w:tc>
      </w:tr>
      <w:tr>
        <w:tc>
          <w:tcPr>
            <w:tcW w:w="49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GetAccount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GetMyAccount</w:t>
            </w:r>
            <w:r>
              <w:rPr>
                <w:color w:val="1A2422"/>
                <w:sz w:val="18"/>
              </w:rPr>
              <w:t xml:space="preserve"> 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GetMyAccounts</w:t>
            </w:r>
            <w:r>
              <w:rPr>
                <w:color w:val="1A2422"/>
                <w:sz w:val="18"/>
              </w:rPr>
              <w:t xml:space="preserve"> </w:t>
            </w:r>
          </w:p>
        </w:tc>
        <w:tc>
          <w:tcPr>
            <w:tcW w:w="44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Consulta por número, por moneda, o todas</w:t>
            </w:r>
          </w:p>
        </w:tc>
      </w:tr>
      <w:tr>
        <w:tc>
          <w:tcPr>
            <w:tcW w:w="49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GetCommerceAccount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GetCommerceAccounts</w:t>
            </w:r>
          </w:p>
        </w:tc>
        <w:tc>
          <w:tcPr>
            <w:tcW w:w="44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Cuentas de un comercio</w:t>
            </w:r>
          </w:p>
        </w:tc>
      </w:tr>
      <w:tr>
        <w:tc>
          <w:tcPr>
            <w:tcW w:w="49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ApplyMovement</w:t>
            </w:r>
          </w:p>
        </w:tc>
        <w:tc>
          <w:tcPr>
            <w:tcW w:w="44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Crédito/débito suelto, idempotente</w:t>
            </w:r>
          </w:p>
        </w:tc>
      </w:tr>
      <w:tr>
        <w:tc>
          <w:tcPr>
            <w:tcW w:w="4940" w:type="dxa"/>
          </w:tcPr>
          <w:p>
            <w:pPr>
              <w:pStyle w:val="Celda"/>
            </w:pPr>
            <w:r>
              <w:rPr>
                <w:b/>
                <w:color w:val="1A2422"/>
                <w:sz w:val="18"/>
              </w:rPr>
              <w:t xml:space="preserve">`ExecuteQrPayment`</w:t>
            </w:r>
            <w:r>
              <w:rPr>
                <w:color w:val="1A2422"/>
                <w:sz w:val="18"/>
              </w:rPr>
              <w:t xml:space="preserve"> </w:t>
            </w:r>
          </w:p>
        </w:tc>
        <w:tc>
          <w:tcPr>
            <w:tcW w:w="4420" w:type="dxa"/>
          </w:tcPr>
          <w:p>
            <w:pPr>
              <w:pStyle w:val="Celda"/>
            </w:pPr>
            <w:r>
              <w:rPr>
                <w:b/>
                <w:color w:val="1A2422"/>
                <w:sz w:val="18"/>
              </w:rPr>
              <w:t xml:space="preserve">Pago del QR: la operación central</w:t>
            </w:r>
          </w:p>
        </w:tc>
      </w:tr>
      <w:tr>
        <w:tc>
          <w:tcPr>
            <w:tcW w:w="49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GetPayment</w:t>
            </w:r>
          </w:p>
        </w:tc>
        <w:tc>
          <w:tcPr>
            <w:tcW w:w="44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Operación por código o por idempotency key</w:t>
            </w:r>
          </w:p>
        </w:tc>
      </w:tr>
      <w:tr>
        <w:tc>
          <w:tcPr>
            <w:tcW w:w="494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GetMovements</w:t>
            </w:r>
            <w:r>
              <w:rPr>
                <w:color w:val="1A2422"/>
                <w:sz w:val="18"/>
              </w:rPr>
              <w:t xml:space="preserve">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GetMyHistory</w:t>
            </w:r>
            <w:r>
              <w:rPr>
                <w:color w:val="1A2422"/>
                <w:sz w:val="18"/>
              </w:rPr>
              <w:t xml:space="preserve">  ·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GetCommerceHistory</w:t>
            </w:r>
          </w:p>
        </w:tc>
        <w:tc>
          <w:tcPr>
            <w:tcW w:w="442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Extracto e historial con filtros</w:t>
            </w:r>
          </w:p>
        </w:tc>
      </w:tr>
    </w:tbl>
    <w:p>
      <w:pPr>
        <w:spacing w:after="0" w:line="120" w:lineRule="exact"/>
      </w:pPr>
    </w:p>
    <w:p>
      <w:r>
        <w:rPr>
          <w:color w:val="1A2422"/>
          <w:sz w:val="21"/>
        </w:rPr>
        <w:t xml:space="preserve">Campos, reglas, respuestas y errores de cada uno: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docs/ENDPOINTS.md</w:t>
      </w:r>
      <w:r>
        <w:rPr>
          <w:color w:val="1A2422"/>
          <w:sz w:val="21"/>
        </w:rPr>
        <w:t xml:space="preserve">.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// ExecuteQrPayment — el cliente sale del token, no del cuerpo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{ "qr_code": "QR-BO-0001", "amount": "20", "currency_code": "USD",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"idempotency_key": "TX-2026-000001", "description": "Pago en Café Central" }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/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// 20 USD × 6.96 = 139.20 BOB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{ "status_code": "SUC000", "data": {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"transaction_code": "d3f1b6f0-...", "movement_id": 900,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"client_account_number": "QR0000000001", "commerce_account_number": "QR0000000002",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"original_amount": "20", "original_currency": "USD", "exchange_rate": "6.96",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"converted_amount": "139.20", "target_currency": "BOB",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    "client_balance": "480", "status": "COMPLETED", "is_duplicate": false } }</w:t>
      </w:r>
    </w:p>
    <w:p>
      <w:r>
        <w:rPr>
          <w:color w:val="1A2422"/>
          <w:sz w:val="21"/>
        </w:rPr>
        <w:t xml:space="preserve">Reenviando </w:t>
      </w:r>
      <w:r>
        <w:rPr>
          <w:b/>
          <w:color w:val="1A2422"/>
          <w:sz w:val="21"/>
        </w:rPr>
        <w:t xml:space="preserve">la misma</w:t>
      </w:r>
      <w:r>
        <w:rPr>
          <w:color w:val="1A2422"/>
          <w:sz w:val="21"/>
        </w:rPr>
        <w:t xml:space="preserve">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idempotency_key</w:t>
      </w:r>
      <w:r>
        <w:rPr>
          <w:color w:val="1A2422"/>
          <w:sz w:val="21"/>
        </w:rPr>
        <w:t xml:space="preserve"> se responde lo mismo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"is_duplicate": true</w:t>
      </w:r>
      <w:r>
        <w:rPr>
          <w:color w:val="1A2422"/>
          <w:sz w:val="21"/>
        </w:rPr>
        <w:t xml:space="preserve">, y al cliente </w:t>
      </w:r>
      <w:r>
        <w:rPr>
          <w:b/>
          <w:color w:val="1A2422"/>
          <w:sz w:val="21"/>
        </w:rPr>
        <w:t xml:space="preserve">no</w:t>
      </w:r>
      <w:r>
        <w:rPr>
          <w:color w:val="1A2422"/>
          <w:sz w:val="21"/>
        </w:rPr>
        <w:t xml:space="preserve"> se le cobra de nuevo.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4. Flujo del pago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ExecuteQrPayment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0. ¿La idempotency key ya se usó? ── sí, mismos datos ─→ devuelve el resultado original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                                    └─ sí, otros datos ─→ DUPLICATE_TRANSACTION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1. Validar cliente ......................... Clientes  → CUSTOMER_NOT_FOUND / CUSTOMER_INACTIVE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2. Validar QR .............................. QR        → QR_NOT_FOUND / QR_ALREADY_USED / QR_EXPIRED / QR_INACTIVE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3. Validar comercio ........................ Comercio  → COMMERCE_NOT_FOUND / COMMERCE_INACTIVE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4. Validar moneda .......................... Monedas   → CURRENCY_NOT_SUPPORTED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5. Obtener tipo de cambio .................. Monedas   → EXCHANGE_RATE_NOT_FOUND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6. Convertir  (20 USD × 6.96 = 139.20 BOB)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7. ¿El monto convertido cubre el QR? ..................→ INVALID_AMOUNT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8. Resolver las dos cuentas ..........................→ ACCOUNT_NOT_FOUND / COMMERCE_ACCOUNT_NOT_FOUND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9. commerce.EJECUTAR_PAGO_QR  ◄── una sola transacción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        ├─ bloquea las dos cuentas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        ├─ valida saldo ...............................→ INSUFFICIENT_FUNDS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        ├─ valida que el QR no esté cobrado ...........→ QR_ALREADY_USED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        ├─ asienta DEBITO al cliente y CREDITO al comercio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        └─ actualiza los dos saldos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│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      ├─ 10. Marcar el QR como usado (best effort)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      └─ 11. Devolver la operación con su conversión</w:t>
      </w:r>
    </w:p>
    <w:p>
      <w:r>
        <w:rPr>
          <w:b/>
          <w:color w:val="1A2422"/>
          <w:sz w:val="21"/>
        </w:rPr>
        <w:t xml:space="preserve">El saldo se valida adentro del SP, no en el handler.</w:t>
      </w:r>
      <w:r>
        <w:rPr>
          <w:color w:val="1A2422"/>
          <w:sz w:val="21"/>
        </w:rPr>
        <w:t xml:space="preserve"> Una lectura desde C# no sirve para decidir: entre esa lectura y el pago puede entrar otra operación del mismo cliente. La única validación confiable es la que ocurre con la fila bloqueada, dentro de la transacción del motor.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5. Concurrencia</w:t>
      </w:r>
    </w:p>
    <w:p>
      <w:pPr>
        <w:pStyle w:val="Nota"/>
        <w:pBdr>
          <w:left w:val="single" w:sz="18" w:color="B8860B"/>
        </w:pBdr>
        <w:shd w:val="clear" w:color="auto" w:fill="FBF4E4"/>
        <w:ind w:left="200"/>
        <w:spacing w:before="120" w:after="120"/>
      </w:pPr>
      <w:r>
        <w:rPr>
          <w:color w:val="1A2422"/>
          <w:sz w:val="21"/>
        </w:rPr>
        <w:t xml:space="preserve">Requisito del reto: </w:t>
      </w:r>
      <w:r>
        <w:rPr>
          <w:i/>
          <w:color w:val="1A2422"/>
          <w:sz w:val="21"/>
        </w:rPr>
        <w:t xml:space="preserve">"La estrategia utilizada deberá estar documentada."</w:t>
      </w:r>
    </w:p>
    <w:p>
      <w:r>
        <w:rPr>
          <w:b/>
          <w:color w:val="1A2422"/>
          <w:sz w:val="21"/>
        </w:rPr>
        <w:t xml:space="preserve">Bloqueo pesimista de fila, dentro de la transacción del pago.</w:t>
      </w:r>
      <w:r>
        <w:rPr>
          <w:color w:val="1A2422"/>
          <w:sz w:val="21"/>
        </w:rPr>
        <w:t xml:space="preserve">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commerce.EJECUTAR_PAGO_QR</w:t>
      </w:r>
      <w:r>
        <w:rPr>
          <w:color w:val="1A2422"/>
          <w:sz w:val="21"/>
        </w:rPr>
        <w:t xml:space="preserve"> lee las dos cuentas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WITH (UPDLOCK, HOLDLOCK)</w:t>
      </w:r>
      <w:r>
        <w:rPr>
          <w:color w:val="1A2422"/>
          <w:sz w:val="21"/>
        </w:rPr>
        <w:t xml:space="preserve">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UPDLOCK</w:t>
      </w:r>
      <w:r>
        <w:rPr>
          <w:color w:val="1A2422"/>
          <w:sz w:val="21"/>
        </w:rPr>
        <w:t xml:space="preserve"> impide que dos pagos simultáneos del mismo cliente lean ambos el saldo viejo,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HOLDLOCK</w:t>
      </w:r>
      <w:r>
        <w:rPr>
          <w:color w:val="1A2422"/>
          <w:sz w:val="21"/>
        </w:rPr>
        <w:t xml:space="preserve"> sostiene el bloqueo hasta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COMMIT</w:t>
      </w:r>
      <w:r>
        <w:rPr>
          <w:color w:val="1A2422"/>
          <w:sz w:val="21"/>
        </w:rPr>
        <w:t xml:space="preserve">, no hasta el fin del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SELECT</w:t>
      </w:r>
      <w:r>
        <w:rPr>
          <w:color w:val="1A2422"/>
          <w:sz w:val="21"/>
        </w:rPr>
        <w:t xml:space="preserve">.</w:t>
      </w:r>
    </w:p>
    <w:p>
      <w:r>
        <w:rPr>
          <w:color w:val="1A2422"/>
          <w:sz w:val="21"/>
        </w:rPr>
        <w:t xml:space="preserve">Las dos cuentas se leen en </w:t>
      </w:r>
      <w:r>
        <w:rPr>
          <w:b/>
          <w:color w:val="1A2422"/>
          <w:sz w:val="21"/>
        </w:rPr>
        <w:t xml:space="preserve">una sola sentencia</w:t>
      </w:r>
      <w:r>
        <w:rPr>
          <w:color w:val="1A2422"/>
          <w:sz w:val="21"/>
        </w:rPr>
        <w:t xml:space="preserve"> (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WHERE numero IN (origen, destino)</w:t>
      </w:r>
      <w:r>
        <w:rPr>
          <w:color w:val="1A2422"/>
          <w:sz w:val="21"/>
        </w:rPr>
        <w:t xml:space="preserve">): el motor toma los bloqueos en el orden del índice, idéntico para todas las sesiones, y no puede darse el abrazo mortal de A-luego-B contra B-luego-A.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Saldo del cliente: 100 USD.  Llegan a la vez A = 80 y B = 50.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A entra, bloquea la fila, ve 100, descuenta 80, COMMIT.</w:t>
      </w:r>
    </w:p>
    <w:p>
      <w:pPr>
        <w:pStyle w:val="Codigo"/>
        <w:pBdr>
          <w:left w:val="single" w:sz="18" w:color="0C5C52"/>
          <w:right w:val="single" w:sz="4" w:color="C3D2CE"/>
        </w:pBdr>
      </w:pPr>
      <w:r>
        <w:t xml:space="preserve">B espera el bloqueo, entra, ve 20, no le alcanza → INSUFFICIENT_FUNDS.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Se aprueba una sola. Saldo final 20. Nunca negativo.</w:t>
      </w:r>
    </w:p>
    <w:p>
      <w:r>
        <w:rPr>
          <w:color w:val="1A2422"/>
          <w:sz w:val="21"/>
        </w:rPr>
        <w:t xml:space="preserve">Tres redes, de la más específica a la más general:</w:t>
      </w:r>
    </w:p>
    <w:p>
      <w:pPr>
        <w:pStyle w:val="Vineta"/>
        <w:numPr>
          <w:ilvl w:val="0"/>
          <w:numId w:val="1"/>
        </w:numPr>
      </w:pPr>
      <w:r>
        <w:rPr>
          <w:color w:val="1A2422"/>
          <w:sz w:val="21"/>
        </w:rPr>
        <w:t xml:space="preserve">La validación de saldo con la fila bloqueada — es la que decide.</w:t>
      </w:r>
    </w:p>
    <w:p>
      <w:pPr>
        <w:pStyle w:val="Vineta"/>
        <w:numPr>
          <w:ilvl w:val="0"/>
          <w:numId w:val="1"/>
        </w:numPr>
      </w:pPr>
      <w:r>
        <w:rPr>
          <w:rFonts w:ascii="Consolas" w:hAnsi="Consolas"/>
          <w:color w:val="0A423B"/>
          <w:sz w:val="18"/>
          <w:shd w:val="clear" w:color="auto" w:fill="F2F5F4"/>
        </w:rPr>
        <w:t xml:space="preserve">UQ_COMMERCE_MOVIMIENTO_QR</w:t>
      </w:r>
      <w:r>
        <w:rPr>
          <w:color w:val="1A2422"/>
          <w:sz w:val="21"/>
        </w:rPr>
        <w:t xml:space="preserve">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UQ_COMMERCE_MOVIMIENTO_IDEMPOTENCIA</w:t>
      </w:r>
      <w:r>
        <w:rPr>
          <w:color w:val="1A2422"/>
          <w:sz w:val="21"/>
        </w:rPr>
        <w:t xml:space="preserve"> resuelven</w:t>
      </w:r>
    </w:p>
    <w:p>
      <w:r>
        <w:rPr>
          <w:color w:val="1A2422"/>
          <w:sz w:val="21"/>
        </w:rPr>
        <w:t xml:space="preserve">las carreras que se cuelan entre la lectura y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INSERT</w:t>
      </w:r>
      <w:r>
        <w:rPr>
          <w:color w:val="1A2422"/>
          <w:sz w:val="21"/>
        </w:rPr>
        <w:t xml:space="preserve">;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CATCH</w:t>
      </w:r>
      <w:r>
        <w:rPr>
          <w:color w:val="1A2422"/>
          <w:sz w:val="21"/>
        </w:rPr>
        <w:t xml:space="preserve"> traduce la violación al resultado correcto en vez de devolver un error.</w:t>
      </w:r>
    </w:p>
    <w:p>
      <w:pPr>
        <w:pStyle w:val="Vineta"/>
        <w:numPr>
          <w:ilvl w:val="0"/>
          <w:numId w:val="1"/>
        </w:numPr>
      </w:pPr>
      <w:r>
        <w:rPr>
          <w:rFonts w:ascii="Consolas" w:hAnsi="Consolas"/>
          <w:color w:val="0A423B"/>
          <w:sz w:val="18"/>
          <w:shd w:val="clear" w:color="auto" w:fill="F2F5F4"/>
        </w:rPr>
        <w:t xml:space="preserve">CK_COMMERCE_CUENTA_SALDO &gt;= 0</w:t>
      </w:r>
      <w:r>
        <w:rPr>
          <w:color w:val="1A2422"/>
          <w:sz w:val="21"/>
        </w:rPr>
        <w:t xml:space="preserve">: si algo se escapara, el motor rechaza antes</w:t>
      </w:r>
    </w:p>
    <w:p>
      <w:r>
        <w:rPr>
          <w:color w:val="1A2422"/>
          <w:sz w:val="21"/>
        </w:rPr>
        <w:t xml:space="preserve">que dejar saldo negativo.</w:t>
      </w:r>
    </w:p>
    <w:p>
      <w:r>
        <w:rPr>
          <w:b/>
          <w:color w:val="1A2422"/>
          <w:sz w:val="21"/>
        </w:rPr>
        <w:t xml:space="preserve">El QR de un solo uso lo garantiza el índice único de este servicio</w:t>
      </w:r>
      <w:r>
        <w:rPr>
          <w:color w:val="1A2422"/>
          <w:sz w:val="21"/>
        </w:rPr>
        <w:t xml:space="preserve">, no la llamada 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MarkQrAsUsed</w:t>
      </w:r>
      <w:r>
        <w:rPr>
          <w:color w:val="1A2422"/>
          <w:sz w:val="21"/>
        </w:rPr>
        <w:t xml:space="preserve">. Dos clientes distintos que escaneen el mismo QR a la vez pasan las validaciones previas —son cuentas distintas, no comparten bloqueo—; es el índice el que deja pasar un solo débito.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6. Idempotencia</w:t>
      </w:r>
    </w:p>
    <w:p>
      <w:r>
        <w:rPr>
          <w:color w:val="1A2422"/>
          <w:sz w:val="21"/>
        </w:rPr>
        <w:t xml:space="preserve">Cada pago lleva una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idempotencyKey</w:t>
      </w:r>
      <w:r>
        <w:rPr>
          <w:color w:val="1A2422"/>
          <w:sz w:val="21"/>
        </w:rPr>
        <w:t xml:space="preserve"> del llamador (ej.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TX-2026-000001</w:t>
      </w:r>
      <w:r>
        <w:rPr>
          <w:color w:val="1A2422"/>
          <w:sz w:val="21"/>
        </w:rPr>
        <w:t xml:space="preserve">).</w:t>
      </w:r>
    </w:p>
    <w:p>
      <w:r>
        <w:rPr>
          <w:b/>
          <w:color w:val="1A2422"/>
          <w:sz w:val="21"/>
        </w:rPr>
        <w:t xml:space="preserve">El alcance es global, no por cuenta</w:t>
      </w:r>
      <w:r>
        <w:rPr>
          <w:color w:val="1A2422"/>
          <w:sz w:val="21"/>
        </w:rPr>
        <w:t xml:space="preserve">: identifica una operación del sistema entero. Con alcance por cuenta, dos clientes que mandaran la misma clave a la vez pasarían los dos, pero uno detrás del otro el segundo sería rechazado — el mismo caso daría resultados distintos según el momento. El asiento del comercio lleva la clave con sufijo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-IN</w:t>
      </w:r>
      <w:r>
        <w:rPr>
          <w:color w:val="1A2422"/>
          <w:sz w:val="21"/>
        </w:rPr>
        <w:t xml:space="preserve">, así el par débito/crédito no choca entre sí; por eso el validator la limita a 60 sobre una columna de 64.</w:t>
      </w:r>
    </w:p>
    <w:p>
      <w:r>
        <w:rPr>
          <w:color w:val="1A2422"/>
          <w:sz w:val="21"/>
        </w:rPr>
        <w:t xml:space="preserve">Tres capas: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Antes de validar nada</w:t>
      </w:r>
      <w:r>
        <w:rPr>
          <w:color w:val="1A2422"/>
          <w:sz w:val="21"/>
        </w:rPr>
        <w:t xml:space="preserve">, el handler busca la clave. Si existe y los datos</w:t>
      </w:r>
    </w:p>
    <w:p>
      <w:r>
        <w:rPr>
          <w:color w:val="1A2422"/>
          <w:sz w:val="21"/>
        </w:rPr>
        <w:t xml:space="preserve">coinciden, responde el resultado original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is_duplicate: true</w:t>
      </w:r>
      <w:r>
        <w:rPr>
          <w:color w:val="1A2422"/>
          <w:sz w:val="21"/>
        </w:rPr>
        <w:t xml:space="preserve"> y el saldo que quedó </w:t>
      </w:r>
      <w:r>
        <w:rPr>
          <w:i/>
          <w:color w:val="1A2422"/>
          <w:sz w:val="21"/>
        </w:rPr>
        <w:t xml:space="preserve">entonces</w:t>
      </w:r>
      <w:r>
        <w:rPr>
          <w:color w:val="1A2422"/>
          <w:sz w:val="21"/>
        </w:rPr>
        <w:t xml:space="preserve">.</w:t>
      </w:r>
    </w:p>
    <w:p>
      <w:pPr>
        <w:pStyle w:val="Vineta"/>
        <w:numPr>
          <w:ilvl w:val="0"/>
          <w:numId w:val="1"/>
        </w:numPr>
      </w:pPr>
      <w:r>
        <w:rPr>
          <w:color w:val="1A2422"/>
          <w:sz w:val="21"/>
        </w:rPr>
        <w:t xml:space="preserve">Si existe </w:t>
      </w:r>
      <w:r>
        <w:rPr>
          <w:b/>
          <w:color w:val="1A2422"/>
          <w:sz w:val="21"/>
        </w:rPr>
        <w:t xml:space="preserve">con otros datos</w:t>
      </w:r>
      <w:r>
        <w:rPr>
          <w:color w:val="1A2422"/>
          <w:sz w:val="21"/>
        </w:rPr>
        <w:t xml:space="preserve">, no es un reintento sino una clave reusada:</w:t>
      </w: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DUPLICATE_TRANSACTION</w:t>
      </w:r>
      <w:r>
        <w:rPr>
          <w:color w:val="1A2422"/>
          <w:sz w:val="21"/>
        </w:rPr>
        <w:t xml:space="preserve">. Devolver el resultado anterior le mostraría a un cliente el pago de otro, o daría por pagado un QR que nunca se cobró.</w:t>
      </w:r>
    </w:p>
    <w:p>
      <w:pPr>
        <w:pStyle w:val="Vineta"/>
        <w:numPr>
          <w:ilvl w:val="0"/>
          <w:numId w:val="1"/>
        </w:numPr>
      </w:pPr>
      <w:r>
        <w:rPr>
          <w:color w:val="1A2422"/>
          <w:sz w:val="21"/>
        </w:rPr>
        <w:t xml:space="preserve">Dentro del SP se repite la búsqueda con la fila bloqueada, y</w:t>
      </w:r>
    </w:p>
    <w:p>
      <w:r>
        <w:rPr>
          <w:rFonts w:ascii="Consolas" w:hAnsi="Consolas"/>
          <w:color w:val="0A423B"/>
          <w:sz w:val="18"/>
          <w:shd w:val="clear" w:color="auto" w:fill="F2F5F4"/>
        </w:rPr>
        <w:t xml:space="preserve">UQ_COMMERCE_MOVIMIENTO_IDEMPOTENCIA</w:t>
      </w:r>
      <w:r>
        <w:rPr>
          <w:color w:val="1A2422"/>
          <w:sz w:val="21"/>
        </w:rPr>
        <w:t xml:space="preserve"> cierra la carrera que quede, traducida en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CATCH</w:t>
      </w:r>
      <w:r>
        <w:rPr>
          <w:color w:val="1A2422"/>
          <w:sz w:val="21"/>
        </w:rPr>
        <w:t xml:space="preserve"> 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-9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7. Errores</w:t>
      </w:r>
    </w:p>
    <w:p>
      <w:r>
        <w:rPr>
          <w:color w:val="1A2422"/>
          <w:sz w:val="21"/>
        </w:rPr>
        <w:t xml:space="preserve">Los doce que exige el reto están cubiertos: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CUSTOMER_NOT_FOUND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CUSTOMER_INACTIVE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COMMERCE_INACTIVE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QR_NOT_FOUND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QR_EXPIRED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QR_ALREADY_USED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QR_INACTIVE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INSUFFICIENT_FUNDS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CURRENCY_NOT_SUPPORTED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INVALID_AMOUNT</w:t>
      </w:r>
      <w:r>
        <w:rPr>
          <w:color w:val="1A2422"/>
          <w:sz w:val="21"/>
        </w:rPr>
        <w:t xml:space="preserve"> ·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DUPLICATE_TRANSACTION</w:t>
      </w:r>
      <w:r>
        <w:rPr>
          <w:color w:val="1A2422"/>
          <w:sz w:val="21"/>
        </w:rPr>
        <w:t xml:space="preserve">. Más los propios del servicio y el catálogo completo con sus mensajes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docs/ENDPOINTS.md</w:t>
      </w:r>
      <w:r>
        <w:rPr>
          <w:color w:val="1A2422"/>
          <w:sz w:val="21"/>
        </w:rPr>
        <w:t xml:space="preserve">.</w:t>
      </w:r>
    </w:p>
    <w:p>
      <w:r>
        <w:rPr>
          <w:color w:val="1A2422"/>
          <w:sz w:val="21"/>
        </w:rPr>
        <w:t xml:space="preserve">Las validaciones de entrada salen como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VAL001</w:t>
      </w:r>
      <w:r>
        <w:rPr>
          <w:color w:val="1A2422"/>
          <w:sz w:val="21"/>
        </w:rPr>
        <w:t xml:space="preserve"> con detalle por campo, y las excepciones no controladas como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ERR001</w:t>
      </w:r>
      <w:r>
        <w:rPr>
          <w:color w:val="1A2422"/>
          <w:sz w:val="21"/>
        </w:rPr>
        <w:t xml:space="preserve">, ya registradas por 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LoggerInterceptor</w:t>
      </w:r>
      <w:r>
        <w:rPr>
          <w:color w:val="1A2422"/>
          <w:sz w:val="21"/>
        </w:rPr>
        <w:t xml:space="preserve">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8. Lo que necesita de los demás</w:t>
      </w:r>
    </w:p>
    <w:p>
      <w:r>
        <w:rPr>
          <w:color w:val="1A2422"/>
          <w:sz w:val="21"/>
        </w:rPr>
        <w:t xml:space="preserve">Los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.proto</w:t>
      </w:r>
      <w:r>
        <w:rPr>
          <w:color w:val="1A2422"/>
          <w:sz w:val="21"/>
        </w:rPr>
        <w:t xml:space="preserve"> que consume están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AccountsAndMovements.Infrastructure/Protos/</w:t>
      </w:r>
      <w:r>
        <w:rPr>
          <w:color w:val="1A2422"/>
          <w:sz w:val="21"/>
        </w:rPr>
        <w:t xml:space="preserve">. </w:t>
      </w:r>
      <w:r>
        <w:rPr>
          <w:b/>
          <w:color w:val="1A2422"/>
          <w:sz w:val="21"/>
        </w:rPr>
        <w:t xml:space="preserve">Son el contrato que se espera de cada microservicio del equipo</w:t>
      </w:r>
      <w:r>
        <w:rPr>
          <w:color w:val="1A2422"/>
          <w:sz w:val="21"/>
        </w:rPr>
        <w:t xml:space="preserve">; si alguno define algo distinto, se reemplaza ese archivo y se ajusta la clase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ExternalServices/</w:t>
      </w:r>
      <w:r>
        <w:rPr>
          <w:color w:val="1A2422"/>
          <w:sz w:val="21"/>
        </w:rPr>
        <w:t xml:space="preserve">.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693"/>
        <w:gridCol w:w="2773"/>
        <w:gridCol w:w="5200"/>
        <w:gridCol w:w="694"/>
      </w:tblGrid>
      <w:tr>
        <w:trPr>
          <w:tblHeader/>
        </w:trPr>
        <w:tc>
          <w:tcPr>
            <w:tcW w:w="693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Servicio</w:t>
            </w:r>
          </w:p>
        </w:tc>
        <w:tc>
          <w:tcPr>
            <w:tcW w:w="2773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RPC</w:t>
            </w:r>
          </w:p>
        </w:tc>
        <w:tc>
          <w:tcPr>
            <w:tcW w:w="520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Datos</w:t>
            </w:r>
          </w:p>
        </w:tc>
        <w:tc>
          <w:tcPr>
            <w:tcW w:w="694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Puerto</w:t>
            </w:r>
          </w:p>
        </w:tc>
      </w:tr>
      <w:tr>
        <w:tc>
          <w:tcPr>
            <w:tcW w:w="693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Clientes</w:t>
            </w:r>
          </w:p>
        </w:tc>
        <w:tc>
          <w:tcPr>
            <w:tcW w:w="277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GetClientById</w:t>
            </w:r>
          </w:p>
        </w:tc>
        <w:tc>
          <w:tcPr>
            <w:tcW w:w="520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id, nombre, email, país, moneda, estado</w:t>
            </w:r>
          </w:p>
        </w:tc>
        <w:tc>
          <w:tcPr>
            <w:tcW w:w="69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52140</w:t>
            </w:r>
          </w:p>
        </w:tc>
      </w:tr>
      <w:tr>
        <w:tc>
          <w:tcPr>
            <w:tcW w:w="693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Comercio</w:t>
            </w:r>
          </w:p>
        </w:tc>
        <w:tc>
          <w:tcPr>
            <w:tcW w:w="277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GetCommerceById</w:t>
            </w:r>
          </w:p>
        </w:tc>
        <w:tc>
          <w:tcPr>
            <w:tcW w:w="520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id, nombre, NIT,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is_active</w:t>
            </w:r>
            <w:r>
              <w:rPr>
                <w:color w:val="1A2422"/>
                <w:sz w:val="18"/>
              </w:rPr>
              <w:t xml:space="preserve">. La moneda no viaja: siempre BOB</w:t>
            </w:r>
          </w:p>
        </w:tc>
        <w:tc>
          <w:tcPr>
            <w:tcW w:w="69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52142</w:t>
            </w:r>
          </w:p>
        </w:tc>
      </w:tr>
      <w:tr>
        <w:tc>
          <w:tcPr>
            <w:tcW w:w="693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QR</w:t>
            </w:r>
          </w:p>
        </w:tc>
        <w:tc>
          <w:tcPr>
            <w:tcW w:w="277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GetQr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MarkQrAsUsed</w:t>
            </w:r>
          </w:p>
        </w:tc>
        <w:tc>
          <w:tcPr>
            <w:tcW w:w="520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código, comercio, monto, moneda, referencia, estado, expiración</w:t>
            </w:r>
          </w:p>
        </w:tc>
        <w:tc>
          <w:tcPr>
            <w:tcW w:w="69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52144</w:t>
            </w:r>
          </w:p>
        </w:tc>
      </w:tr>
      <w:tr>
        <w:tc>
          <w:tcPr>
            <w:tcW w:w="693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Monedas</w:t>
            </w:r>
          </w:p>
        </w:tc>
        <w:tc>
          <w:tcPr>
            <w:tcW w:w="2773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GetCurrency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GetExchangeRate</w:t>
            </w:r>
          </w:p>
        </w:tc>
        <w:tc>
          <w:tcPr>
            <w:tcW w:w="520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id/código/estado y tipo de cambio origendestino</w:t>
            </w:r>
          </w:p>
        </w:tc>
        <w:tc>
          <w:tcPr>
            <w:tcW w:w="694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52146</w:t>
            </w:r>
          </w:p>
        </w:tc>
      </w:tr>
    </w:tbl>
    <w:p>
      <w:pPr>
        <w:spacing w:after="0" w:line="120" w:lineRule="exact"/>
      </w:pPr>
    </w:p>
    <w:p>
      <w:r>
        <w:rPr>
          <w:color w:val="1A2422"/>
          <w:sz w:val="21"/>
        </w:rPr>
        <w:t xml:space="preserve">Puertos configurables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appsettings.json</w:t>
      </w:r>
      <w:r>
        <w:rPr>
          <w:color w:val="1A2422"/>
          <w:sz w:val="21"/>
        </w:rPr>
        <w:t xml:space="preserve">, sección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Services</w:t>
      </w:r>
      <w:r>
        <w:rPr>
          <w:color w:val="1A2422"/>
          <w:sz w:val="21"/>
        </w:rPr>
        <w:t xml:space="preserve">. Cada cliente gRPC tiene retry (3 intentos con backoff) y circuit breaker. Mientras esos cuatro no existan,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UseFakeExternalServices: true</w:t>
      </w:r>
      <w:r>
        <w:rPr>
          <w:color w:val="1A2422"/>
          <w:sz w:val="21"/>
        </w:rPr>
        <w:t xml:space="preserve"> los reemplaza con catálogos en memoria y el servicio corre solo.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9. Ejecución y pruebas</w:t>
      </w:r>
    </w:p>
    <w:p>
      <w:pPr>
        <w:pStyle w:val="Codigo"/>
        <w:pBdr>
          <w:top w:val="single" w:sz="4" w:color="C3D2CE"/>
          <w:left w:val="single" w:sz="18" w:color="0C5C52"/>
          <w:right w:val="single" w:sz="4" w:color="C3D2CE"/>
        </w:pBdr>
      </w:pPr>
      <w:r>
        <w:t xml:space="preserve">dotnet run --project Microservices/AccountsAndMovements/AccountsAndMovements.Api</w:t>
      </w:r>
    </w:p>
    <w:p>
      <w:pPr>
        <w:pStyle w:val="Codigo"/>
        <w:pBdr>
          <w:bottom w:val="single" w:sz="4" w:color="C3D2CE"/>
          <w:left w:val="single" w:sz="18" w:color="0C5C52"/>
          <w:right w:val="single" w:sz="4" w:color="C3D2CE"/>
        </w:pBdr>
      </w:pPr>
      <w:r>
        <w:t xml:space="preserve">dotnet test Microservices/AccountsAndMovements/Tests/AccountsAndMovements.Unit.Tests</w:t>
      </w:r>
    </w:p>
    <w:p>
      <w:r>
        <w:rPr>
          <w:color w:val="1A2422"/>
          <w:sz w:val="21"/>
        </w:rPr>
        <w:t xml:space="preserve">Desde Visual Studio, el perfil ya está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YastaCoin.slnLaunch</w:t>
      </w:r>
      <w:r>
        <w:rPr>
          <w:color w:val="1A2422"/>
          <w:sz w:val="21"/>
        </w:rPr>
        <w:t xml:space="preserve">.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https://localhost:52130/</w:t>
      </w:r>
      <w:r>
        <w:rPr>
          <w:color w:val="1A2422"/>
          <w:sz w:val="21"/>
        </w:rPr>
        <w:t xml:space="preserve"> responde con el nombre del servicio y la hora.</w:t>
      </w:r>
    </w:p>
    <w:p>
      <w:r>
        <w:rPr>
          <w:color w:val="1A2422"/>
          <w:sz w:val="21"/>
        </w:rPr>
        <w:t xml:space="preserve">69 pruebas unitarias acá, 100 en la solución contando Auth. Cubren la lista obligatoria del reto:</w:t>
      </w:r>
    </w:p>
    <w:tbl>
      <w:tblPr>
        <w:tblW w:w="9360" w:type="dxa"/>
        <w:tblLayout w:type="fixed"/>
        <w:tblBorders>
          <w:top w:val="single" w:sz="4" w:color="C3D2CE"/>
          <w:bottom w:val="single" w:sz="4" w:color="C3D2CE"/>
          <w:insideH w:val="single" w:sz="4" w:color="C3D2CE"/>
          <w:left w:val="nil"/>
          <w:right w:val="nil"/>
          <w:insideV w:val="nil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4390"/>
        <w:gridCol w:w="4970"/>
      </w:tblGrid>
      <w:tr>
        <w:trPr>
          <w:tblHeader/>
        </w:trPr>
        <w:tc>
          <w:tcPr>
            <w:tcW w:w="439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Caso del reto</w:t>
            </w:r>
          </w:p>
        </w:tc>
        <w:tc>
          <w:tcPr>
            <w:tcW w:w="4970" w:type="dxa"/>
            <w:shd w:val="clear" w:color="auto" w:fill="DFEEEA"/>
          </w:tcPr>
          <w:p>
            <w:pPr>
              <w:pStyle w:val="CeldaTitulo"/>
            </w:pPr>
            <w:r>
              <w:rPr>
                <w:color w:val="0A423B"/>
                <w:sz w:val="18"/>
              </w:rPr>
              <w:t xml:space="preserve">Prueba</w:t>
            </w:r>
          </w:p>
        </w:tc>
      </w:tr>
      <w:tr>
        <w:tc>
          <w:tcPr>
            <w:tcW w:w="439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Cliente existente / inexistente / inactivo</w:t>
            </w:r>
          </w:p>
        </w:tc>
        <w:tc>
          <w:tcPr>
            <w:tcW w:w="497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Handle_WhenEverythingIsValid…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…ClientDoesNotExist…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…ClientIsInactive…</w:t>
            </w:r>
          </w:p>
        </w:tc>
      </w:tr>
      <w:tr>
        <w:tc>
          <w:tcPr>
            <w:tcW w:w="439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QR válido / inexistente / expirado / usado / inactivo</w:t>
            </w:r>
          </w:p>
        </w:tc>
        <w:tc>
          <w:tcPr>
            <w:tcW w:w="497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…QrDoesNotExist…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…QrStatusIsExpired…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…QrExpirationHasPassed…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…QrIsAlreadyUsed…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…QrIsCancelled…</w:t>
            </w:r>
          </w:p>
        </w:tc>
      </w:tr>
      <w:tr>
        <w:tc>
          <w:tcPr>
            <w:tcW w:w="439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Saldo suficiente / insuficiente</w:t>
            </w:r>
          </w:p>
        </w:tc>
        <w:tc>
          <w:tcPr>
            <w:tcW w:w="497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…SendsTheFrozenConversionToTheDatabase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…InsufficientFunds…</w:t>
            </w:r>
          </w:p>
        </w:tc>
      </w:tr>
      <w:tr>
        <w:tc>
          <w:tcPr>
            <w:tcW w:w="439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Moneda soportada / no soportada</w:t>
            </w:r>
          </w:p>
        </w:tc>
        <w:tc>
          <w:tcPr>
            <w:tcW w:w="497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…CurrencyIsNotInTheCatalog…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…CurrencyIsInactive…</w:t>
            </w:r>
          </w:p>
        </w:tc>
      </w:tr>
      <w:tr>
        <w:tc>
          <w:tcPr>
            <w:tcW w:w="439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Transferencia exitosa / duplicada</w:t>
            </w:r>
          </w:p>
        </w:tc>
        <w:tc>
          <w:tcPr>
            <w:tcW w:w="497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…CompletesThePaymentWithTheConversion</w:t>
            </w:r>
            <w:r>
              <w:rPr>
                <w:color w:val="1A2422"/>
                <w:sz w:val="18"/>
              </w:rPr>
              <w:t xml:space="preserve">, </w:t>
            </w: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…KeyWasAlreadyUsedWithTheSameData…</w:t>
            </w:r>
          </w:p>
        </w:tc>
      </w:tr>
      <w:tr>
        <w:tc>
          <w:tcPr>
            <w:tcW w:w="439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Solicitudes concurrentes</w:t>
            </w:r>
          </w:p>
        </w:tc>
        <w:tc>
          <w:tcPr>
            <w:tcW w:w="497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…TwoPaymentsRaceOverTheSameBalance_OnlyOneIsApproved</w:t>
            </w:r>
          </w:p>
        </w:tc>
      </w:tr>
      <w:tr>
        <w:tc>
          <w:tcPr>
            <w:tcW w:w="4390" w:type="dxa"/>
          </w:tcPr>
          <w:p>
            <w:pPr>
              <w:pStyle w:val="Celda"/>
            </w:pPr>
            <w:r>
              <w:rPr>
                <w:color w:val="1A2422"/>
                <w:sz w:val="18"/>
              </w:rPr>
              <w:t xml:space="preserve">Cálculo de conversión</w:t>
            </w:r>
          </w:p>
        </w:tc>
        <w:tc>
          <w:tcPr>
            <w:tcW w:w="4970" w:type="dxa"/>
          </w:tcPr>
          <w:p>
            <w:pPr>
              <w:pStyle w:val="Celda"/>
            </w:pPr>
            <w:r>
              <w:rPr>
                <w:rFonts w:ascii="Consolas" w:hAnsi="Consolas"/>
                <w:color w:val="0A423B"/>
                <w:sz w:val="15"/>
                <w:shd w:val="clear" w:color="auto" w:fill="F2F5F4"/>
              </w:rPr>
              <w:t xml:space="preserve">CurrencyConverterTests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 xml:space="preserve">Validación contra SQL Server real</w:t>
      </w:r>
    </w:p>
    <w:p>
      <w:r>
        <w:rPr>
          <w:color w:val="1A2422"/>
          <w:sz w:val="21"/>
        </w:rPr>
        <w:t xml:space="preserve">Los SP se ejecutaron contra una instancia real (SQL Server Express) y se verificó: alta de cuentas cliente y comercio; cuenta duplicada del mismo titular y moneda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-1</w:t>
      </w:r>
      <w:r>
        <w:rPr>
          <w:color w:val="1A2422"/>
          <w:sz w:val="21"/>
        </w:rPr>
        <w:t xml:space="preserve">; pago de 20 USD × 6.96  cliente 480, comercio 139.20, dos asientos con la misma transacción; mismo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idempotencyKey</w:t>
      </w:r>
      <w:r>
        <w:rPr>
          <w:color w:val="1A2422"/>
          <w:sz w:val="21"/>
        </w:rPr>
        <w:t xml:space="preserve">  mismo id sin mover saldo; mismo QR con otra clave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-6</w:t>
      </w:r>
      <w:r>
        <w:rPr>
          <w:color w:val="1A2422"/>
          <w:sz w:val="21"/>
        </w:rPr>
        <w:t xml:space="preserve">; saldo insuficiente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-3</w:t>
      </w:r>
      <w:r>
        <w:rPr>
          <w:color w:val="1A2422"/>
          <w:sz w:val="21"/>
        </w:rPr>
        <w:t xml:space="preserve">; moneda distinta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-7</w:t>
      </w:r>
      <w:r>
        <w:rPr>
          <w:color w:val="1A2422"/>
          <w:sz w:val="21"/>
        </w:rPr>
        <w:t xml:space="preserve">; conversión incoherente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-8</w:t>
      </w:r>
      <w:r>
        <w:rPr>
          <w:color w:val="1A2422"/>
          <w:sz w:val="21"/>
        </w:rPr>
        <w:t xml:space="preserve">; cuenta inexistente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-1</w:t>
      </w:r>
      <w:r>
        <w:rPr>
          <w:color w:val="1A2422"/>
          <w:sz w:val="21"/>
        </w:rPr>
        <w:t xml:space="preserve"> /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-4</w:t>
      </w:r>
      <w:r>
        <w:rPr>
          <w:color w:val="1A2422"/>
          <w:sz w:val="21"/>
        </w:rPr>
        <w:t xml:space="preserve">; y que el saldo es reconstruible desde la suma de los asientos en las dos cuentas.</w:t>
      </w:r>
    </w:p>
    <w:p>
      <w:r>
        <w:rPr>
          <w:color w:val="1A2422"/>
          <w:sz w:val="21"/>
        </w:rPr>
        <w:t xml:space="preserve">Alcance global de la clave, también contra el motor: cliente B con la clave de A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-9</w:t>
      </w:r>
      <w:r>
        <w:rPr>
          <w:color w:val="1A2422"/>
          <w:sz w:val="21"/>
        </w:rPr>
        <w:t xml:space="preserve">; A reintentando con el mismo QR  el mismo id sin cobrar; A con esa clave en otro QR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-9</w:t>
      </w:r>
      <w:r>
        <w:rPr>
          <w:color w:val="1A2422"/>
          <w:sz w:val="21"/>
        </w:rPr>
        <w:t xml:space="preserve">; recarga con una clave ya gastada por el pago 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-9</w:t>
      </w:r>
      <w:r>
        <w:rPr>
          <w:color w:val="1A2422"/>
          <w:sz w:val="21"/>
        </w:rPr>
        <w:t xml:space="preserve">.</w:t>
      </w:r>
    </w:p>
    <w:p>
      <w:r>
        <w:rPr>
          <w:b/>
          <w:color w:val="1A2422"/>
          <w:sz w:val="21"/>
        </w:rPr>
        <w:t xml:space="preserve">Concurrencia real:</w:t>
      </w:r>
      <w:r>
        <w:rPr>
          <w:color w:val="1A2422"/>
          <w:sz w:val="21"/>
        </w:rPr>
        <w:t xml:space="preserve"> dos sesiones simultáneas de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sqlcmd</w:t>
      </w:r>
      <w:r>
        <w:rPr>
          <w:color w:val="1A2422"/>
          <w:sz w:val="21"/>
        </w:rPr>
        <w:t xml:space="preserve"> sincronizadas con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WAITFOR TIME</w:t>
      </w:r>
      <w:r>
        <w:rPr>
          <w:color w:val="1A2422"/>
          <w:sz w:val="21"/>
        </w:rPr>
        <w:t xml:space="preserve">, pagando desde una cuenta con 100 BOB, una por 80 y otra por 50. Una aprobada, la otra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-3</w:t>
      </w:r>
      <w:r>
        <w:rPr>
          <w:color w:val="1A2422"/>
          <w:sz w:val="21"/>
        </w:rPr>
        <w:t xml:space="preserve">, saldo final 50, ninguna cuenta en negativo. Es el escenario del punto 13 del reto.</w:t>
      </w:r>
    </w:p>
    <w:p>
      <w:pPr>
        <w:pBdr>
          <w:bottom w:val="single" w:sz="6" w:color="C3D2CE"/>
        </w:pBdr>
        <w:spacing w:before="120" w:after="180"/>
      </w:pPr>
    </w:p>
    <w:p>
      <w:pPr>
        <w:pStyle w:val="Heading1"/>
      </w:pPr>
      <w:r>
        <w:t xml:space="preserve">10. Decisiones y supuestos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`DB_QRBolivia` / esquema `commerce`</w:t>
      </w:r>
      <w:r>
        <w:rPr>
          <w:color w:val="1A2422"/>
          <w:sz w:val="21"/>
        </w:rPr>
        <w:t xml:space="preserve">, separado del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coin</w:t>
      </w:r>
      <w:r>
        <w:rPr>
          <w:color w:val="1A2422"/>
          <w:sz w:val="21"/>
        </w:rPr>
        <w:t xml:space="preserve"> del proyecto base para no chocar con sus tablas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CUENTA</w:t>
      </w:r>
      <w:r>
        <w:rPr>
          <w:color w:val="1A2422"/>
          <w:sz w:val="21"/>
        </w:rPr>
        <w:t xml:space="preserve"> y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MOVIMIENTO</w:t>
      </w:r>
      <w:r>
        <w:rPr>
          <w:color w:val="1A2422"/>
          <w:sz w:val="21"/>
        </w:rPr>
        <w:t xml:space="preserve">, que tienen otra forma. Cambiar de esquema es reemplazar el prefijo en los cinco scripts y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Persistence/Queries/</w:t>
      </w:r>
      <w:r>
        <w:rPr>
          <w:color w:val="1A2422"/>
          <w:sz w:val="21"/>
        </w:rPr>
        <w:t xml:space="preserve">.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Sin FK hacia CLIENTE, COMERCIO o MONEDA.</w:t>
      </w:r>
      <w:r>
        <w:rPr>
          <w:color w:val="1A2422"/>
          <w:sz w:val="21"/>
        </w:rPr>
        <w:t xml:space="preserve"> Son de otros microservicios; esa integridad se valida por gRPC antes de crear la cuenta.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El comercio cobra en BOB.</w:t>
      </w:r>
      <w:r>
        <w:rPr>
          <w:color w:val="1A2422"/>
          <w:sz w:val="21"/>
        </w:rPr>
        <w:t xml:space="preserve"> No es un parámetro del alta, así que una cuenta de comercio en otra moneda no puede llegar a pedirse.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Monto del QR.</w:t>
      </w:r>
      <w:r>
        <w:rPr>
          <w:color w:val="1A2422"/>
          <w:sz w:val="21"/>
        </w:rPr>
        <w:t xml:space="preserve"> Con monto fijo, el convertido debe coincidir exactamente; monto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0</w:t>
      </w:r>
      <w:r>
        <w:rPr>
          <w:color w:val="1A2422"/>
          <w:sz w:val="21"/>
        </w:rPr>
        <w:t xml:space="preserve"> es QR abierto y acepta cualquier importe.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Redondeo</w:t>
      </w:r>
      <w:r>
        <w:rPr>
          <w:color w:val="1A2422"/>
          <w:sz w:val="21"/>
        </w:rPr>
        <w:t xml:space="preserve"> a 2 decimales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AwayFromZero</w:t>
      </w:r>
      <w:r>
        <w:rPr>
          <w:color w:val="1A2422"/>
          <w:sz w:val="21"/>
        </w:rPr>
        <w:t xml:space="preserve">, el criterio contable. El valor redondeado es el que se acredita y el que se graba.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`MarkQrAsUsed` es best effort.</w:t>
      </w:r>
      <w:r>
        <w:rPr>
          <w:color w:val="1A2422"/>
          <w:sz w:val="21"/>
        </w:rPr>
        <w:t xml:space="preserve"> Se llama con el dinero ya movido y no puede deshacerlo; si falla queda un warning y el pago sigue siendo válido, porque el índice único ya impide cobrar ese QR otra vez.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No se persisten intentos fallidos</w:t>
      </w:r>
      <w:r>
        <w:rPr>
          <w:color w:val="1A2422"/>
          <w:sz w:val="21"/>
        </w:rPr>
        <w:t xml:space="preserve"> como movimientos: el libro mayor guarda dinero real, los rechazos quedan en el log. Por eso una operación nunca queda en </w:t>
      </w:r>
      <w:r>
        <w:rPr>
          <w:rFonts w:ascii="Consolas" w:hAnsi="Consolas"/>
          <w:color w:val="0A423B"/>
          <w:sz w:val="18"/>
          <w:shd w:val="clear" w:color="auto" w:fill="F2F5F4"/>
        </w:rPr>
        <w:t xml:space="preserve">PENDING</w:t>
      </w:r>
      <w:r>
        <w:rPr>
          <w:color w:val="1A2422"/>
          <w:sz w:val="21"/>
        </w:rPr>
        <w:t xml:space="preserve"> —débito y crédito ocurren en la misma transacción—, aunque la columna de estado y el filtro del historial soportan los cuatro estados.</w:t>
      </w:r>
    </w:p>
    <w:p>
      <w:pPr>
        <w:pStyle w:val="Vineta"/>
        <w:numPr>
          <w:ilvl w:val="0"/>
          <w:numId w:val="1"/>
        </w:numPr>
      </w:pPr>
      <w:r>
        <w:rPr>
          <w:b/>
          <w:color w:val="1A2422"/>
          <w:sz w:val="21"/>
        </w:rPr>
        <w:t xml:space="preserve">Sin Entity Framework</w:t>
      </w:r>
      <w:r>
        <w:rPr>
          <w:color w:val="1A2422"/>
          <w:sz w:val="21"/>
        </w:rPr>
        <w:t xml:space="preserve">, como exige el reto.</w:t>
      </w:r>
    </w:p>
    <w:sectPr>
      <w:headerReference w:type="default" r:id="rIdHdr"/>
      <w:footerReference w:type="default" r:id="rIdFtr"/>
      <w:titlePg/>
      <w:pgSz w:w="12240" w:h="15840"/>
      <w:pgMar w:top="1418" w:right="1440" w:bottom="1418" w:left="1440" w:header="709" w:footer="709" w:gutter="0"/>
      <w:cols w:space="708"/>
    </w:sectPr>
  </w:body>
</w:document>
</file>

<file path=word/footer1.xml><?xml version="1.0" encoding="utf-8"?>
<w:ftr xmlns:w="http://schemas.openxmlformats.org/wordprocessingml/2006/main">
  <w:p>
    <w:pPr>
      <w:pStyle w:val="Pie"/>
      <w:tabs>
        <w:tab w:val="center" w:pos="4680"/>
        <w:tab w:val="right" w:pos="9360"/>
      </w:tabs>
      <w:pBdr>
        <w:top w:val="single" w:sz="4" w:color="C3D2CE"/>
      </w:pBdr>
    </w:pPr>
    <w:r>
      <w:t xml:space="preserve">Edson . Mariel . Rene</w:t>
    </w:r>
    <w:r>
      <w:tab/>
      <w:t xml:space="preserve">Pagina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ab/>
      <w:t>03/09/2026</w:t>
    </w:r>
  </w:p>
</w:ftr>
</file>

<file path=word/header1.xml><?xml version="1.0" encoding="utf-8"?>
<w:hdr xmlns:w="http://schemas.openxmlformats.org/wordprocessingml/2006/main">
  <w:p>
    <w:pPr>
      <w:pStyle w:val="Encabezado"/>
      <w:tabs>
        <w:tab w:val="right" w:pos="9360"/>
      </w:tabs>
      <w:pBdr>
        <w:bottom w:val="single" w:sz="4" w:color="C3D2CE"/>
      </w:pBdr>
    </w:pPr>
    <w:r>
      <w:t xml:space="preserve">YastaCoin - QR Bolivia — Documento Tecnico</w:t>
    </w:r>
    <w:r>
      <w:tab/>
      <w:t>v1.0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20"/>
      </w:pPr>
      <w:rPr>
        <w:rFonts w:ascii="Symbol" w:hAnsi="Symbol" w:hint="default"/>
        <w:color w:val="0C5C52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A2422"/>
        <w:sz w:val="21"/>
        <w:szCs w:val="21"/>
        <w:lang w:val="es-BO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Portada">
    <w:name w:val="Portada"/>
    <w:basedOn w:val="Normal"/>
    <w:pPr>
      <w:spacing w:before="0" w:after="60" w:line="240" w:lineRule="auto"/>
    </w:pPr>
    <w:rPr>
      <w:rFonts w:ascii="Calibri Light" w:hAnsi="Calibri Light"/>
      <w:b/>
      <w:color w:val="1A2422"/>
      <w:sz w:val="64"/>
    </w:rPr>
  </w:style>
  <w:style w:type="paragraph" w:styleId="PortadaSub">
    <w:name w:val="PortadaSub"/>
    <w:basedOn w:val="Normal"/>
    <w:pPr>
      <w:spacing w:before="0" w:after="0" w:line="264" w:lineRule="auto"/>
      <w:ind w:right="2200"/>
    </w:pPr>
    <w:rPr>
      <w:color w:val="5C6B67"/>
      <w:sz w:val="26"/>
    </w:rPr>
  </w:style>
  <w:style w:type="paragraph" w:styleId="Heading1">
    <w:name w:val="heading 1"/>
    <w:basedOn w:val="Normal"/>
    <w:next w:val="Normal"/>
    <w:qFormat/>
    <w:pPr>
      <w:keepNext/>
      <w:outlineLvl w:val="0"/>
      <w:spacing w:before="420" w:after="160"/>
      <w:pBdr>
        <w:bottom w:val="single" w:sz="8" w:color="0C5C52"/>
      </w:pBdr>
    </w:pPr>
    <w:rPr>
      <w:rFonts w:ascii="Calibri Light" w:hAnsi="Calibri Light"/>
      <w:b/>
      <w:color w:val="0C5C52"/>
      <w:sz w:val="34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300" w:after="120"/>
    </w:pPr>
    <w:rPr>
      <w:b/>
      <w:color w:val="0A423B"/>
      <w:sz w:val="26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240" w:after="90"/>
    </w:pPr>
    <w:rPr>
      <w:b/>
      <w:color w:val="1A2422"/>
      <w:sz w:val="22"/>
    </w:rPr>
  </w:style>
  <w:style w:type="paragraph" w:styleId="Heading4">
    <w:name w:val="heading 4"/>
    <w:basedOn w:val="Normal"/>
    <w:next w:val="Normal"/>
    <w:qFormat/>
    <w:pPr>
      <w:keepNext/>
      <w:outlineLvl w:val="3"/>
      <w:spacing w:before="200" w:after="80"/>
    </w:pPr>
    <w:rPr>
      <w:b/>
      <w:i/>
      <w:color w:val="5C6B67"/>
      <w:sz w:val="21"/>
    </w:rPr>
  </w:style>
  <w:style w:type="paragraph" w:styleId="Codigo">
    <w:name w:val="Codigo"/>
    <w:basedOn w:val="Normal"/>
    <w:pPr>
      <w:spacing w:after="0" w:line="240" w:lineRule="auto"/>
      <w:ind w:left="120"/>
      <w:shd w:val="clear" w:color="auto" w:fill="F2F5F4"/>
    </w:pPr>
    <w:rPr>
      <w:rFonts w:ascii="Consolas" w:hAnsi="Consolas"/>
      <w:color w:val="1A2422"/>
      <w:sz w:val="17"/>
    </w:rPr>
  </w:style>
  <w:style w:type="paragraph" w:styleId="Celda">
    <w:name w:val="Celda"/>
    <w:basedOn w:val="Normal"/>
    <w:pPr>
      <w:spacing w:before="20" w:after="20" w:line="252" w:lineRule="auto"/>
    </w:pPr>
    <w:rPr>
      <w:sz w:val="18"/>
    </w:rPr>
  </w:style>
  <w:style w:type="paragraph" w:styleId="CeldaTitulo">
    <w:name w:val="CeldaTitulo"/>
    <w:basedOn w:val="Celda"/>
    <w:rPr>
      <w:b/>
      <w:color w:val="0A423B"/>
      <w:sz w:val="18"/>
    </w:rPr>
  </w:style>
  <w:style w:type="paragraph" w:styleId="Vineta">
    <w:name w:val="Vineta"/>
    <w:basedOn w:val="Normal"/>
    <w:pPr>
      <w:spacing w:after="60"/>
      <w:ind w:left="360" w:hanging="220"/>
    </w:pPr>
  </w:style>
  <w:style w:type="paragraph" w:styleId="Nota">
    <w:name w:val="Nota"/>
    <w:basedOn w:val="Normal"/>
    <w:rPr>
      <w:sz w:val="19"/>
      <w:color w:val="4A3A14"/>
    </w:rPr>
  </w:style>
  <w:style w:type="paragraph" w:styleId="Encabezado">
    <w:name w:val="header"/>
    <w:basedOn w:val="Normal"/>
    <w:pPr>
      <w:spacing w:after="0"/>
    </w:pPr>
    <w:rPr>
      <w:color w:val="5C6B67"/>
      <w:sz w:val="16"/>
    </w:rPr>
  </w:style>
  <w:style w:type="paragraph" w:styleId="Pie">
    <w:name w:val="footer"/>
    <w:basedOn w:val="Normal"/>
    <w:pPr>
      <w:spacing w:after="0"/>
    </w:pPr>
    <w:rPr>
      <w:color w:val="5C6B67"/>
      <w:sz w:val="16"/>
    </w:rPr>
  </w:style>
  <w:style w:type="paragraph" w:styleId="TOC1">
    <w:name w:val="toc 1"/>
    <w:basedOn w:val="Normal"/>
    <w:pPr>
      <w:spacing w:before="120" w:after="0"/>
      <w:tabs>
        <w:tab w:val="right" w:leader="dot" w:pos="9360"/>
      </w:tabs>
    </w:pPr>
    <w:rPr>
      <w:b/>
      <w:color w:val="0A423B"/>
      <w:sz w:val="20"/>
    </w:rPr>
  </w:style>
  <w:style w:type="paragraph" w:styleId="TOC2">
    <w:name w:val="toc 2"/>
    <w:basedOn w:val="Normal"/>
    <w:pPr>
      <w:spacing w:after="0"/>
      <w:ind w:left="240"/>
      <w:tabs>
        <w:tab w:val="right" w:leader="dot" w:pos="9360"/>
      </w:tabs>
    </w:pPr>
    <w:rPr>
      <w:sz w:val="19"/>
    </w:rPr>
  </w:style>
  <w:style w:type="paragraph" w:styleId="TOC3">
    <w:name w:val="toc 3"/>
    <w:basedOn w:val="Normal"/>
    <w:pPr>
      <w:spacing w:after="0"/>
      <w:ind w:left="480"/>
      <w:tabs>
        <w:tab w:val="right" w:leader="dot" w:pos="9360"/>
      </w:tabs>
    </w:pPr>
    <w:rPr>
      <w:color w:val="5C6B67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Sty" Type="http://schemas.openxmlformats.org/officeDocument/2006/relationships/styles" Target="styles.xml"/>
  <Relationship Id="rIdNum" Type="http://schemas.openxmlformats.org/officeDocument/2006/relationships/numbering" Target="numbering.xml"/>
  <Relationship Id="rIdSet" Type="http://schemas.openxmlformats.org/officeDocument/2006/relationships/settings" Target="settings.xml"/>
  <Relationship Id="rIdHdr" Type="http://schemas.openxmlformats.org/officeDocument/2006/relationships/header" Target="header1.xml"/>
  <Relationship Id="rIdFt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YastaCoin DocGen</Application>
  <Company>Edson . Mariel . Rene</Company>
  <AppVersion>1.0000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Documento Tecnico</dc:title>
  <dc:subject>Arquitectura, modelo de datos y las decisiones de diseno que sostienen la consistencia del saldo, la idempotencia y el control de concurrencia.</dc:subject>
  <dc:creator>Edson</dc:creator>
  <cp:lastModifiedBy>Edson</cp:lastModifiedBy>
  <cp:revision>1.0</cp:revision>
  <cp:category>YastaCoin - QR Bolivia</cp:category>
  <cp:contentStatus>Aprobado para entrega</cp:contentStatus>
  <dcterms:created xsi:type="dcterms:W3CDTF">2026-09-03T00:00:00Z</dcterms:created>
  <dcterms:modified xsi:type="dcterms:W3CDTF">2026-09-03T00:00:00Z</dcterms:modified>
</cp:coreProperties>
</file>