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p>
      <w:pPr>
        <w:spacing w:after="60"/>
      </w:pPr>
      <w:r>
        <w:rPr>
          <w:rFonts w:ascii="Consolas" w:hAnsi="Consolas"/>
          <w:color w:val="0C5C52"/>
          <w:sz w:val="20"/>
          <w:spacing w:val="60"/>
        </w:rPr>
        <w:t>YASTACOIN - QR BOLIVIA</w:t>
      </w:r>
    </w:p>
    <w:p>
      <w:pPr>
        <w:pStyle w:val="Portada"/>
      </w:pPr>
      <w:r>
        <w:t>Manual de Instalacion y Ejecucion</w:t>
      </w:r>
    </w:p>
    <w:p>
      <w:pPr>
        <w:pStyle w:val="PortadaSub"/>
      </w:pPr>
      <w:r>
        <w:t>Puesta en marcha con Docker o en local, configuracion por entorno, ejecucion de pruebas y resolucion de problemas frecuentes.</w:t>
      </w:r>
    </w:p>
    <w:p>
      <w:pPr>
        <w:pBdr>
          <w:bottom w:val="single" w:sz="18" w:color="0C5C52"/>
        </w:pBdr>
        <w:spacing w:before="240" w:after="360"/>
        <w:ind w:right="5400"/>
      </w:pPr>
    </w:p>
    <w:tbl>
      <w:tblPr>
        <w:tblW w:w="6000" w:type="dxa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40" w:type="dxa"/>
          <w:bottom w:w="40" w:type="dxa"/>
          <w:left w:w="0" w:type="dxa"/>
          <w:right w:w="80" w:type="dxa"/>
        </w:tblCellMar>
      </w:tblPr>
      <w:tblGrid>
        <w:gridCol w:w="1900"/>
        <w:gridCol w:w="4100"/>
      </w:tblGrid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Documento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Manual de Instalacion y Ejecucion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Version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1.0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Fecha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03/09/2026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Estado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Aprobado para entrega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Reto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RETO 1 - QR Bolivia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Equipo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Edson . Mariel . Rene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Autor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Edson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Clasificacion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Uso interno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Control de versiones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628"/>
        <w:gridCol w:w="1628"/>
        <w:gridCol w:w="1628"/>
        <w:gridCol w:w="4476"/>
      </w:tblGrid>
      <w:tr>
        <w:trPr>
          <w:tblHeader/>
        </w:trPr>
        <w:tc>
          <w:tcPr>
            <w:tcW w:w="16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Version</w:t>
            </w:r>
          </w:p>
        </w:tc>
        <w:tc>
          <w:tcPr>
            <w:tcW w:w="16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Fecha</w:t>
            </w:r>
          </w:p>
        </w:tc>
        <w:tc>
          <w:tcPr>
            <w:tcW w:w="16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Autor</w:t>
            </w:r>
          </w:p>
        </w:tc>
        <w:tc>
          <w:tcPr>
            <w:tcW w:w="447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Descripcion del cambio</w:t>
            </w: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1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.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0</w:t>
            </w:r>
          </w:p>
        </w:tc>
        <w:tc>
          <w:tcPr>
            <w:tcW w:w="4476" w:type="dxa"/>
          </w:tcPr>
          <w:p>
            <w:pPr>
              <w:pStyle w:val="Celda"/>
            </w:pP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0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3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/</w:t>
            </w:r>
          </w:p>
        </w:tc>
        <w:tc>
          <w:tcPr>
            <w:tcW w:w="447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0</w:t>
            </w: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d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</w:t>
            </w:r>
          </w:p>
        </w:tc>
        <w:tc>
          <w:tcPr>
            <w:tcW w:w="447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o</w:t>
            </w: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V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</w:t>
            </w:r>
          </w:p>
        </w:tc>
        <w:tc>
          <w:tcPr>
            <w:tcW w:w="447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 xml:space="preserve">Indice</w:t>
      </w:r>
    </w:p>
    <w:p>
      <w:pPr>
        <w:spacing w:after="120"/>
      </w:pPr>
      <w:r>
        <w:rPr>
          <w:i/>
          <w:color w:val="5C6B67"/>
          <w:sz w:val="17"/>
        </w:rPr>
        <w:t>Si el indice aparece vacio, seleccionarlo y pulsar F9 para actualizar los campos.</w:t>
      </w:r>
    </w:p>
    <w:p>
      <w:pPr>
        <w:spacing w:after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C6B67"/>
          <w:sz w:val="19"/>
        </w:rPr>
        <w:t>Actualizar con F9.</w:t>
      </w:r>
      <w:r>
        <w:fldChar w:fldCharType="end"/>
      </w:r>
    </w:p>
    <w:p>
      <w:r>
        <w:br w:type="page"/>
      </w:r>
    </w:p>
    <w:p>
      <w:r>
        <w:rPr>
          <w:color w:val="1A2422"/>
          <w:sz w:val="21"/>
        </w:rPr>
        <w:t xml:space="preserve">Dos caminos. </w:t>
      </w:r>
      <w:r>
        <w:rPr>
          <w:b/>
          <w:color w:val="1A2422"/>
          <w:sz w:val="21"/>
        </w:rPr>
        <w:t xml:space="preserve">Docker</w:t>
      </w:r>
      <w:r>
        <w:rPr>
          <w:color w:val="1A2422"/>
          <w:sz w:val="21"/>
        </w:rPr>
        <w:t xml:space="preserve"> levanta todo con un comando y es el recomendado para revisar el proyecto; </w:t>
      </w:r>
      <w:r>
        <w:rPr>
          <w:b/>
          <w:color w:val="1A2422"/>
          <w:sz w:val="21"/>
        </w:rPr>
        <w:t xml:space="preserve">local</w:t>
      </w:r>
      <w:r>
        <w:rPr>
          <w:color w:val="1A2422"/>
          <w:sz w:val="21"/>
        </w:rPr>
        <w:t xml:space="preserve"> hace falta para depurar desde Visual Studio.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337"/>
        <w:gridCol w:w="3086"/>
        <w:gridCol w:w="4937"/>
      </w:tblGrid>
      <w:tr>
        <w:trPr>
          <w:tblHeader/>
        </w:trPr>
        <w:tc>
          <w:tcPr>
            <w:tcW w:w="1337" w:type="dxa"/>
            <w:shd w:val="clear" w:color="auto" w:fill="DFEEEA"/>
          </w:tcPr>
          <w:p>
            <w:pPr>
              <w:pStyle w:val="CeldaTitulo"/>
            </w:pPr>
          </w:p>
        </w:tc>
        <w:tc>
          <w:tcPr>
            <w:tcW w:w="308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Docker</w:t>
            </w:r>
          </w:p>
        </w:tc>
        <w:tc>
          <w:tcPr>
            <w:tcW w:w="4937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Local</w:t>
            </w:r>
          </w:p>
        </w:tc>
      </w:tr>
      <w:tr>
        <w:tc>
          <w:tcPr>
            <w:tcW w:w="133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Requisitos</w:t>
            </w:r>
          </w:p>
        </w:tc>
        <w:tc>
          <w:tcPr>
            <w:tcW w:w="308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Docker Desktop</w:t>
            </w:r>
          </w:p>
        </w:tc>
        <w:tc>
          <w:tcPr>
            <w:tcW w:w="493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.NET 8 SDK · SQL Server (Express sirve) · sqlcmd</w:t>
            </w:r>
          </w:p>
        </w:tc>
      </w:tr>
      <w:tr>
        <w:tc>
          <w:tcPr>
            <w:tcW w:w="133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Base de datos</w:t>
            </w:r>
          </w:p>
        </w:tc>
        <w:tc>
          <w:tcPr>
            <w:tcW w:w="308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crea y la puebla el compose</w:t>
            </w:r>
          </w:p>
        </w:tc>
        <w:tc>
          <w:tcPr>
            <w:tcW w:w="493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Hay que crearla a mano</w:t>
            </w:r>
          </w:p>
        </w:tc>
      </w:tr>
      <w:tr>
        <w:tc>
          <w:tcPr>
            <w:tcW w:w="133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Puertos</w:t>
            </w:r>
          </w:p>
        </w:tc>
        <w:tc>
          <w:tcPr>
            <w:tcW w:w="308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52127 · 52131 · 1433</w:t>
            </w:r>
          </w:p>
        </w:tc>
        <w:tc>
          <w:tcPr>
            <w:tcW w:w="493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52127 · 52131</w:t>
            </w:r>
          </w:p>
        </w:tc>
      </w:tr>
      <w:tr>
        <w:tc>
          <w:tcPr>
            <w:tcW w:w="133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Sirve para</w:t>
            </w:r>
          </w:p>
        </w:tc>
        <w:tc>
          <w:tcPr>
            <w:tcW w:w="308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Demo, revisión, entrega</w:t>
            </w:r>
          </w:p>
        </w:tc>
        <w:tc>
          <w:tcPr>
            <w:tcW w:w="493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Depurar, correr tests</w:t>
            </w:r>
          </w:p>
        </w:tc>
      </w:tr>
    </w:tbl>
    <w:p>
      <w:pPr>
        <w:spacing w:after="0" w:line="120" w:lineRule="exact"/>
      </w:pP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Camino A — Docker</w:t>
      </w:r>
    </w:p>
    <w:p>
      <w:pPr>
        <w:pStyle w:val="Heading2"/>
      </w:pPr>
      <w:r>
        <w:t xml:space="preserve">1. Secretos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cp .env.example .env</w:t>
      </w:r>
    </w:p>
    <w:p>
      <w:r>
        <w:rPr>
          <w:color w:val="1A2422"/>
          <w:sz w:val="21"/>
        </w:rPr>
        <w:t xml:space="preserve">Editar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.env</w:t>
      </w:r>
      <w:r>
        <w:rPr>
          <w:color w:val="1A2422"/>
          <w:sz w:val="21"/>
        </w:rPr>
        <w:t xml:space="preserve"> y cambiar los dos valores.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MSSQL_SA_PASSWORD</w:t>
      </w:r>
      <w:r>
        <w:rPr>
          <w:color w:val="1A2422"/>
          <w:sz w:val="21"/>
        </w:rPr>
        <w:t xml:space="preserve"> necesita al menos 8 caracteres con mayúsculas, minúsculas, números y símbolos, o la imagen de SQL Server se niega a arrancar.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JWT_TOKEN_SECRET</w:t>
      </w:r>
      <w:r>
        <w:rPr>
          <w:color w:val="1A2422"/>
          <w:sz w:val="21"/>
        </w:rPr>
        <w:t xml:space="preserve"> necesita 32 caracteres como mínimo, o Auth falla al emitir el primer token.</w:t>
      </w:r>
    </w:p>
    <w:p>
      <w:r>
        <w:rPr>
          <w:rFonts w:ascii="Consolas" w:hAnsi="Consolas"/>
          <w:color w:val="0A423B"/>
          <w:sz w:val="18"/>
          <w:shd w:val="clear" w:color="auto" w:fill="F2F5F4"/>
        </w:rPr>
        <w:t xml:space="preserve">.gitignore</w:t>
      </w:r>
      <w:r>
        <w:rPr>
          <w:color w:val="1A2422"/>
          <w:sz w:val="21"/>
        </w:rPr>
        <w:t xml:space="preserve"> ya excluye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*.env</w:t>
      </w:r>
      <w:r>
        <w:rPr>
          <w:color w:val="1A2422"/>
          <w:sz w:val="21"/>
        </w:rPr>
        <w:t xml:space="preserve">: el archivo real nunca se sube.</w:t>
      </w:r>
    </w:p>
    <w:p>
      <w:pPr>
        <w:pStyle w:val="Heading2"/>
      </w:pPr>
      <w:r>
        <w:t xml:space="preserve">2. Levantar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docker compose up -d --build</w:t>
      </w:r>
    </w:p>
    <w:p>
      <w:r>
        <w:rPr>
          <w:color w:val="1A2422"/>
          <w:sz w:val="21"/>
        </w:rPr>
        <w:t xml:space="preserve">La primera vez tarda: descarga las imágenes de SQL Server y del SDK de .NET, y compila los dos servicios. El orden lo maneja el compose —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db-init</w:t>
      </w:r>
      <w:r>
        <w:rPr>
          <w:color w:val="1A2422"/>
          <w:sz w:val="21"/>
        </w:rPr>
        <w:t xml:space="preserve"> espera a que SQL Server responda una consulta real, no solo a que abra el puerto, y los servicios esperan a que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db-init</w:t>
      </w:r>
      <w:r>
        <w:rPr>
          <w:color w:val="1A2422"/>
          <w:sz w:val="21"/>
        </w:rPr>
        <w:t xml:space="preserve"> termine.</w:t>
      </w:r>
    </w:p>
    <w:p>
      <w:pPr>
        <w:pStyle w:val="Heading2"/>
      </w:pPr>
      <w:r>
        <w:t xml:space="preserve">3. Comprobar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docker compose ps</w:t>
      </w:r>
    </w:p>
    <w:p>
      <w:r>
        <w:rPr>
          <w:color w:val="1A2422"/>
          <w:sz w:val="21"/>
        </w:rPr>
        <w:t xml:space="preserve">Los tres contenedores tienen que estar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running</w:t>
      </w:r>
      <w:r>
        <w:rPr>
          <w:color w:val="1A2422"/>
          <w:sz w:val="21"/>
        </w:rPr>
        <w:t xml:space="preserve"> y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yastacoin-db-init</w:t>
      </w:r>
      <w:r>
        <w:rPr>
          <w:color w:val="1A2422"/>
          <w:sz w:val="21"/>
        </w:rPr>
        <w:t xml:space="preserve">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exited (0)</w:t>
      </w:r>
      <w:r>
        <w:rPr>
          <w:color w:val="1A2422"/>
          <w:sz w:val="21"/>
        </w:rPr>
        <w:t xml:space="preserve">. Si quedó en otro código, los scripts fallaron: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docker compose logs db-init</w:t>
      </w:r>
    </w:p>
    <w:p>
      <w:r>
        <w:rPr>
          <w:color w:val="1A2422"/>
          <w:sz w:val="21"/>
        </w:rPr>
        <w:t xml:space="preserve">Una prueba rápida de que el servicio responde: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curl http://localhost:52131/</w:t>
      </w:r>
    </w:p>
    <w:p>
      <w:r>
        <w:rPr>
          <w:color w:val="1A2422"/>
          <w:sz w:val="21"/>
        </w:rPr>
        <w:t xml:space="preserve">Devuelve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AccountsAndMovements gRPC Service — &lt;fecha&gt;</w:t>
      </w:r>
      <w:r>
        <w:rPr>
          <w:color w:val="1A2422"/>
          <w:sz w:val="21"/>
        </w:rPr>
        <w:t xml:space="preserve">.</w:t>
      </w:r>
    </w:p>
    <w:p>
      <w:pPr>
        <w:pStyle w:val="Heading2"/>
      </w:pPr>
      <w:r>
        <w:t xml:space="preserve">4. Apagar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docker compose down</w:t>
      </w:r>
    </w:p>
    <w:p>
      <w:r>
        <w:rPr>
          <w:color w:val="1A2422"/>
          <w:sz w:val="21"/>
        </w:rPr>
        <w:t xml:space="preserve">Los datos sobreviven en el volumen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mssql-data</w:t>
      </w:r>
      <w:r>
        <w:rPr>
          <w:color w:val="1A2422"/>
          <w:sz w:val="21"/>
        </w:rPr>
        <w:t xml:space="preserve">. Para borrarlos también: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docker compose down -v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Camino B — Local</w:t>
      </w:r>
    </w:p>
    <w:p>
      <w:pPr>
        <w:pStyle w:val="Heading2"/>
      </w:pPr>
      <w:r>
        <w:t xml:space="preserve">1. Crear las bases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sqlcmd -S "localhost\SQLEXPRESS" -E -Q "IF DB_ID('DB_QRBolivia') IS NULL CREATE DATABASE DB_QRBolivia; IF DB_ID('DB_YastaCoinE') IS NULL CREATE DATABASE DB_YastaCoinE;"</w:t>
      </w:r>
    </w:p>
    <w:p>
      <w:pPr>
        <w:pStyle w:val="Heading2"/>
      </w:pPr>
      <w:r>
        <w:t xml:space="preserve">2. Instalar el esquema de QR Bolivia</w:t>
      </w:r>
    </w:p>
    <w:p>
      <w:r>
        <w:rPr>
          <w:color w:val="1A2422"/>
          <w:sz w:val="21"/>
        </w:rPr>
        <w:t xml:space="preserve">El orden importa: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pay.CUENTA</w:t>
      </w:r>
      <w:r>
        <w:rPr>
          <w:color w:val="1A2422"/>
          <w:sz w:val="21"/>
        </w:rPr>
        <w:t xml:space="preserve"> antes que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pay.MOVIMIENTO</w:t>
      </w:r>
      <w:r>
        <w:rPr>
          <w:color w:val="1A2422"/>
          <w:sz w:val="21"/>
        </w:rPr>
        <w:t xml:space="preserve"> por la FK, y las tablas de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aud</w:t>
      </w:r>
      <w:r>
        <w:rPr>
          <w:color w:val="1A2422"/>
          <w:sz w:val="21"/>
        </w:rPr>
        <w:t xml:space="preserve"> antes que los procedimientos de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</w:t>
      </w:r>
      <w:r>
        <w:rPr>
          <w:color w:val="1A2422"/>
          <w:sz w:val="21"/>
        </w:rPr>
        <w:t xml:space="preserve">, porque estos llaman 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aud.REGISTRAR_AUDITORIA</w:t>
      </w:r>
      <w:r>
        <w:rPr>
          <w:color w:val="1A2422"/>
          <w:sz w:val="21"/>
        </w:rPr>
        <w:t xml:space="preserve">.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sqlcmd -S "localhost\SQLEXPRESS" -E -d DB_QRBolivia -b -i "Database\Core\Tables\aud.BITACORA.sql,Database\Core\Tables\aud.AUDITORIA.sql,Database\Core\StoredProcedures\aud.INSERT_BITACORA.sql,Database\Core\StoredProcedures\aud.REGISTRAR_AUDITORIA.sql,Database\AccountsAndMovements\Tables\pay.CUENTA.sql,Database\AccountsAndMovements\Tables\pay.MOVIMIENTO.sql,Database\AccountsAndMovements\StoredProcedures\pay.INSERT_CUENTA.sql,Database\AccountsAndMovements\StoredProcedures\pay.APLICAR_MOVIMIENTO.sql,Database\AccountsAndMovements\StoredProcedures\pay.EJECUTAR_PAGO_QR.sql"</w:t>
      </w:r>
    </w:p>
    <w:p>
      <w:r>
        <w:rPr>
          <w:color w:val="1A2422"/>
          <w:sz w:val="21"/>
        </w:rPr>
        <w:t xml:space="preserve">Los scripts son </w:t>
      </w:r>
      <w:r>
        <w:rPr>
          <w:b/>
          <w:color w:val="1A2422"/>
          <w:sz w:val="21"/>
        </w:rPr>
        <w:t xml:space="preserve">idempotentes</w:t>
      </w:r>
      <w:r>
        <w:rPr>
          <w:color w:val="1A2422"/>
          <w:sz w:val="21"/>
        </w:rPr>
        <w:t xml:space="preserve">: se pueden volver a ejecutar sin efecto adicional y sin perder datos.</w:t>
      </w:r>
    </w:p>
    <w:p>
      <w:pPr>
        <w:pStyle w:val="Heading2"/>
      </w:pPr>
      <w:r>
        <w:t xml:space="preserve">3. Instalar la auditoría en la base de Auth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sqlcmd -S "localhost\SQLEXPRESS" -E -d DB_YastaCoinE -b -i "Database\Core\Tables\aud.BITACORA.sql,Database\Core\Tables\aud.AUDITORIA.sql,Database\Core\StoredProcedures\aud.INSERT_BITACORA.sql,Database\Core\StoredProcedures\aud.REGISTRAR_AUDITORIA.sql"</w:t>
      </w:r>
    </w:p>
    <w:p>
      <w:pPr>
        <w:pStyle w:val="Heading2"/>
      </w:pPr>
      <w:r>
        <w:t xml:space="preserve">4. Levantar el servicio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dotnet run --project Microservices\AccountsAndMovements\AccountsAndMovements.Api</w:t>
      </w:r>
    </w:p>
    <w:p>
      <w:r>
        <w:rPr>
          <w:color w:val="1A2422"/>
          <w:sz w:val="21"/>
        </w:rPr>
        <w:t xml:space="preserve">Queda escuchando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http://localhost:52131</w:t>
      </w:r>
      <w:r>
        <w:rPr>
          <w:color w:val="1A2422"/>
          <w:sz w:val="21"/>
        </w:rPr>
        <w:t xml:space="preserve"> (texto plano, el que usa Postman) y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https://localhost:52130</w:t>
      </w:r>
      <w:r>
        <w:rPr>
          <w:color w:val="1A2422"/>
          <w:sz w:val="21"/>
        </w:rPr>
        <w:t xml:space="preserve">.</w:t>
      </w:r>
    </w:p>
    <w:p>
      <w:r>
        <w:rPr>
          <w:color w:val="1A2422"/>
          <w:sz w:val="21"/>
        </w:rPr>
        <w:t xml:space="preserve">Desde Visual Studio: abrir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YastaCoin.sln</w:t>
      </w:r>
      <w:r>
        <w:rPr>
          <w:color w:val="1A2422"/>
          <w:sz w:val="21"/>
        </w:rPr>
        <w:t xml:space="preserve"> y usar el perfil de inicio múltiple de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YastaCoin.slnLaunch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Configuración</w:t>
      </w:r>
    </w:p>
    <w:p>
      <w:r>
        <w:rPr>
          <w:color w:val="1A2422"/>
          <w:sz w:val="21"/>
        </w:rPr>
        <w:t xml:space="preserve">Todo se puede sobreescribir por variable de entorno con el separador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__</w:t>
      </w:r>
      <w:r>
        <w:rPr>
          <w:color w:val="1A2422"/>
          <w:sz w:val="21"/>
        </w:rPr>
        <w:t xml:space="preserve">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Database__ConnectionString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DevAuth__ClientId</w:t>
      </w:r>
      <w:r>
        <w:rPr>
          <w:color w:val="1A2422"/>
          <w:sz w:val="21"/>
        </w:rPr>
        <w:t xml:space="preserve">, etc.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74"/>
        <w:gridCol w:w="4223"/>
        <w:gridCol w:w="2463"/>
      </w:tblGrid>
      <w:tr>
        <w:trPr>
          <w:tblHeader/>
        </w:trPr>
        <w:tc>
          <w:tcPr>
            <w:tcW w:w="2674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Clave</w:t>
            </w:r>
          </w:p>
        </w:tc>
        <w:tc>
          <w:tcPr>
            <w:tcW w:w="422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Qué hace</w:t>
            </w:r>
          </w:p>
        </w:tc>
        <w:tc>
          <w:tcPr>
            <w:tcW w:w="246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Dónde</w:t>
            </w:r>
          </w:p>
        </w:tc>
      </w:tr>
      <w:tr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Database:ConnectionString</w:t>
            </w:r>
          </w:p>
        </w:tc>
        <w:tc>
          <w:tcPr>
            <w:tcW w:w="422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Cadena de conexión</w:t>
            </w:r>
          </w:p>
        </w:tc>
        <w:tc>
          <w:tcPr>
            <w:tcW w:w="246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appsettings.json</w:t>
            </w:r>
            <w:r>
              <w:rPr>
                <w:color w:val="1A2422"/>
                <w:sz w:val="18"/>
              </w:rPr>
              <w:t xml:space="preserve"> de cada servicio</w:t>
            </w:r>
          </w:p>
        </w:tc>
      </w:tr>
      <w:tr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UseFakeExternalServices</w:t>
            </w:r>
          </w:p>
        </w:tc>
        <w:tc>
          <w:tcPr>
            <w:tcW w:w="422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Resuelve Clientes, Comercios, QR y Monedas con catálogos en memoria en vez de gRPC</w:t>
            </w:r>
          </w:p>
        </w:tc>
        <w:tc>
          <w:tcPr>
            <w:tcW w:w="246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AccountsAndMovements</w:t>
            </w:r>
          </w:p>
        </w:tc>
      </w:tr>
      <w:tr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DevAuth:Enabled</w:t>
            </w:r>
            <w:r>
              <w:rPr>
                <w:color w:val="1A2422"/>
                <w:sz w:val="18"/>
              </w:rPr>
              <w:t xml:space="preserve"> ·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DevAuth:ClientId</w:t>
            </w:r>
          </w:p>
        </w:tc>
        <w:tc>
          <w:tcPr>
            <w:tcW w:w="422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Completa el claim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client_id</w:t>
            </w:r>
            <w:r>
              <w:rPr>
                <w:color w:val="1A2422"/>
                <w:sz w:val="18"/>
              </w:rPr>
              <w:t xml:space="preserve"> cuando el token no lo trae. </w:t>
            </w:r>
            <w:r>
              <w:rPr>
                <w:b/>
                <w:color w:val="1A2422"/>
                <w:sz w:val="18"/>
              </w:rPr>
              <w:t xml:space="preserve">Solo aplica en Development y Docker</w:t>
            </w:r>
          </w:p>
        </w:tc>
        <w:tc>
          <w:tcPr>
            <w:tcW w:w="246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AccountsAndMovements</w:t>
            </w:r>
          </w:p>
        </w:tc>
      </w:tr>
      <w:tr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Jwt:TokenSecret</w:t>
            </w:r>
          </w:p>
        </w:tc>
        <w:tc>
          <w:tcPr>
            <w:tcW w:w="422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Firma de los JWT. Nunca en el repositorio</w:t>
            </w:r>
          </w:p>
        </w:tc>
        <w:tc>
          <w:tcPr>
            <w:tcW w:w="246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Auth · por entorno</w:t>
            </w:r>
          </w:p>
        </w:tc>
      </w:tr>
      <w:tr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Serilog:*</w:t>
            </w:r>
          </w:p>
        </w:tc>
        <w:tc>
          <w:tcPr>
            <w:tcW w:w="422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Nivel y destinos de log</w:t>
            </w:r>
          </w:p>
        </w:tc>
        <w:tc>
          <w:tcPr>
            <w:tcW w:w="246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Todos</w:t>
            </w:r>
          </w:p>
        </w:tc>
      </w:tr>
      <w:tr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OpenTelemetry:Enabled</w:t>
            </w:r>
          </w:p>
        </w:tc>
        <w:tc>
          <w:tcPr>
            <w:tcW w:w="422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Trazas y métricas</w:t>
            </w:r>
          </w:p>
        </w:tc>
        <w:tc>
          <w:tcPr>
            <w:tcW w:w="246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Todos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 xml:space="preserve">Los tres entornos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139"/>
        <w:gridCol w:w="2674"/>
        <w:gridCol w:w="4547"/>
      </w:tblGrid>
      <w:tr>
        <w:trPr>
          <w:tblHeader/>
        </w:trPr>
        <w:tc>
          <w:tcPr>
            <w:tcW w:w="2139" w:type="dxa"/>
            <w:shd w:val="clear" w:color="auto" w:fill="DFEEEA"/>
          </w:tcPr>
          <w:p>
            <w:pPr>
              <w:pStyle w:val="CeldaTitulo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ASPNETCORE_ENVIRONMENT</w:t>
            </w:r>
          </w:p>
        </w:tc>
        <w:tc>
          <w:tcPr>
            <w:tcW w:w="2674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Archivo</w:t>
            </w:r>
          </w:p>
        </w:tc>
        <w:tc>
          <w:tcPr>
            <w:tcW w:w="4547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Notas</w:t>
            </w:r>
          </w:p>
        </w:tc>
      </w:tr>
      <w:tr>
        <w:tc>
          <w:tcPr>
            <w:tcW w:w="213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Development</w:t>
            </w:r>
          </w:p>
        </w:tc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appsettings.Development.json</w:t>
            </w:r>
          </w:p>
        </w:tc>
        <w:tc>
          <w:tcPr>
            <w:tcW w:w="454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Rutas de log de Windows. Fakes y DevAuth encendidos</w:t>
            </w:r>
          </w:p>
        </w:tc>
      </w:tr>
      <w:tr>
        <w:tc>
          <w:tcPr>
            <w:tcW w:w="213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Docker</w:t>
            </w:r>
          </w:p>
        </w:tc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appsettings.Docker.json</w:t>
            </w:r>
          </w:p>
        </w:tc>
        <w:tc>
          <w:tcPr>
            <w:tcW w:w="454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Rutas de Linux, sin Grafana Loki</w:t>
            </w:r>
          </w:p>
        </w:tc>
      </w:tr>
      <w:tr>
        <w:tc>
          <w:tcPr>
            <w:tcW w:w="2139" w:type="dxa"/>
          </w:tcPr>
          <w:p>
            <w:pPr>
              <w:pStyle w:val="Celda"/>
            </w:pPr>
            <w:r>
              <w:rPr>
                <w:i/>
                <w:color w:val="1A2422"/>
                <w:sz w:val="18"/>
              </w:rPr>
              <w:t xml:space="preserve">(producción)</w:t>
            </w:r>
          </w:p>
        </w:tc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appsettings.json</w:t>
            </w:r>
          </w:p>
        </w:tc>
        <w:tc>
          <w:tcPr>
            <w:tcW w:w="454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Fakes y DevAuth apagados por omisión</w:t>
            </w:r>
          </w:p>
        </w:tc>
      </w:tr>
    </w:tbl>
    <w:p>
      <w:pPr>
        <w:spacing w:after="0" w:line="120" w:lineRule="exact"/>
      </w:pP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Tests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dotnet test YastaCoin.sln</w:t>
      </w:r>
    </w:p>
    <w:p>
      <w:r>
        <w:rPr>
          <w:b/>
          <w:color w:val="1A2422"/>
          <w:sz w:val="21"/>
        </w:rPr>
        <w:t xml:space="preserve">100 pruebas</w:t>
      </w:r>
      <w:r>
        <w:rPr>
          <w:color w:val="1A2422"/>
          <w:sz w:val="21"/>
        </w:rPr>
        <w:t xml:space="preserve">: 69 de AccountsAndMovements y 31 de Auth. No necesitan base de datos — los repositorios y los servicios externos están sustituidos con NSubstitute.</w:t>
      </w:r>
    </w:p>
    <w:p>
      <w:pPr>
        <w:pStyle w:val="Heading2"/>
      </w:pPr>
      <w:r>
        <w:t xml:space="preserve">Validación contra el motor</w:t>
      </w:r>
    </w:p>
    <w:p>
      <w:r>
        <w:rPr>
          <w:color w:val="1A2422"/>
          <w:sz w:val="21"/>
        </w:rPr>
        <w:t xml:space="preserve">Las pruebas unitarias no cubren lo que vive en SQL: bloqueos, transacciones, restricciones y auditoría. Eso se valida con un script aparte, contra una base temporal que se crea y se borra: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sqlcmd -S "localhost\SQLEXPRESS" -E -Q "IF DB_ID('DB_VALIDA_TMP') IS NOT NULL BEGIN ALTER DATABASE DB_VALIDA_TMP SET SINGLE_USER WITH ROLLBACK IMMEDIATE; DROP DATABASE DB_VALIDA_TMP; END; CREATE DATABASE DB_VALIDA_TMP;"</w:t>
      </w:r>
    </w:p>
    <w:p>
      <w:r>
        <w:rPr>
          <w:color w:val="1A2422"/>
          <w:sz w:val="21"/>
        </w:rPr>
        <w:t xml:space="preserve">Después se instala el esquema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DB_VALIDA_TMP</w:t>
      </w:r>
      <w:r>
        <w:rPr>
          <w:color w:val="1A2422"/>
          <w:sz w:val="21"/>
        </w:rPr>
        <w:t xml:space="preserve"> con el mismo comando del paso 2 cambiando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-d</w:t>
      </w:r>
      <w:r>
        <w:rPr>
          <w:color w:val="1A2422"/>
          <w:sz w:val="21"/>
        </w:rPr>
        <w:t xml:space="preserve">, y se corre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docs/validacion.sql</w:t>
      </w:r>
      <w:r>
        <w:rPr>
          <w:color w:val="1A2422"/>
          <w:sz w:val="21"/>
        </w:rPr>
        <w:t xml:space="preserve">. Verifica 19 puntos: los saldos, la idempotencia por los dos caminos, el rechazo por saldo insuficiente, que una operación rechazada no deje auditoría, el enlace bitácora  auditoría, y que todo saldo sea reconstruible sumando sus asientos.</w:t>
      </w:r>
    </w:p>
    <w:p>
      <w:pPr>
        <w:pStyle w:val="Heading2"/>
      </w:pPr>
      <w:r>
        <w:t xml:space="preserve">Concurrencia</w:t>
      </w:r>
    </w:p>
    <w:p>
      <w:r>
        <w:rPr>
          <w:color w:val="1A2422"/>
          <w:sz w:val="21"/>
        </w:rPr>
        <w:t xml:space="preserve">No se prueba desde Postman: manda las peticiones en serie. Se prueba con dos sesiones simultáneas de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sqlcmd</w:t>
      </w:r>
      <w:r>
        <w:rPr>
          <w:color w:val="1A2422"/>
          <w:sz w:val="21"/>
        </w:rPr>
        <w:t xml:space="preserve"> sincronizadas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WAITFOR TIME</w:t>
      </w:r>
      <w:r>
        <w:rPr>
          <w:color w:val="1A2422"/>
          <w:sz w:val="21"/>
        </w:rPr>
        <w:t xml:space="preserve">, o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ghz</w:t>
      </w:r>
      <w:r>
        <w:rPr>
          <w:color w:val="1A2422"/>
          <w:sz w:val="21"/>
        </w:rPr>
        <w:t xml:space="preserve"> contra el endpoint gRPC. El escenario está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docs/diagramas/04-concurrencia.drawio.txt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Probar con Postman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New  gRPC</w:t>
      </w:r>
      <w:r>
        <w:rPr>
          <w:color w:val="1A2422"/>
          <w:sz w:val="21"/>
        </w:rPr>
        <w:t xml:space="preserve">, Server URL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localhost:52131</w:t>
      </w:r>
      <w:r>
        <w:rPr>
          <w:color w:val="1A2422"/>
          <w:sz w:val="21"/>
        </w:rPr>
        <w:t xml:space="preserve">, TLS </w:t>
      </w:r>
      <w:r>
        <w:rPr>
          <w:b/>
          <w:color w:val="1A2422"/>
          <w:sz w:val="21"/>
        </w:rPr>
        <w:t xml:space="preserve">apagado</w:t>
      </w:r>
      <w:r>
        <w:rPr>
          <w:color w:val="1A2422"/>
          <w:sz w:val="21"/>
        </w:rPr>
        <w:t xml:space="preserve">.</w:t>
      </w:r>
    </w:p>
    <w:p>
      <w:pPr>
        <w:pStyle w:val="Vineta"/>
        <w:numPr>
          <w:ilvl w:val="0"/>
          <w:numId w:val="1"/>
        </w:numPr>
      </w:pPr>
      <w:r>
        <w:rPr>
          <w:color w:val="1A2422"/>
          <w:sz w:val="21"/>
        </w:rPr>
        <w:t xml:space="preserve">Método  </w:t>
      </w:r>
      <w:r>
        <w:rPr>
          <w:b/>
          <w:color w:val="1A2422"/>
          <w:sz w:val="21"/>
        </w:rPr>
        <w:t xml:space="preserve">Import a .proto file</w:t>
      </w:r>
      <w:r>
        <w:rPr>
          <w:color w:val="1A2422"/>
          <w:sz w:val="21"/>
        </w:rPr>
        <w:t xml:space="preserve"> </w:t>
      </w:r>
    </w:p>
    <w:p>
      <w:r>
        <w:rPr>
          <w:rFonts w:ascii="Consolas" w:hAnsi="Consolas"/>
          <w:color w:val="0A423B"/>
          <w:sz w:val="18"/>
          <w:shd w:val="clear" w:color="auto" w:fill="F2F5F4"/>
        </w:rPr>
        <w:t xml:space="preserve">Microservices/AccountsAndMovements/AccountsAndMovements.Api/Protos/accounts_movements.proto</w:t>
      </w:r>
    </w:p>
    <w:p>
      <w:pPr>
        <w:pStyle w:val="Vineta"/>
        <w:numPr>
          <w:ilvl w:val="0"/>
          <w:numId w:val="1"/>
        </w:numPr>
      </w:pPr>
      <w:r>
        <w:rPr>
          <w:color w:val="1A2422"/>
          <w:sz w:val="21"/>
        </w:rPr>
        <w:t xml:space="preserve">En el mismo diálogo agregar como </w:t>
      </w:r>
      <w:r>
        <w:rPr>
          <w:i/>
          <w:color w:val="1A2422"/>
          <w:sz w:val="21"/>
        </w:rPr>
        <w:t xml:space="preserve">import path</w:t>
      </w:r>
      <w:r>
        <w:rPr>
          <w:color w:val="1A2422"/>
          <w:sz w:val="21"/>
        </w:rPr>
        <w:t xml:space="preserve"> la carpeta</w:t>
      </w:r>
    </w:p>
    <w:p>
      <w:r>
        <w:rPr>
          <w:rFonts w:ascii="Consolas" w:hAnsi="Consolas"/>
          <w:color w:val="0A423B"/>
          <w:sz w:val="18"/>
          <w:shd w:val="clear" w:color="auto" w:fill="F2F5F4"/>
        </w:rPr>
        <w:t xml:space="preserve">YastaCoin/Shared/Core.Domain/Grpc/Protobuf/</w:t>
      </w:r>
      <w:r>
        <w:rPr>
          <w:color w:val="1A2422"/>
          <w:sz w:val="21"/>
        </w:rPr>
        <w:t xml:space="preserve">. Sin eso la importación falla: el proto hace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import "base_response.proto"</w:t>
      </w:r>
      <w:r>
        <w:rPr>
          <w:color w:val="1A2422"/>
          <w:sz w:val="21"/>
        </w:rPr>
        <w:t xml:space="preserve">.</w:t>
      </w:r>
    </w:p>
    <w:p>
      <w:pPr>
        <w:pStyle w:val="Vineta"/>
        <w:numPr>
          <w:ilvl w:val="0"/>
          <w:numId w:val="1"/>
        </w:numPr>
      </w:pPr>
      <w:r>
        <w:rPr>
          <w:color w:val="1A2422"/>
          <w:sz w:val="21"/>
        </w:rPr>
        <w:t xml:space="preserve">Pestaña </w:t>
      </w:r>
      <w:r>
        <w:rPr>
          <w:b/>
          <w:color w:val="1A2422"/>
          <w:sz w:val="21"/>
        </w:rPr>
        <w:t xml:space="preserve">Metadata</w:t>
      </w:r>
      <w:r>
        <w:rPr>
          <w:color w:val="1A2422"/>
          <w:sz w:val="21"/>
        </w:rPr>
        <w:t xml:space="preserve">, en todas las llamadas: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authorization</w:t>
      </w:r>
      <w:r>
        <w:rPr>
          <w:color w:val="1A2422"/>
          <w:sz w:val="21"/>
        </w:rPr>
        <w:t xml:space="preserve"> =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Bearer dev</w:t>
      </w:r>
      <w:r>
        <w:rPr>
          <w:color w:val="1A2422"/>
          <w:sz w:val="21"/>
        </w:rPr>
        <w:t xml:space="preserve">.</w:t>
      </w:r>
    </w:p>
    <w:p>
      <w:r>
        <w:rPr>
          <w:color w:val="1A2422"/>
          <w:sz w:val="21"/>
        </w:rPr>
        <w:t xml:space="preserve">No hay </w:t>
      </w:r>
      <w:r>
        <w:rPr>
          <w:i/>
          <w:color w:val="1A2422"/>
          <w:sz w:val="21"/>
        </w:rPr>
        <w:t xml:space="preserve">server reflection</w:t>
      </w:r>
      <w:r>
        <w:rPr>
          <w:color w:val="1A2422"/>
          <w:sz w:val="21"/>
        </w:rPr>
        <w:t xml:space="preserve">: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.proto</w:t>
      </w:r>
      <w:r>
        <w:rPr>
          <w:color w:val="1A2422"/>
          <w:sz w:val="21"/>
        </w:rPr>
        <w:t xml:space="preserve"> es obligatorio.</w:t>
      </w:r>
    </w:p>
    <w:p>
      <w:r>
        <w:rPr>
          <w:color w:val="1A2422"/>
          <w:sz w:val="21"/>
        </w:rPr>
        <w:t xml:space="preserve">Los bodies de ejemplo de cada endpoint están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docs/ENDPOINTS.md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Problemas frecuentes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139"/>
        <w:gridCol w:w="3424"/>
        <w:gridCol w:w="2797"/>
      </w:tblGrid>
      <w:tr>
        <w:trPr>
          <w:tblHeader/>
        </w:trPr>
        <w:tc>
          <w:tcPr>
            <w:tcW w:w="3139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Síntoma</w:t>
            </w:r>
          </w:p>
        </w:tc>
        <w:tc>
          <w:tcPr>
            <w:tcW w:w="3424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Causa</w:t>
            </w:r>
          </w:p>
        </w:tc>
        <w:tc>
          <w:tcPr>
            <w:tcW w:w="2797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Solución</w:t>
            </w:r>
          </w:p>
        </w:tc>
      </w:tr>
      <w:tr>
        <w:tc>
          <w:tcPr>
            <w:tcW w:w="313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app no arranca y el error menciona JSON</w:t>
            </w:r>
          </w:p>
        </w:tc>
        <w:tc>
          <w:tcPr>
            <w:tcW w:w="342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appsettings.*.json</w:t>
            </w:r>
            <w:r>
              <w:rPr>
                <w:color w:val="1A2422"/>
                <w:sz w:val="18"/>
              </w:rPr>
              <w:t xml:space="preserve">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\</w:t>
            </w:r>
            <w:r>
              <w:rPr>
                <w:color w:val="1A2422"/>
                <w:sz w:val="18"/>
              </w:rPr>
              <w:t xml:space="preserve"> sin escapar en una ruta de Windows</w:t>
            </w:r>
          </w:p>
        </w:tc>
        <w:tc>
          <w:tcPr>
            <w:tcW w:w="279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Usar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\\</w:t>
            </w:r>
          </w:p>
        </w:tc>
      </w:tr>
      <w:tr>
        <w:tc>
          <w:tcPr>
            <w:tcW w:w="313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Postman no conecta</w:t>
            </w:r>
          </w:p>
        </w:tc>
        <w:tc>
          <w:tcPr>
            <w:tcW w:w="342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TLS encendido, o el servicio escuchando en HTTPS</w:t>
            </w:r>
          </w:p>
        </w:tc>
        <w:tc>
          <w:tcPr>
            <w:tcW w:w="279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Usar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localhost:52131</w:t>
            </w:r>
            <w:r>
              <w:rPr>
                <w:color w:val="1A2422"/>
                <w:sz w:val="18"/>
              </w:rPr>
              <w:t xml:space="preserve"> sin TLS</w:t>
            </w:r>
          </w:p>
        </w:tc>
      </w:tr>
      <w:tr>
        <w:tc>
          <w:tcPr>
            <w:tcW w:w="313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Falla al importar el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.proto</w:t>
            </w:r>
          </w:p>
        </w:tc>
        <w:tc>
          <w:tcPr>
            <w:tcW w:w="342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Falta el import path de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base_response.proto</w:t>
            </w:r>
          </w:p>
        </w:tc>
        <w:tc>
          <w:tcPr>
            <w:tcW w:w="279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Paso 3 de arriba</w:t>
            </w:r>
          </w:p>
        </w:tc>
      </w:tr>
      <w:tr>
        <w:tc>
          <w:tcPr>
            <w:tcW w:w="313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Msg 1934</w:t>
            </w:r>
            <w:r>
              <w:rPr>
                <w:color w:val="1A2422"/>
                <w:sz w:val="18"/>
              </w:rPr>
              <w:t xml:space="preserve"> al ejecutar un SP</w:t>
            </w:r>
          </w:p>
        </w:tc>
        <w:tc>
          <w:tcPr>
            <w:tcW w:w="342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QUOTED_IDENTIFIER OFF</w:t>
            </w:r>
            <w:r>
              <w:rPr>
                <w:color w:val="1A2422"/>
                <w:sz w:val="18"/>
              </w:rPr>
              <w:t xml:space="preserve"> al crearlo</w:t>
            </w:r>
          </w:p>
        </w:tc>
        <w:tc>
          <w:tcPr>
            <w:tcW w:w="279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Los scripts ya lo fuerzan; volver a ejecutarlos</w:t>
            </w:r>
          </w:p>
        </w:tc>
      </w:tr>
      <w:tr>
        <w:tc>
          <w:tcPr>
            <w:tcW w:w="313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PermissionDenied: El token no identifica a un cliente</w:t>
            </w:r>
          </w:p>
        </w:tc>
        <w:tc>
          <w:tcPr>
            <w:tcW w:w="342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Endpoint que saca el cliente del JWT y el token no trae el claim</w:t>
            </w:r>
          </w:p>
        </w:tc>
        <w:tc>
          <w:tcPr>
            <w:tcW w:w="279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Usar un JWT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client_id</w:t>
            </w:r>
            <w:r>
              <w:rPr>
                <w:color w:val="1A2422"/>
                <w:sz w:val="18"/>
              </w:rPr>
              <w:t xml:space="preserve">, o encender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DevAuth</w:t>
            </w:r>
          </w:p>
        </w:tc>
      </w:tr>
      <w:tr>
        <w:tc>
          <w:tcPr>
            <w:tcW w:w="313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build local falla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MSB3027</w:t>
            </w:r>
          </w:p>
        </w:tc>
        <w:tc>
          <w:tcPr>
            <w:tcW w:w="342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La app está corriendo y bloquea los DLL</w:t>
            </w:r>
          </w:p>
        </w:tc>
        <w:tc>
          <w:tcPr>
            <w:tcW w:w="279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Pararla antes de compilar</w:t>
            </w:r>
          </w:p>
        </w:tc>
      </w:tr>
      <w:tr>
        <w:tc>
          <w:tcPr>
            <w:tcW w:w="313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db-init</w:t>
            </w:r>
            <w:r>
              <w:rPr>
                <w:color w:val="1A2422"/>
                <w:sz w:val="18"/>
              </w:rPr>
              <w:t xml:space="preserve"> termina en error</w:t>
            </w:r>
          </w:p>
        </w:tc>
        <w:tc>
          <w:tcPr>
            <w:tcW w:w="342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Los scripts no encontraron la base</w:t>
            </w:r>
          </w:p>
        </w:tc>
        <w:tc>
          <w:tcPr>
            <w:tcW w:w="2797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docker compose logs db-init</w:t>
            </w:r>
          </w:p>
        </w:tc>
      </w:tr>
    </w:tbl>
    <w:p>
      <w:pPr>
        <w:spacing w:after="0" w:line="120" w:lineRule="exact"/>
      </w:pPr>
    </w:p>
    <w:sectPr>
      <w:headerReference w:type="default" r:id="rIdHdr"/>
      <w:footerReference w:type="default" r:id="rIdFtr"/>
      <w:titlePg/>
      <w:pgSz w:w="12240" w:h="15840"/>
      <w:pgMar w:top="1418" w:right="1440" w:bottom="1418" w:left="1440" w:header="709" w:footer="709" w:gutter="0"/>
      <w:cols w:space="708"/>
    </w:sectPr>
  </w:body>
</w:document>
</file>

<file path=word/footer1.xml><?xml version="1.0" encoding="utf-8"?>
<w:ftr xmlns:w="http://schemas.openxmlformats.org/wordprocessingml/2006/main">
  <w:p>
    <w:pPr>
      <w:pStyle w:val="Pie"/>
      <w:tabs>
        <w:tab w:val="center" w:pos="4680"/>
        <w:tab w:val="right" w:pos="9360"/>
      </w:tabs>
      <w:pBdr>
        <w:top w:val="single" w:sz="4" w:color="C3D2CE"/>
      </w:pBdr>
    </w:pPr>
    <w:r>
      <w:t xml:space="preserve">Edson . Mariel . Rene</w:t>
    </w:r>
    <w:r>
      <w:tab/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  <w:t>03/09/2026</w:t>
    </w:r>
  </w:p>
</w:ftr>
</file>

<file path=word/header1.xml><?xml version="1.0" encoding="utf-8"?>
<w:hdr xmlns:w="http://schemas.openxmlformats.org/wordprocessingml/2006/main">
  <w:p>
    <w:pPr>
      <w:pStyle w:val="Encabezado"/>
      <w:tabs>
        <w:tab w:val="right" w:pos="9360"/>
      </w:tabs>
      <w:pBdr>
        <w:bottom w:val="single" w:sz="4" w:color="C3D2CE"/>
      </w:pBdr>
    </w:pPr>
    <w:r>
      <w:t xml:space="preserve">YastaCoin - QR Bolivia — Manual de Instalacion y Ejecucion</w:t>
    </w:r>
    <w:r>
      <w:tab/>
      <w:t>v1.0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20"/>
      </w:pPr>
      <w:rPr>
        <w:rFonts w:ascii="Symbol" w:hAnsi="Symbol" w:hint="default"/>
        <w:color w:val="0C5C5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A2422"/>
        <w:sz w:val="21"/>
        <w:szCs w:val="21"/>
        <w:lang w:val="es-BO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Portada">
    <w:name w:val="Portada"/>
    <w:basedOn w:val="Normal"/>
    <w:pPr>
      <w:spacing w:before="0" w:after="60" w:line="240" w:lineRule="auto"/>
    </w:pPr>
    <w:rPr>
      <w:rFonts w:ascii="Calibri Light" w:hAnsi="Calibri Light"/>
      <w:b/>
      <w:color w:val="1A2422"/>
      <w:sz w:val="64"/>
    </w:rPr>
  </w:style>
  <w:style w:type="paragraph" w:styleId="PortadaSub">
    <w:name w:val="PortadaSub"/>
    <w:basedOn w:val="Normal"/>
    <w:pPr>
      <w:spacing w:before="0" w:after="0" w:line="264" w:lineRule="auto"/>
      <w:ind w:right="2200"/>
    </w:pPr>
    <w:rPr>
      <w:color w:val="5C6B67"/>
      <w:sz w:val="26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420" w:after="160"/>
      <w:pBdr>
        <w:bottom w:val="single" w:sz="8" w:color="0C5C52"/>
      </w:pBdr>
    </w:pPr>
    <w:rPr>
      <w:rFonts w:ascii="Calibri Light" w:hAnsi="Calibri Light"/>
      <w:b/>
      <w:color w:val="0C5C52"/>
      <w:sz w:val="34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00" w:after="120"/>
    </w:pPr>
    <w:rPr>
      <w:b/>
      <w:color w:val="0A423B"/>
      <w:sz w:val="26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90"/>
    </w:pPr>
    <w:rPr>
      <w:b/>
      <w:color w:val="1A2422"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80"/>
    </w:pPr>
    <w:rPr>
      <w:b/>
      <w:i/>
      <w:color w:val="5C6B67"/>
      <w:sz w:val="21"/>
    </w:rPr>
  </w:style>
  <w:style w:type="paragraph" w:styleId="Codigo">
    <w:name w:val="Codigo"/>
    <w:basedOn w:val="Normal"/>
    <w:pPr>
      <w:spacing w:after="0" w:line="240" w:lineRule="auto"/>
      <w:ind w:left="120"/>
      <w:shd w:val="clear" w:color="auto" w:fill="F2F5F4"/>
    </w:pPr>
    <w:rPr>
      <w:rFonts w:ascii="Consolas" w:hAnsi="Consolas"/>
      <w:color w:val="1A2422"/>
      <w:sz w:val="17"/>
    </w:rPr>
  </w:style>
  <w:style w:type="paragraph" w:styleId="Celda">
    <w:name w:val="Celda"/>
    <w:basedOn w:val="Normal"/>
    <w:pPr>
      <w:spacing w:before="20" w:after="20" w:line="252" w:lineRule="auto"/>
    </w:pPr>
    <w:rPr>
      <w:sz w:val="18"/>
    </w:rPr>
  </w:style>
  <w:style w:type="paragraph" w:styleId="CeldaTitulo">
    <w:name w:val="CeldaTitulo"/>
    <w:basedOn w:val="Celda"/>
    <w:rPr>
      <w:b/>
      <w:color w:val="0A423B"/>
      <w:sz w:val="18"/>
    </w:rPr>
  </w:style>
  <w:style w:type="paragraph" w:styleId="Vineta">
    <w:name w:val="Vineta"/>
    <w:basedOn w:val="Normal"/>
    <w:pPr>
      <w:spacing w:after="60"/>
      <w:ind w:left="360" w:hanging="220"/>
    </w:pPr>
  </w:style>
  <w:style w:type="paragraph" w:styleId="Nota">
    <w:name w:val="Nota"/>
    <w:basedOn w:val="Normal"/>
    <w:rPr>
      <w:sz w:val="19"/>
      <w:color w:val="4A3A14"/>
    </w:rPr>
  </w:style>
  <w:style w:type="paragraph" w:styleId="Encabezado">
    <w:name w:val="header"/>
    <w:basedOn w:val="Normal"/>
    <w:pPr>
      <w:spacing w:after="0"/>
    </w:pPr>
    <w:rPr>
      <w:color w:val="5C6B67"/>
      <w:sz w:val="16"/>
    </w:rPr>
  </w:style>
  <w:style w:type="paragraph" w:styleId="Pie">
    <w:name w:val="footer"/>
    <w:basedOn w:val="Normal"/>
    <w:pPr>
      <w:spacing w:after="0"/>
    </w:pPr>
    <w:rPr>
      <w:color w:val="5C6B67"/>
      <w:sz w:val="16"/>
    </w:rPr>
  </w:style>
  <w:style w:type="paragraph" w:styleId="TOC1">
    <w:name w:val="toc 1"/>
    <w:basedOn w:val="Normal"/>
    <w:pPr>
      <w:spacing w:before="120" w:after="0"/>
      <w:tabs>
        <w:tab w:val="right" w:leader="dot" w:pos="9360"/>
      </w:tabs>
    </w:pPr>
    <w:rPr>
      <w:b/>
      <w:color w:val="0A423B"/>
      <w:sz w:val="20"/>
    </w:rPr>
  </w:style>
  <w:style w:type="paragraph" w:styleId="TOC2">
    <w:name w:val="toc 2"/>
    <w:basedOn w:val="Normal"/>
    <w:pPr>
      <w:spacing w:after="0"/>
      <w:ind w:left="240"/>
      <w:tabs>
        <w:tab w:val="right" w:leader="dot" w:pos="9360"/>
      </w:tabs>
    </w:pPr>
    <w:rPr>
      <w:sz w:val="19"/>
    </w:rPr>
  </w:style>
  <w:style w:type="paragraph" w:styleId="TOC3">
    <w:name w:val="toc 3"/>
    <w:basedOn w:val="Normal"/>
    <w:pPr>
      <w:spacing w:after="0"/>
      <w:ind w:left="480"/>
      <w:tabs>
        <w:tab w:val="right" w:leader="dot" w:pos="9360"/>
      </w:tabs>
    </w:pPr>
    <w:rPr>
      <w:color w:val="5C6B67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Sty" Type="http://schemas.openxmlformats.org/officeDocument/2006/relationships/styles" Target="styles.xml"/>
  <Relationship Id="rIdNum" Type="http://schemas.openxmlformats.org/officeDocument/2006/relationships/numbering" Target="numbering.xml"/>
  <Relationship Id="rIdSet" Type="http://schemas.openxmlformats.org/officeDocument/2006/relationships/settings" Target="settings.xml"/>
  <Relationship Id="rIdHdr" Type="http://schemas.openxmlformats.org/officeDocument/2006/relationships/header" Target="header1.xml"/>
  <Relationship Id="rIdFt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YastaCoin DocGen</Application>
  <Company>Edson . Mariel . Rene</Company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Instalacion y Ejecucion</dc:title>
  <dc:subject>Puesta en marcha con Docker o en local, configuracion por entorno, ejecucion de pruebas y resolucion de problemas frecuentes.</dc:subject>
  <dc:creator>Edson</dc:creator>
  <cp:lastModifiedBy>Edson</cp:lastModifiedBy>
  <cp:revision>1.0</cp:revision>
  <cp:category>YastaCoin - QR Bolivia</cp:category>
  <cp:contentStatus>Aprobado para entrega</cp:contentStatus>
  <dcterms:created xsi:type="dcterms:W3CDTF">2026-09-03T00:00:00Z</dcterms:created>
  <dcterms:modified xsi:type="dcterms:W3CDTF">2026-09-03T00:00:00Z</dcterms:modified>
</cp:coreProperties>
</file>