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p>
      <w:pPr>
        <w:spacing w:after="60"/>
      </w:pPr>
      <w:r>
        <w:rPr>
          <w:rFonts w:ascii="Consolas" w:hAnsi="Consolas"/>
          <w:color w:val="0C5C52"/>
          <w:sz w:val="20"/>
          <w:spacing w:val="60"/>
        </w:rPr>
        <w:t>YASTACOIN - QR BOLIVIA</w:t>
      </w:r>
    </w:p>
    <w:p>
      <w:pPr>
        <w:pStyle w:val="Portada"/>
      </w:pPr>
      <w:r>
        <w:t>Documento Tecnico</w:t>
      </w:r>
    </w:p>
    <w:p>
      <w:pPr>
        <w:pStyle w:val="PortadaSub"/>
      </w:pPr>
      <w:r>
        <w:t>Arquitectura, modelo de datos y las decisiones de diseno que sostienen la consistencia del saldo, la idempotencia y el control de concurrencia.</w:t>
      </w:r>
    </w:p>
    <w:p>
      <w:pPr>
        <w:pBdr>
          <w:bottom w:val="single" w:sz="18" w:color="0C5C52"/>
        </w:pBdr>
        <w:spacing w:before="240" w:after="360"/>
        <w:ind w:right="5400"/>
      </w:pPr>
    </w:p>
    <w:tbl>
      <w:tblPr>
        <w:tblW w:w="6000" w:type="dxa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40" w:type="dxa"/>
          <w:bottom w:w="40" w:type="dxa"/>
          <w:left w:w="0" w:type="dxa"/>
          <w:right w:w="80" w:type="dxa"/>
        </w:tblCellMar>
      </w:tblPr>
      <w:tblGrid>
        <w:gridCol w:w="1900"/>
        <w:gridCol w:w="4100"/>
      </w:tblGrid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Documento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Documento Tecnico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Version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1.0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Fecha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03/09/2026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Estado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Aprobado para entrega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Reto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RETO 1 - QR Bolivia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Equipo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Edson . Mariel . Rene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Autor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Edson</w:t>
            </w:r>
          </w:p>
        </w:tc>
      </w:tr>
      <w:tr>
        <w:tc>
          <w:tcPr>
            <w:tcW w:w="1900" w:type="dxa"/>
          </w:tcPr>
          <w:p>
            <w:pPr>
              <w:spacing w:after="0" w:line="260" w:lineRule="auto"/>
            </w:pPr>
            <w:r>
              <w:rPr>
                <w:rFonts w:ascii="Consolas" w:hAnsi="Consolas"/>
                <w:color w:val="5C6B67"/>
                <w:sz w:val="17"/>
              </w:rPr>
              <w:t>Clasificacion</w:t>
            </w:r>
          </w:p>
        </w:tc>
        <w:tc>
          <w:tcPr>
            <w:tcW w:w="4100" w:type="dxa"/>
          </w:tcPr>
          <w:p>
            <w:pPr>
              <w:spacing w:after="0" w:line="260" w:lineRule="auto"/>
            </w:pPr>
            <w:r>
              <w:rPr>
                <w:b/>
                <w:color w:val="1A2422"/>
                <w:sz w:val="19"/>
              </w:rPr>
              <w:t>Uso interno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628"/>
        <w:gridCol w:w="1628"/>
        <w:gridCol w:w="1628"/>
        <w:gridCol w:w="4476"/>
      </w:tblGrid>
      <w:tr>
        <w:trPr>
          <w:tblHeader/>
        </w:trPr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Version</w:t>
            </w:r>
          </w:p>
        </w:tc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Fecha</w:t>
            </w:r>
          </w:p>
        </w:tc>
        <w:tc>
          <w:tcPr>
            <w:tcW w:w="1628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Autor</w:t>
            </w:r>
          </w:p>
        </w:tc>
        <w:tc>
          <w:tcPr>
            <w:tcW w:w="447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Descripcion del cambio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1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.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  <w:tc>
          <w:tcPr>
            <w:tcW w:w="4476" w:type="dxa"/>
          </w:tcPr>
          <w:p>
            <w:pPr>
              <w:pStyle w:val="Celda"/>
            </w:pP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3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/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0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d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o</w:t>
            </w:r>
          </w:p>
        </w:tc>
      </w:tr>
      <w:tr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V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</w:t>
            </w:r>
          </w:p>
        </w:tc>
        <w:tc>
          <w:tcPr>
            <w:tcW w:w="1628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</w:t>
            </w:r>
          </w:p>
        </w:tc>
        <w:tc>
          <w:tcPr>
            <w:tcW w:w="447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</w:t>
            </w:r>
          </w:p>
        </w:tc>
      </w:tr>
    </w:tbl>
    <w:p>
      <w:pPr>
        <w:spacing w:after="0" w:line="120" w:lineRule="exact"/>
      </w:pPr>
    </w:p>
    <w:p>
      <w:pPr>
        <w:pStyle w:val="Heading1"/>
      </w:pPr>
      <w:r>
        <w:t xml:space="preserve">Indice</w:t>
      </w:r>
    </w:p>
    <w:p>
      <w:pPr>
        <w:spacing w:after="120"/>
      </w:pPr>
      <w:r>
        <w:rPr>
          <w:i/>
          <w:color w:val="5C6B67"/>
          <w:sz w:val="17"/>
        </w:rPr>
        <w:t>Si el indice aparece vacio, seleccionarlo y pulsar F9 para actualizar los campos.</w:t>
      </w:r>
    </w:p>
    <w:p>
      <w:pPr>
        <w:spacing w:after="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C6B67"/>
          <w:sz w:val="19"/>
        </w:rPr>
        <w:t>Actualizar con F9.</w:t>
      </w:r>
      <w:r>
        <w:fldChar w:fldCharType="end"/>
      </w:r>
    </w:p>
    <w:p>
      <w:r>
        <w:br w:type="page"/>
      </w:r>
    </w:p>
    <w:p>
      <w:r>
        <w:rPr>
          <w:color w:val="1A2422"/>
          <w:sz w:val="21"/>
        </w:rPr>
        <w:t xml:space="preserve">Microservicio dueño de </w:t>
      </w:r>
      <w:r>
        <w:rPr>
          <w:b/>
          <w:color w:val="1A2422"/>
          <w:sz w:val="21"/>
        </w:rPr>
        <w:t xml:space="preserve">cuentas</w:t>
      </w:r>
      <w:r>
        <w:rPr>
          <w:color w:val="1A2422"/>
          <w:sz w:val="21"/>
        </w:rPr>
        <w:t xml:space="preserve"> (saldos) y </w:t>
      </w:r>
      <w:r>
        <w:rPr>
          <w:b/>
          <w:color w:val="1A2422"/>
          <w:sz w:val="21"/>
        </w:rPr>
        <w:t xml:space="preserve">movimientos</w:t>
      </w:r>
      <w:r>
        <w:rPr>
          <w:color w:val="1A2422"/>
          <w:sz w:val="21"/>
        </w:rPr>
        <w:t xml:space="preserve"> (libro mayor) del reto </w:t>
      </w:r>
      <w:r>
        <w:rPr>
          <w:i/>
          <w:color w:val="1A2422"/>
          <w:sz w:val="21"/>
        </w:rPr>
        <w:t xml:space="preserve">QR Bolivia</w:t>
      </w:r>
      <w:r>
        <w:rPr>
          <w:color w:val="1A2422"/>
          <w:sz w:val="21"/>
        </w:rPr>
        <w:t xml:space="preserve">. Es el único punto por el que la plata cambia de manos: valida la operación contra los demás microservicios, convierte la moneda y ejecuta el pago de forma atómica.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667"/>
        <w:gridCol w:w="7693"/>
      </w:tblGrid>
      <w:tr>
        <w:trPr>
          <w:tblHeader/>
        </w:trPr>
        <w:tc>
          <w:tcPr>
            <w:tcW w:w="1667" w:type="dxa"/>
            <w:shd w:val="clear" w:color="auto" w:fill="DFEEEA"/>
          </w:tcPr>
          <w:p>
            <w:pPr>
              <w:pStyle w:val="CeldaTitulo"/>
            </w:pPr>
          </w:p>
        </w:tc>
        <w:tc>
          <w:tcPr>
            <w:tcW w:w="7693" w:type="dxa"/>
            <w:shd w:val="clear" w:color="auto" w:fill="DFEEEA"/>
          </w:tcPr>
          <w:p>
            <w:pPr>
              <w:pStyle w:val="CeldaTitulo"/>
            </w:pPr>
          </w:p>
        </w:tc>
      </w:tr>
      <w:tr>
        <w:tc>
          <w:tcPr>
            <w:tcW w:w="166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Responsable</w:t>
            </w:r>
          </w:p>
        </w:tc>
        <w:tc>
          <w:tcPr>
            <w:tcW w:w="769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Edson</w:t>
            </w:r>
          </w:p>
        </w:tc>
      </w:tr>
      <w:tr>
        <w:tc>
          <w:tcPr>
            <w:tcW w:w="166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Reto</w:t>
            </w:r>
          </w:p>
        </w:tc>
        <w:tc>
          <w:tcPr>
            <w:tcW w:w="769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RETO 1 — QR Bolivia (Edson + Mariel + Rene)</w:t>
            </w:r>
          </w:p>
        </w:tc>
      </w:tr>
      <w:tr>
        <w:tc>
          <w:tcPr>
            <w:tcW w:w="166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Puertos</w:t>
            </w:r>
          </w:p>
        </w:tc>
        <w:tc>
          <w:tcPr>
            <w:tcW w:w="769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https://localhost:52130</w:t>
            </w:r>
            <w:r>
              <w:rPr>
                <w:color w:val="1A2422"/>
                <w:sz w:val="18"/>
              </w:rPr>
              <w:t xml:space="preserve"> ·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http://localhost:52131</w:t>
            </w:r>
          </w:p>
        </w:tc>
      </w:tr>
      <w:tr>
        <w:tc>
          <w:tcPr>
            <w:tcW w:w="166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Base de datos</w:t>
            </w:r>
          </w:p>
        </w:tc>
        <w:tc>
          <w:tcPr>
            <w:tcW w:w="769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DB_QRBolivia</w:t>
            </w:r>
            <w:r>
              <w:rPr>
                <w:color w:val="1A2422"/>
                <w:sz w:val="18"/>
              </w:rPr>
              <w:t xml:space="preserve">, esquema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</w:t>
            </w:r>
          </w:p>
        </w:tc>
      </w:tr>
      <w:tr>
        <w:tc>
          <w:tcPr>
            <w:tcW w:w="1667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Stack</w:t>
            </w:r>
          </w:p>
        </w:tc>
        <w:tc>
          <w:tcPr>
            <w:tcW w:w="769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C# · ASP.NET Core · gRPC · Protocol Buffers · SQL (Dapper + ADO.NET, </w:t>
            </w:r>
            <w:r>
              <w:rPr>
                <w:b/>
                <w:color w:val="1A2422"/>
                <w:sz w:val="18"/>
              </w:rPr>
              <w:t xml:space="preserve">sin EF Core</w:t>
            </w:r>
            <w:r>
              <w:rPr>
                <w:color w:val="1A2422"/>
                <w:sz w:val="18"/>
              </w:rPr>
              <w:t xml:space="preserve">)</w:t>
            </w:r>
          </w:p>
        </w:tc>
      </w:tr>
    </w:tbl>
    <w:p>
      <w:pPr>
        <w:spacing w:after="0" w:line="120" w:lineRule="exact"/>
      </w:pP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1. Alcance</w:t>
      </w:r>
    </w:p>
    <w:p>
      <w:r>
        <w:rPr>
          <w:color w:val="1A2422"/>
          <w:sz w:val="21"/>
        </w:rPr>
        <w:t xml:space="preserve">Este servicio hace, y solo hace: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Abrir y consultar cuentas de </w:t>
      </w:r>
      <w:r>
        <w:rPr>
          <w:b/>
          <w:color w:val="1A2422"/>
          <w:sz w:val="21"/>
        </w:rPr>
        <w:t xml:space="preserve">clientes extranjeros</w:t>
      </w:r>
      <w:r>
        <w:rPr>
          <w:color w:val="1A2422"/>
          <w:sz w:val="21"/>
        </w:rPr>
        <w:t xml:space="preserve"> (en su moneda) y de </w:t>
      </w:r>
      <w:r>
        <w:rPr>
          <w:b/>
          <w:color w:val="1A2422"/>
          <w:sz w:val="21"/>
        </w:rPr>
        <w:t xml:space="preserve">comercios bolivianos</w:t>
      </w:r>
      <w:r>
        <w:rPr>
          <w:color w:val="1A2422"/>
          <w:sz w:val="21"/>
        </w:rPr>
        <w:t xml:space="preserve"> (en BOB).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Acreditar y debitar saldo (recargas, ajustes) de forma idempotente.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Ejecutar el pago QR</w:t>
      </w:r>
      <w:r>
        <w:rPr>
          <w:color w:val="1A2422"/>
          <w:sz w:val="21"/>
        </w:rPr>
        <w:t xml:space="preserve">: validar, convertir, debitar al cliente y acreditar al comercio en una sola transacción.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Consultar una operación y el historial de movimientos con filtros.</w:t>
      </w:r>
    </w:p>
    <w:p>
      <w:r>
        <w:rPr>
          <w:color w:val="1A2422"/>
          <w:sz w:val="21"/>
        </w:rPr>
        <w:t xml:space="preserve">Lo que </w:t>
      </w:r>
      <w:r>
        <w:rPr>
          <w:b/>
          <w:color w:val="1A2422"/>
          <w:sz w:val="21"/>
        </w:rPr>
        <w:t xml:space="preserve">no</w:t>
      </w:r>
      <w:r>
        <w:rPr>
          <w:color w:val="1A2422"/>
          <w:sz w:val="21"/>
        </w:rPr>
        <w:t xml:space="preserve"> hace, porque es de otros microservicios del equipo: catálogo de clientes, países, monedas y tipos de cambio, comercios, y generación/estado de los códigos QR.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                    ┌──────────────────────────────┐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Clientes ────────┤                              │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Comercio ────────┤   AccountsAndMovements       ├──── pay.CUENTA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QR       ────────┤   (núcleo de pagos)          ├──── pay.MOVIMIENTO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Monedas  ────────┤                              │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              └──────────────────────────────┘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                        valida por gRPC        es dueño del saldo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2. Estructura</w:t>
      </w:r>
    </w:p>
    <w:p>
      <w:r>
        <w:rPr>
          <w:color w:val="1A2422"/>
          <w:sz w:val="21"/>
        </w:rPr>
        <w:t xml:space="preserve">Respeta la arquitectura del proyecto base (Clean Architecture + CQRS con MediatR, validación con FluentValidation, respuestas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BaseResponse&lt;T&gt;</w:t>
      </w:r>
      <w:r>
        <w:rPr>
          <w:color w:val="1A2422"/>
          <w:sz w:val="21"/>
        </w:rPr>
        <w:t xml:space="preserve">):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AccountsAndMovements/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├── AccountsAndMovements.Domain/          Entidades, códigos de error, contratos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Entities/                         AccountEntity, MovementEntity, PaymentEntity, estados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Errors/                           ErrorCode / ErrorMessage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ExternalServices/                 IClientService, IMerchantService, IQrService, ICurrencyService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Repositories/                     IAccountRepository, IMovementRepository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└── Services/                         CurrencyConverter (regla de conversión)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├── AccountsAndMovements.Infrastructure/  SQL y clientes gRPC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Persistence/Commands/             Llamadas a stored procedures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Persistence/Queries/              SQL directo con Dapper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ExternalServices/                 Clientes gRPC de los otros microservicios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└── Protos/                           Contratos consumidos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├── AccountsAndMovements.Application/     Casos de uso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└── Features/{Accounts,Payments,Movements}/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├── AccountsAndMovements.Api/             Borde gRPC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├── Protos/accounts_movements.proto   Contrato publicado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│   └── Services/                         Traduce mensaje → MediatR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└── Tests/AccountsAndMovements.Unit.Tests/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3. Base de datos</w:t>
      </w:r>
    </w:p>
    <w:p>
      <w:r>
        <w:rPr>
          <w:color w:val="1A2422"/>
          <w:sz w:val="21"/>
        </w:rPr>
        <w:t xml:space="preserve">Sin Entity Framework: stored procedures para todo lo que escribe, Dapper para lo que lee. Scripts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Database/AccountsAndMovements/</w:t>
      </w:r>
      <w:r>
        <w:rPr>
          <w:color w:val="1A2422"/>
          <w:sz w:val="21"/>
        </w:rPr>
        <w:t xml:space="preserve">.</w:t>
      </w:r>
    </w:p>
    <w:p>
      <w:pPr>
        <w:pStyle w:val="Heading2"/>
      </w:pPr>
      <w:r>
        <w:t xml:space="preserve">Tablas</w:t>
      </w:r>
    </w:p>
    <w:p>
      <w:r>
        <w:rPr>
          <w:b/>
          <w:color w:val="1A2422"/>
          <w:sz w:val="21"/>
        </w:rPr>
        <w:t xml:space="preserve">`pay.CUENTA`</w:t>
      </w:r>
      <w:r>
        <w:rPr>
          <w:color w:val="1A2422"/>
          <w:sz w:val="21"/>
        </w:rPr>
        <w:t xml:space="preserve"> — saldo por titular y moneda. El titular es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CLIENTE</w:t>
      </w:r>
      <w:r>
        <w:rPr>
          <w:color w:val="1A2422"/>
          <w:sz w:val="21"/>
        </w:rPr>
        <w:t xml:space="preserve"> 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COMERCIO</w:t>
      </w:r>
      <w:r>
        <w:rPr>
          <w:color w:val="1A2422"/>
          <w:sz w:val="21"/>
        </w:rPr>
        <w:t xml:space="preserve">; una sola tabla para los dos lados del pago.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109"/>
        <w:gridCol w:w="5251"/>
      </w:tblGrid>
      <w:tr>
        <w:trPr>
          <w:tblHeader/>
        </w:trPr>
        <w:tc>
          <w:tcPr>
            <w:tcW w:w="410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Restricción</w:t>
            </w:r>
          </w:p>
        </w:tc>
        <w:tc>
          <w:tcPr>
            <w:tcW w:w="525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Para qué</w:t>
            </w:r>
          </w:p>
        </w:tc>
      </w:tr>
      <w:tr>
        <w:tc>
          <w:tcPr>
            <w:tcW w:w="410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CK_PAY_CUENTA_SALDO</w:t>
            </w:r>
            <w:r>
              <w:rPr>
                <w:color w:val="1A2422"/>
                <w:sz w:val="18"/>
              </w:rPr>
              <w:t xml:space="preserve"> (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saldo &gt;= 0</w:t>
            </w:r>
            <w:r>
              <w:rPr>
                <w:color w:val="1A2422"/>
                <w:sz w:val="18"/>
              </w:rPr>
              <w:t xml:space="preserve">)</w:t>
            </w:r>
          </w:p>
        </w:tc>
        <w:tc>
          <w:tcPr>
            <w:tcW w:w="525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Garantía final de que no existe saldo negativo</w:t>
            </w:r>
          </w:p>
        </w:tc>
      </w:tr>
      <w:tr>
        <w:tc>
          <w:tcPr>
            <w:tcW w:w="410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UQ_PAY_CUENTA_TITULAR</w:t>
            </w:r>
          </w:p>
        </w:tc>
        <w:tc>
          <w:tcPr>
            <w:tcW w:w="525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Un titular, una cuenta por moneda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`pay.MOVIMIENTO`</w:t>
      </w:r>
      <w:r>
        <w:rPr>
          <w:color w:val="1A2422"/>
          <w:sz w:val="21"/>
        </w:rPr>
        <w:t xml:space="preserve"> — libro mayor. Cada fila es un asiento inmutable con saldo anterior y posterior. Un pago escribe </w:t>
      </w:r>
      <w:r>
        <w:rPr>
          <w:b/>
          <w:color w:val="1A2422"/>
          <w:sz w:val="21"/>
        </w:rPr>
        <w:t xml:space="preserve">dos</w:t>
      </w:r>
      <w:r>
        <w:rPr>
          <w:color w:val="1A2422"/>
          <w:sz w:val="21"/>
        </w:rPr>
        <w:t xml:space="preserve"> filas con el mismo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MOVI_TRANSACCION_VC</w:t>
      </w:r>
      <w:r>
        <w:rPr>
          <w:color w:val="1A2422"/>
          <w:sz w:val="21"/>
        </w:rPr>
        <w:t xml:space="preserve">: el DEBITO del cliente y el CREDITO del comercio.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346"/>
        <w:gridCol w:w="5014"/>
      </w:tblGrid>
      <w:tr>
        <w:trPr>
          <w:tblHeader/>
        </w:trPr>
        <w:tc>
          <w:tcPr>
            <w:tcW w:w="434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Restricción</w:t>
            </w:r>
          </w:p>
        </w:tc>
        <w:tc>
          <w:tcPr>
            <w:tcW w:w="501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Para qué</w:t>
            </w:r>
          </w:p>
        </w:tc>
      </w:tr>
      <w:tr>
        <w:tc>
          <w:tcPr>
            <w:tcW w:w="434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UQ_PAY_MOVIMIENTO_IDEMPOTENCIA</w:t>
            </w:r>
            <w:r>
              <w:rPr>
                <w:color w:val="1A2422"/>
                <w:sz w:val="18"/>
              </w:rPr>
              <w:t xml:space="preserve"> (clave, </w:t>
            </w:r>
            <w:r>
              <w:rPr>
                <w:b/>
                <w:color w:val="1A2422"/>
                <w:sz w:val="18"/>
              </w:rPr>
              <w:t xml:space="preserve">global</w:t>
            </w:r>
            <w:r>
              <w:rPr>
                <w:color w:val="1A2422"/>
                <w:sz w:val="18"/>
              </w:rPr>
              <w:t xml:space="preserve">)</w:t>
            </w:r>
          </w:p>
        </w:tc>
        <w:tc>
          <w:tcPr>
            <w:tcW w:w="501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Imposible cobrar dos veces la misma operación</w:t>
            </w:r>
          </w:p>
        </w:tc>
      </w:tr>
      <w:tr>
        <w:tc>
          <w:tcPr>
            <w:tcW w:w="434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UQ_PAY_MOVIMIENTO_QR</w:t>
            </w:r>
            <w:r>
              <w:rPr>
                <w:color w:val="1A2422"/>
                <w:sz w:val="18"/>
              </w:rPr>
              <w:t xml:space="preserve"> (filtrado, solo DEBITO)</w:t>
            </w:r>
          </w:p>
        </w:tc>
        <w:tc>
          <w:tcPr>
            <w:tcW w:w="5014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Un QR se paga una sola vez, aunque dos clientes lo escaneen a la vez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Los campos de conversión (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MONTO_ORIGEN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MONEDA_ORIGEN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TIPO_CAMBIO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MONTO_DESTINO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MONEDA_DESTINO</w:t>
      </w:r>
      <w:r>
        <w:rPr>
          <w:color w:val="1A2422"/>
          <w:sz w:val="21"/>
        </w:rPr>
        <w:t xml:space="preserve">) se graban en el asiento y nunca se recalculan: </w:t>
      </w:r>
      <w:r>
        <w:rPr>
          <w:b/>
          <w:color w:val="1A2422"/>
          <w:sz w:val="21"/>
        </w:rPr>
        <w:t xml:space="preserve">la operación histórica no cambia si mañana cambia el tipo de cambio</w:t>
      </w:r>
      <w:r>
        <w:rPr>
          <w:color w:val="1A2422"/>
          <w:sz w:val="21"/>
        </w:rPr>
        <w:t xml:space="preserve">.</w:t>
      </w:r>
    </w:p>
    <w:p>
      <w:pPr>
        <w:pStyle w:val="Heading2"/>
      </w:pPr>
      <w:r>
        <w:t xml:space="preserve">Stored procedures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74"/>
        <w:gridCol w:w="6686"/>
      </w:tblGrid>
      <w:tr>
        <w:trPr>
          <w:tblHeader/>
        </w:trPr>
        <w:tc>
          <w:tcPr>
            <w:tcW w:w="267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SP</w:t>
            </w:r>
          </w:p>
        </w:tc>
        <w:tc>
          <w:tcPr>
            <w:tcW w:w="668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Qué resuelve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pay.INSERT_CUENTA</w:t>
            </w:r>
          </w:p>
        </w:tc>
        <w:tc>
          <w:tcPr>
            <w:tcW w:w="66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Crea la cuenta y, si trae saldo inicial, su asiento de apertura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pay.APLICAR_MOVIMIENTO</w:t>
            </w:r>
          </w:p>
        </w:tc>
        <w:tc>
          <w:tcPr>
            <w:tcW w:w="66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Crédito o débito sobre una cuenta, con bloqueo de fila e idempotencia</w:t>
            </w:r>
          </w:p>
        </w:tc>
      </w:tr>
      <w:tr>
        <w:tc>
          <w:tcPr>
            <w:tcW w:w="2674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pay.EJECUTAR_PAGO_QR</w:t>
            </w:r>
          </w:p>
        </w:tc>
        <w:tc>
          <w:tcPr>
            <w:tcW w:w="668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Pago completo: débito + crédito + dos asientos, todo o nada</w:t>
            </w: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`aud.BITACORA` y `aud.AUDITORIA`</w:t>
      </w:r>
      <w:r>
        <w:rPr>
          <w:color w:val="1A2422"/>
          <w:sz w:val="21"/>
        </w:rPr>
        <w:t xml:space="preserve"> — el rastro de quién llamó a qué y de cómo quedó cada dato. Scripts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Database/Core/</w:t>
      </w:r>
      <w:r>
        <w:rPr>
          <w:color w:val="1A2422"/>
          <w:sz w:val="21"/>
        </w:rPr>
        <w:t xml:space="preserve">, compartidos con los demás microservicios pero instalados en la base de cada uno.</w:t>
      </w:r>
    </w:p>
    <w:p>
      <w:pPr>
        <w:pStyle w:val="Heading2"/>
      </w:pPr>
      <w:r>
        <w:t xml:space="preserve">Instalación</w:t>
      </w:r>
    </w:p>
    <w:p>
      <w:r>
        <w:rPr>
          <w:color w:val="1A2422"/>
          <w:sz w:val="21"/>
        </w:rPr>
        <w:t xml:space="preserve">Las instrucciones completas —Docker incluido— están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docs/EJECUCION.md</w:t>
      </w:r>
      <w:r>
        <w:rPr>
          <w:color w:val="1A2422"/>
          <w:sz w:val="21"/>
        </w:rPr>
        <w:t xml:space="preserve">. En corto: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sqlcmd -S "localhost\SQLEXPRESS" -E -Q "IF DB_ID('DB_QRBolivia') IS NULL CREATE DATABASE DB_QRBolivia"</w:t>
      </w:r>
    </w:p>
    <w:p>
      <w:r>
        <w:rPr>
          <w:color w:val="1A2422"/>
          <w:sz w:val="21"/>
        </w:rPr>
        <w:t xml:space="preserve">Luego, </w:t>
      </w:r>
      <w:r>
        <w:rPr>
          <w:b/>
          <w:color w:val="1A2422"/>
          <w:sz w:val="21"/>
        </w:rPr>
        <w:t xml:space="preserve">en ese orden</w:t>
      </w:r>
      <w:r>
        <w:rPr>
          <w:color w:val="1A2422"/>
          <w:sz w:val="21"/>
        </w:rPr>
        <w:t xml:space="preserve"> —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aud</w:t>
      </w:r>
      <w:r>
        <w:rPr>
          <w:color w:val="1A2422"/>
          <w:sz w:val="21"/>
        </w:rPr>
        <w:t xml:space="preserve"> antes que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</w:t>
      </w:r>
      <w:r>
        <w:rPr>
          <w:color w:val="1A2422"/>
          <w:sz w:val="21"/>
        </w:rPr>
        <w:t xml:space="preserve">, porque los procedimientos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</w:t>
      </w:r>
      <w:r>
        <w:rPr>
          <w:color w:val="1A2422"/>
          <w:sz w:val="21"/>
        </w:rPr>
        <w:t xml:space="preserve"> llaman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aud.REGISTRAR_AUDITORIA</w:t>
      </w:r>
      <w:r>
        <w:rPr>
          <w:color w:val="1A2422"/>
          <w:sz w:val="21"/>
        </w:rPr>
        <w:t xml:space="preserve">: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sqlcmd -S "localhost\SQLEXPRESS" -E -d DB_QRBolivia -b -i "Database\Core\Tables\aud.BITACORA.sql,Database\Core\Tables\aud.AUDITORIA.sql,Database\Core\StoredProcedures\aud.INSERT_BITACORA.sql,Database\Core\StoredProcedures\aud.REGISTRAR_AUDITORIA.sql,Database\AccountsAndMovements\Tables\pay.CUENTA.sql,Database\AccountsAndMovements\Tables\pay.MOVIMIENTO.sql,Database\AccountsAndMovements\StoredProcedures\pay.INSERT_CUENTA.sql,Database\AccountsAndMovements\StoredProcedures\pay.APLICAR_MOVIMIENTO.sql,Database\AccountsAndMovements\StoredProcedures\pay.EJECUTAR_PAGO_QR.sql"</w:t>
      </w:r>
    </w:p>
    <w:p>
      <w:r>
        <w:rPr>
          <w:color w:val="1A2422"/>
          <w:sz w:val="21"/>
        </w:rPr>
        <w:t xml:space="preserve">Los scripts son idempotentes: se pueden volver a ejecutar sin efecto adicional.</w:t>
      </w:r>
    </w:p>
    <w:p>
      <w:pPr>
        <w:pStyle w:val="Nota"/>
        <w:pBdr>
          <w:left w:val="single" w:sz="18" w:color="B8860B"/>
        </w:pBdr>
        <w:shd w:val="clear" w:color="auto" w:fill="FBF4E4"/>
        <w:ind w:left="200"/>
        <w:spacing w:before="120" w:after="120"/>
      </w:pPr>
      <w:r>
        <w:rPr>
          <w:b/>
          <w:color w:val="1A2422"/>
          <w:sz w:val="21"/>
        </w:rPr>
        <w:t xml:space="preserve">`QUOTED_IDENTIFIER` y el índice filtrado.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UQ_PAY_MOVIMIENTO_QR</w:t>
      </w:r>
      <w:r>
        <w:rPr>
          <w:color w:val="1A2422"/>
          <w:sz w:val="21"/>
        </w:rPr>
        <w:t xml:space="preserve"> es un índice filtrado, y SQL Server exige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QUOTED_IDENTIFIER ON</w:t>
      </w:r>
      <w:r>
        <w:rPr>
          <w:color w:val="1A2422"/>
          <w:sz w:val="21"/>
        </w:rPr>
        <w:t xml:space="preserve"> para cualquier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INSERT</w:t>
      </w:r>
      <w:r>
        <w:rPr>
          <w:color w:val="1A2422"/>
          <w:sz w:val="21"/>
        </w:rPr>
        <w:t xml:space="preserve">/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UPDATE</w:t>
      </w:r>
      <w:r>
        <w:rPr>
          <w:color w:val="1A2422"/>
          <w:sz w:val="21"/>
        </w:rPr>
        <w:t xml:space="preserve">/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DELETE</w:t>
      </w:r>
      <w:r>
        <w:rPr>
          <w:color w:val="1A2422"/>
          <w:sz w:val="21"/>
        </w:rPr>
        <w:t xml:space="preserve"> sobre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pay.MOVIMIENTO</w:t>
      </w:r>
      <w:r>
        <w:rPr>
          <w:color w:val="1A2422"/>
          <w:sz w:val="21"/>
        </w:rPr>
        <w:t xml:space="preserve">. Los tres SP ya lo fijan antes del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CREATE PROCEDURE</w:t>
      </w:r>
      <w:r>
        <w:rPr>
          <w:color w:val="1A2422"/>
          <w:sz w:val="21"/>
        </w:rPr>
        <w:t xml:space="preserve">, así que el servicio funciona sin hacer nada más (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Microsoft.Data.SqlClient</w:t>
      </w:r>
      <w:r>
        <w:rPr>
          <w:color w:val="1A2422"/>
          <w:sz w:val="21"/>
        </w:rPr>
        <w:t xml:space="preserve"> también lo activa al conectarse). Pero si se ejecutan consultas sueltas </w:t>
      </w:r>
      <w:r>
        <w:rPr>
          <w:b/>
          <w:color w:val="1A2422"/>
          <w:sz w:val="21"/>
        </w:rPr>
        <w:t xml:space="preserve">desde `sqlcmd`</w:t>
      </w:r>
      <w:r>
        <w:rPr>
          <w:color w:val="1A2422"/>
          <w:sz w:val="21"/>
        </w:rPr>
        <w:t xml:space="preserve">, que lo trae en OFF, hay que abrir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SET QUOTED_IDENTIFIER ON;</w:t>
      </w:r>
      <w:r>
        <w:rPr>
          <w:color w:val="1A2422"/>
          <w:sz w:val="21"/>
        </w:rPr>
        <w:t xml:space="preserve"> o se recibe el error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Msg 1934</w:t>
      </w:r>
      <w:r>
        <w:rPr>
          <w:color w:val="1A2422"/>
          <w:sz w:val="21"/>
        </w:rPr>
        <w:t xml:space="preserve">. SSMS no tiene ese problema.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4. Contrato gRPC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AccountsAndMovements.Api/Protos/accounts_movements.proto</w:t>
      </w:r>
      <w:r>
        <w:rPr>
          <w:color w:val="1A2422"/>
          <w:sz w:val="21"/>
        </w:rPr>
        <w:t xml:space="preserve">. Los decimales viajan como </w:t>
      </w:r>
      <w:r>
        <w:rPr>
          <w:b/>
          <w:color w:val="1A2422"/>
          <w:sz w:val="21"/>
        </w:rPr>
        <w:t xml:space="preserve">string</w:t>
      </w:r>
      <w:r>
        <w:rPr>
          <w:color w:val="1A2422"/>
          <w:sz w:val="21"/>
        </w:rPr>
        <w:t xml:space="preserve"> para no perder precisión; las fechas como </w:t>
      </w:r>
      <w:r>
        <w:rPr>
          <w:b/>
          <w:color w:val="1A2422"/>
          <w:sz w:val="21"/>
        </w:rPr>
        <w:t xml:space="preserve">ISO 8601</w:t>
      </w:r>
      <w:r>
        <w:rPr>
          <w:color w:val="1A2422"/>
          <w:sz w:val="21"/>
        </w:rPr>
        <w:t xml:space="preserve">,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""</w:t>
      </w:r>
      <w:r>
        <w:rPr>
          <w:color w:val="1A2422"/>
          <w:sz w:val="21"/>
        </w:rPr>
        <w:t xml:space="preserve"> significa "sin valor" porque proto3 no tiene null para escalares.</w:t>
      </w:r>
    </w:p>
    <w:p>
      <w:r>
        <w:rPr>
          <w:color w:val="1A2422"/>
          <w:sz w:val="21"/>
        </w:rPr>
        <w:t xml:space="preserve">No hay un endpoint genérico con un discriminador de titular: cliente y comercio tienen reglas distintas y cada uno tiene la suya. Los marcados con  sacan el cliente del claim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client_id</w:t>
      </w:r>
      <w:r>
        <w:rPr>
          <w:color w:val="1A2422"/>
          <w:sz w:val="21"/>
        </w:rPr>
        <w:t xml:space="preserve"> del JWT y </w:t>
      </w:r>
      <w:r>
        <w:rPr>
          <w:b/>
          <w:color w:val="1A2422"/>
          <w:sz w:val="21"/>
        </w:rPr>
        <w:t xml:space="preserve">no lo reciben como parámetro</w:t>
      </w:r>
      <w:r>
        <w:rPr>
          <w:color w:val="1A2422"/>
          <w:sz w:val="21"/>
        </w:rPr>
        <w:t xml:space="preserve">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889"/>
        <w:gridCol w:w="6471"/>
      </w:tblGrid>
      <w:tr>
        <w:trPr>
          <w:tblHeader/>
        </w:trPr>
        <w:tc>
          <w:tcPr>
            <w:tcW w:w="288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RPC</w:t>
            </w:r>
          </w:p>
        </w:tc>
        <w:tc>
          <w:tcPr>
            <w:tcW w:w="647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Para qué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CreateClientAccount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Abre la cuenta de un cliente, con saldo inicial opcional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CreateMerchantAccount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Abre la cuenta de un comercio. Sin moneda: siempre BOB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GetAccount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Cuenta por número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GetMyAccount</w:t>
            </w:r>
            <w:r>
              <w:rPr>
                <w:color w:val="1A2422"/>
                <w:sz w:val="18"/>
              </w:rPr>
              <w:t xml:space="preserve"> 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Mi cuenta en una moneda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GetMyAccounts</w:t>
            </w:r>
            <w:r>
              <w:rPr>
                <w:color w:val="1A2422"/>
                <w:sz w:val="18"/>
              </w:rPr>
              <w:t xml:space="preserve"> 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Todas mis cuentas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GetMerchantAccount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Cuenta BOB de un comercio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GetMerchantAccounts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Todas las cuentas de un comercio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ApplyMovement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Crédito/débito suelto, idempotente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b/>
                <w:color w:val="1A2422"/>
                <w:sz w:val="18"/>
              </w:rPr>
              <w:t xml:space="preserve">`ExecuteQrPayment`</w:t>
            </w:r>
            <w:r>
              <w:rPr>
                <w:color w:val="1A2422"/>
                <w:sz w:val="18"/>
              </w:rPr>
              <w:t xml:space="preserve"> 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b/>
                <w:color w:val="1A2422"/>
                <w:sz w:val="18"/>
              </w:rPr>
              <w:t xml:space="preserve">Pago del QR: la operación central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GetPayment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Consulta una operación por código o por idempotency key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GetMovements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Extracto de una cuenta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GetMyHistory</w:t>
            </w:r>
            <w:r>
              <w:rPr>
                <w:color w:val="1A2422"/>
                <w:sz w:val="18"/>
              </w:rPr>
              <w:t xml:space="preserve"> 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Mi historial, filtrando por fechas y estado</w:t>
            </w:r>
          </w:p>
        </w:tc>
      </w:tr>
      <w:tr>
        <w:tc>
          <w:tcPr>
            <w:tcW w:w="2889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GetMerchantHistory</w:t>
            </w:r>
          </w:p>
        </w:tc>
        <w:tc>
          <w:tcPr>
            <w:tcW w:w="6471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Historial de un comercio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El detalle completo —campos, reglas, respuestas y errores de cada uno— está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docs/ENDPOINTS.md</w:t>
      </w:r>
      <w:r>
        <w:rPr>
          <w:color w:val="1A2422"/>
          <w:sz w:val="21"/>
        </w:rPr>
        <w:t xml:space="preserve">.</w:t>
      </w:r>
    </w:p>
    <w:p>
      <w:pPr>
        <w:pStyle w:val="Heading2"/>
      </w:pPr>
      <w:r>
        <w:t xml:space="preserve">Ejemplo — ExecuteQrPayment</w:t>
      </w:r>
    </w:p>
    <w:p>
      <w:r>
        <w:rPr>
          <w:color w:val="1A2422"/>
          <w:sz w:val="21"/>
        </w:rPr>
        <w:t xml:space="preserve">Request. El cliente no viaja en el cuerpo: sale del token.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"qr_code": "QR-BO-0001",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"amount": "20",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"currency_code": "USD",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"idempotency_key": "TX-2026-000001",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"description": "Pago en Café Central"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r>
        <w:rPr>
          <w:color w:val="1A2422"/>
          <w:sz w:val="21"/>
        </w:rPr>
        <w:t xml:space="preserve">Response: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"message": "OK.",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"status_code": "SUC000",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"data": 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"transaction_code": "d3f1b6f0-3a41-4c2e-9f18-77c0a1b2c3d4",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"movement_id": 900,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"client_id": 7,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"client_account_number": "QR0000000001",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"merchant_id": 55,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"merchant_name": "Café Central",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"merchant_account_number": "QR0000000002",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"qr_code": "QR-BO-0001",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"original_amount": "20",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"original_currency": "USD",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"exchange_rate": "6.96",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"converted_amount": "139.20",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"target_currency": "BOB",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"client_balance": "480",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"status": "COMPLETED",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"is_duplicate": false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}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r>
        <w:rPr>
          <w:color w:val="1A2422"/>
          <w:sz w:val="21"/>
        </w:rPr>
        <w:t xml:space="preserve">Reenviando </w:t>
      </w:r>
      <w:r>
        <w:rPr>
          <w:b/>
          <w:color w:val="1A2422"/>
          <w:sz w:val="21"/>
        </w:rPr>
        <w:t xml:space="preserve">la misma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idempotency_key</w:t>
      </w:r>
      <w:r>
        <w:rPr>
          <w:color w:val="1A2422"/>
          <w:sz w:val="21"/>
        </w:rPr>
        <w:t xml:space="preserve"> se responde exactamente lo mismo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"is_duplicate": true</w:t>
      </w:r>
      <w:r>
        <w:rPr>
          <w:color w:val="1A2422"/>
          <w:sz w:val="21"/>
        </w:rPr>
        <w:t xml:space="preserve">, y al cliente </w:t>
      </w:r>
      <w:r>
        <w:rPr>
          <w:b/>
          <w:color w:val="1A2422"/>
          <w:sz w:val="21"/>
        </w:rPr>
        <w:t xml:space="preserve">no</w:t>
      </w:r>
      <w:r>
        <w:rPr>
          <w:color w:val="1A2422"/>
          <w:sz w:val="21"/>
        </w:rPr>
        <w:t xml:space="preserve"> se le cobra de nuevo.</w:t>
      </w:r>
    </w:p>
    <w:p>
      <w:r>
        <w:rPr>
          <w:color w:val="1A2422"/>
          <w:sz w:val="21"/>
        </w:rPr>
        <w:t xml:space="preserve">Error de negocio (saldo insuficiente):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"message": "El saldo de la cuenta es insuficiente.",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"status_code": "INSUFFICIENT_FUNDS",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"data": null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pPr>
        <w:pStyle w:val="Heading2"/>
      </w:pPr>
      <w:r>
        <w:t xml:space="preserve">Ejemplo — CreateClientAccount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{ "client_id": 7, "coin_code": "USD", "initial_balance": "500" }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{ "message": "OK.", "status_code": "SUC000", "data": 1 }</w:t>
      </w:r>
    </w:p>
    <w:p>
      <w:pPr>
        <w:pStyle w:val="Heading2"/>
      </w:pPr>
      <w:r>
        <w:t xml:space="preserve">Ejemplo — GetMyHistory</w:t>
      </w:r>
    </w:p>
    <w:p>
      <w:r>
        <w:rPr>
          <w:color w:val="1A2422"/>
          <w:sz w:val="21"/>
        </w:rPr>
        <w:t xml:space="preserve">Sin titular: es "mi" historial, y el cliente sale del token.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{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"date_from": "2026-09-01", "date_to": "2026-09-30",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"status": "COMPLETED", "page_number": 1, "page_size": 20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}</w:t>
      </w:r>
    </w:p>
    <w:p>
      <w:r>
        <w:rPr>
          <w:color w:val="1A2422"/>
          <w:sz w:val="21"/>
        </w:rPr>
        <w:t xml:space="preserve">La fecha final se toma </w:t>
      </w:r>
      <w:r>
        <w:rPr>
          <w:b/>
          <w:color w:val="1A2422"/>
          <w:sz w:val="21"/>
        </w:rPr>
        <w:t xml:space="preserve">inclusive</w:t>
      </w:r>
      <w:r>
        <w:rPr>
          <w:color w:val="1A2422"/>
          <w:sz w:val="21"/>
        </w:rPr>
        <w:t xml:space="preserve">: si viene sin hora, el rango se corre al día siguiente para no dejar fuera lo del último día.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5. Flujo del pago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ExecuteQrPayment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0. ¿La idempotency key ya se usó? ── sí, mismos datos ─→ devuelve el resultado original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                            └─ sí, otros datos ─→ DUPLICATE_TRANSACTION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1. Validar cliente ......................... Clientes  → CUSTOMER_NOT_FOUND / CUSTOMER_INACTIVE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2. Validar QR .............................. QR        → QR_NOT_FOUND / QR_ALREADY_USED / QR_EXPIRED / QR_INACTIVE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3. Validar comercio ........................ Comercio  → MERCHANT_NOT_FOUND / MERCHANT_INACTIVE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4. Validar moneda .......................... Monedas   → CURRENCY_NOT_SUPPORTED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5. Obtener tipo de cambio .................. Monedas   → EXCHANGE_RATE_NOT_FOUND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6. Convertir  (20 USD × 6.96 = 139.20 BOB)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7. ¿El monto convertido cubre el QR? ..................→ INVALID_AMOUNT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8. Resolver cuentas de cliente y comercio ............→ ACCOUNT_NOT_FOUND / MERCHANT_ACCOUNT_NOT_FOUND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9. pay.EJECUTAR_PAGO_QR  ◄── una sola transacción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├─ bloquea las dos cuentas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├─ valida saldo ...............................→ INSUFFICIENT_FUNDS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├─ valida que el QR no esté cobrado ...........→ QR_ALREADY_USED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├─ asienta DEBITO al cliente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├─ asienta CREDITO al comercio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        └─ actualiza los dos saldos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│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├─ 10. Marcar el QR como usado (best effort)</w:t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      └─ 11. Devolver la operación con su conversión</w:t>
      </w:r>
    </w:p>
    <w:p>
      <w:r>
        <w:rPr>
          <w:b/>
          <w:color w:val="1A2422"/>
          <w:sz w:val="21"/>
        </w:rPr>
        <w:t xml:space="preserve">Por qué el saldo se valida adentro del SP y no en el handler:</w:t>
      </w:r>
      <w:r>
        <w:rPr>
          <w:color w:val="1A2422"/>
          <w:sz w:val="21"/>
        </w:rPr>
        <w:t xml:space="preserve"> una lectura de saldo desde C# no sirve para decidir. Entre esa lectura y el pago puede entrar otra operación del mismo cliente. La única validación confiable es la que ocurre con la fila de la cuenta bloqueada, y eso solo se sostiene dentro de la transacción del motor.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6. Concurrencia — estrategia</w:t>
      </w:r>
    </w:p>
    <w:p>
      <w:pPr>
        <w:pStyle w:val="Nota"/>
        <w:pBdr>
          <w:left w:val="single" w:sz="18" w:color="B8860B"/>
        </w:pBdr>
        <w:shd w:val="clear" w:color="auto" w:fill="FBF4E4"/>
        <w:ind w:left="200"/>
        <w:spacing w:before="120" w:after="120"/>
      </w:pPr>
      <w:r>
        <w:rPr>
          <w:color w:val="1A2422"/>
          <w:sz w:val="21"/>
        </w:rPr>
        <w:t xml:space="preserve">Requisito del reto: </w:t>
      </w:r>
      <w:r>
        <w:rPr>
          <w:i/>
          <w:color w:val="1A2422"/>
          <w:sz w:val="21"/>
        </w:rPr>
        <w:t xml:space="preserve">"La estrategia utilizada deberá estar documentada."</w:t>
      </w:r>
    </w:p>
    <w:p>
      <w:r>
        <w:rPr>
          <w:b/>
          <w:color w:val="1A2422"/>
          <w:sz w:val="21"/>
        </w:rPr>
        <w:t xml:space="preserve">Bloqueo pesimista de fila, dentro de la transacción del pago.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pay.EJECUTAR_PAGO_QR</w:t>
      </w:r>
      <w:r>
        <w:rPr>
          <w:color w:val="1A2422"/>
          <w:sz w:val="21"/>
        </w:rPr>
        <w:t xml:space="preserve"> lee las dos cuentas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WITH (UPDLOCK, HOLDLOCK)</w:t>
      </w:r>
      <w:r>
        <w:rPr>
          <w:color w:val="1A2422"/>
          <w:sz w:val="21"/>
        </w:rPr>
        <w:t xml:space="preserve">:</w:t>
      </w:r>
    </w:p>
    <w:p>
      <w:pPr>
        <w:pStyle w:val="Vineta"/>
        <w:numPr>
          <w:ilvl w:val="0"/>
          <w:numId w:val="1"/>
        </w:numPr>
      </w:pPr>
      <w:r>
        <w:rPr>
          <w:rFonts w:ascii="Consolas" w:hAnsi="Consolas"/>
          <w:color w:val="0A423B"/>
          <w:sz w:val="18"/>
          <w:shd w:val="clear" w:color="auto" w:fill="F2F5F4"/>
        </w:rPr>
        <w:t xml:space="preserve">UPDLOCK</w:t>
      </w:r>
      <w:r>
        <w:rPr>
          <w:color w:val="1A2422"/>
          <w:sz w:val="21"/>
        </w:rPr>
        <w:t xml:space="preserve"> toma un bloqueo de actualización al leer, así dos pagos simultáneos del mismo cliente </w:t>
      </w:r>
      <w:r>
        <w:rPr>
          <w:b/>
          <w:color w:val="1A2422"/>
          <w:sz w:val="21"/>
        </w:rPr>
        <w:t xml:space="preserve">no</w:t>
      </w:r>
      <w:r>
        <w:rPr>
          <w:color w:val="1A2422"/>
          <w:sz w:val="21"/>
        </w:rPr>
        <w:t xml:space="preserve"> pueden ambos leer el saldo viejo.</w:t>
      </w:r>
    </w:p>
    <w:p>
      <w:pPr>
        <w:pStyle w:val="Vineta"/>
        <w:numPr>
          <w:ilvl w:val="0"/>
          <w:numId w:val="1"/>
        </w:numPr>
      </w:pPr>
      <w:r>
        <w:rPr>
          <w:rFonts w:ascii="Consolas" w:hAnsi="Consolas"/>
          <w:color w:val="0A423B"/>
          <w:sz w:val="18"/>
          <w:shd w:val="clear" w:color="auto" w:fill="F2F5F4"/>
        </w:rPr>
        <w:t xml:space="preserve">HOLDLOCK</w:t>
      </w:r>
      <w:r>
        <w:rPr>
          <w:color w:val="1A2422"/>
          <w:sz w:val="21"/>
        </w:rPr>
        <w:t xml:space="preserve"> lo mantiene hasta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COMMIT</w:t>
      </w:r>
      <w:r>
        <w:rPr>
          <w:color w:val="1A2422"/>
          <w:sz w:val="21"/>
        </w:rPr>
        <w:t xml:space="preserve">, no hasta el final del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SELECT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Las dos cuentas se leen en </w:t>
      </w:r>
      <w:r>
        <w:rPr>
          <w:b/>
          <w:color w:val="1A2422"/>
          <w:sz w:val="21"/>
        </w:rPr>
        <w:t xml:space="preserve">una sola sentencia</w:t>
      </w:r>
      <w:r>
        <w:rPr>
          <w:color w:val="1A2422"/>
          <w:sz w:val="21"/>
        </w:rPr>
        <w:t xml:space="preserve">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WHERE numero IN (origen, destino)</w:t>
      </w:r>
      <w:r>
        <w:rPr>
          <w:color w:val="1A2422"/>
          <w:sz w:val="21"/>
        </w:rPr>
        <w:t xml:space="preserve">. Al ser una sola sentencia, el motor toma los bloqueos en el orden del índice —idéntico para todas las sesiones— y no puede darse el abrazo mortal clásico de bloquear A-luego-B en un hilo y B-luego-A en el otro.</w:t>
      </w:r>
    </w:p>
    <w:p>
      <w:r>
        <w:rPr>
          <w:color w:val="1A2422"/>
          <w:sz w:val="21"/>
        </w:rPr>
        <w:t xml:space="preserve">Escenario del reto:</w:t>
      </w:r>
    </w:p>
    <w:p>
      <w:pPr>
        <w:pStyle w:val="Codigo"/>
        <w:pBdr>
          <w:top w:val="single" w:sz="4" w:color="C3D2CE"/>
          <w:left w:val="single" w:sz="18" w:color="0C5C52"/>
          <w:right w:val="single" w:sz="4" w:color="C3D2CE"/>
        </w:pBdr>
      </w:pPr>
      <w:r>
        <w:t xml:space="preserve">Saldo del cliente: 100 USD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Llegan a la vez:   Transferencia A = 80 USD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                   Transferencia B = 50 USD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/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A entra, bloquea la fila, ve 100, descuenta 80, hace COMMIT.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>B espera el bloqueo, entra, ve 20, no le alcanza → INSUFFICIENT_FUNDS.</w:t>
      </w:r>
    </w:p>
    <w:p>
      <w:pPr>
        <w:pStyle w:val="Codigo"/>
        <w:pBdr>
          <w:left w:val="single" w:sz="18" w:color="0C5C52"/>
          <w:right w:val="single" w:sz="4" w:color="C3D2CE"/>
        </w:pBdr>
      </w:pPr>
      <w:r>
        <w:t xml:space="preserve"/>
      </w:r>
    </w:p>
    <w:p>
      <w:pPr>
        <w:pStyle w:val="Codigo"/>
        <w:pBdr>
          <w:bottom w:val="single" w:sz="4" w:color="C3D2CE"/>
          <w:left w:val="single" w:sz="18" w:color="0C5C52"/>
          <w:right w:val="single" w:sz="4" w:color="C3D2CE"/>
        </w:pBdr>
      </w:pPr>
      <w:r>
        <w:t xml:space="preserve">Resultado: se aprueba una sola. Saldo final = 20. Nunca negativo.</w:t>
      </w:r>
    </w:p>
    <w:p>
      <w:r>
        <w:rPr>
          <w:color w:val="1A2422"/>
          <w:sz w:val="21"/>
        </w:rPr>
        <w:t xml:space="preserve">Tres redes, de la más específica a la más general: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La validación de saldo con la fila bloqueada (decide).</w:t>
      </w:r>
    </w:p>
    <w:p>
      <w:pPr>
        <w:pStyle w:val="Vineta"/>
        <w:numPr>
          <w:ilvl w:val="0"/>
          <w:numId w:val="1"/>
        </w:numPr>
      </w:pPr>
      <w:r>
        <w:rPr>
          <w:rFonts w:ascii="Consolas" w:hAnsi="Consolas"/>
          <w:color w:val="0A423B"/>
          <w:sz w:val="18"/>
          <w:shd w:val="clear" w:color="auto" w:fill="F2F5F4"/>
        </w:rPr>
        <w:t xml:space="preserve">UQ_PAY_MOVIMIENTO_QR</w:t>
      </w:r>
      <w:r>
        <w:rPr>
          <w:color w:val="1A2422"/>
          <w:sz w:val="21"/>
        </w:rPr>
        <w:t xml:space="preserve"> (un QR, un solo débito) y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UQ_PAY_MOVIMIENTO_IDEMPOTENCIA</w:t>
      </w:r>
      <w:r>
        <w:rPr>
          <w:color w:val="1A2422"/>
          <w:sz w:val="21"/>
        </w:rPr>
        <w:t xml:space="preserve"> (una clave, un solo asiento): resuelven las carreras que se cuelan entre la lectura y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INSERT</w:t>
      </w:r>
      <w:r>
        <w:rPr>
          <w:color w:val="1A2422"/>
          <w:sz w:val="21"/>
        </w:rPr>
        <w:t xml:space="preserve">; el bloque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CATCH</w:t>
      </w:r>
      <w:r>
        <w:rPr>
          <w:color w:val="1A2422"/>
          <w:sz w:val="21"/>
        </w:rPr>
        <w:t xml:space="preserve"> traduce la violación al resultado correcto en vez de devolver un error.</w:t>
      </w:r>
    </w:p>
    <w:p>
      <w:pPr>
        <w:pStyle w:val="Vineta"/>
        <w:numPr>
          <w:ilvl w:val="0"/>
          <w:numId w:val="1"/>
        </w:numPr>
      </w:pPr>
      <w:r>
        <w:rPr>
          <w:rFonts w:ascii="Consolas" w:hAnsi="Consolas"/>
          <w:color w:val="0A423B"/>
          <w:sz w:val="18"/>
          <w:shd w:val="clear" w:color="auto" w:fill="F2F5F4"/>
        </w:rPr>
        <w:t xml:space="preserve">CK_PAY_CUENTA_SALDO &gt;= 0</w:t>
      </w:r>
      <w:r>
        <w:rPr>
          <w:color w:val="1A2422"/>
          <w:sz w:val="21"/>
        </w:rPr>
        <w:t xml:space="preserve">: si algo se escapara de todo lo anterior, el motor</w:t>
      </w:r>
    </w:p>
    <w:p>
      <w:r>
        <w:rPr>
          <w:color w:val="1A2422"/>
          <w:sz w:val="21"/>
        </w:rPr>
        <w:t xml:space="preserve">rechaza la operación antes que dejar saldo negativo.</w:t>
      </w:r>
    </w:p>
    <w:p>
      <w:r>
        <w:rPr>
          <w:b/>
          <w:color w:val="1A2422"/>
          <w:sz w:val="21"/>
        </w:rPr>
        <w:t xml:space="preserve">Sobre el QR de un solo uso:</w:t>
      </w:r>
      <w:r>
        <w:rPr>
          <w:color w:val="1A2422"/>
          <w:sz w:val="21"/>
        </w:rPr>
        <w:t xml:space="preserve"> que un QR no se pague dos veces lo garantiza el índice único de </w:t>
      </w:r>
      <w:r>
        <w:rPr>
          <w:i/>
          <w:color w:val="1A2422"/>
          <w:sz w:val="21"/>
        </w:rPr>
        <w:t xml:space="preserve">este</w:t>
      </w:r>
      <w:r>
        <w:rPr>
          <w:color w:val="1A2422"/>
          <w:sz w:val="21"/>
        </w:rPr>
        <w:t xml:space="preserve"> servicio, no la llamada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MarkQrAsUsed</w:t>
      </w:r>
      <w:r>
        <w:rPr>
          <w:color w:val="1A2422"/>
          <w:sz w:val="21"/>
        </w:rPr>
        <w:t xml:space="preserve">. Si dos clientes distintos escanean el mismo QR al mismo tiempo, los dos pasan las validaciones previas —son cuentas distintas, no comparten bloqueo— y es el índice el que deja pasar un solo débito.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7. Idempotencia</w:t>
      </w:r>
    </w:p>
    <w:p>
      <w:r>
        <w:rPr>
          <w:color w:val="1A2422"/>
          <w:sz w:val="21"/>
        </w:rPr>
        <w:t xml:space="preserve">Cada pago lleva una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idempotencyKey</w:t>
      </w:r>
      <w:r>
        <w:rPr>
          <w:color w:val="1A2422"/>
          <w:sz w:val="21"/>
        </w:rPr>
        <w:t xml:space="preserve"> del llamador (ej: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TX-2026-000001</w:t>
      </w:r>
      <w:r>
        <w:rPr>
          <w:color w:val="1A2422"/>
          <w:sz w:val="21"/>
        </w:rPr>
        <w:t xml:space="preserve">).</w:t>
      </w:r>
    </w:p>
    <w:p>
      <w:r>
        <w:rPr>
          <w:b/>
          <w:color w:val="1A2422"/>
          <w:sz w:val="21"/>
        </w:rPr>
        <w:t xml:space="preserve">El alcance de la clave es global</w:t>
      </w:r>
      <w:r>
        <w:rPr>
          <w:color w:val="1A2422"/>
          <w:sz w:val="21"/>
        </w:rPr>
        <w:t xml:space="preserve">, no por cuenta: identifica una operación del sistema entero. Es una decisión deliberada. Con alcance por cuenta, dos clientes que mandaran la misma clave a la vez pasarían los dos, pero uno detrás del otro el segundo sería rechazado: el mismo caso daría resultados distintos según el momento. El asiento del comercio lleva la clave con el sufijo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-IN</w:t>
      </w:r>
      <w:r>
        <w:rPr>
          <w:color w:val="1A2422"/>
          <w:sz w:val="21"/>
        </w:rPr>
        <w:t xml:space="preserve">, así que el par débito/crédito no choca entre sí (por eso el validator la limita a 60 caracteres sobre una columna de 64).</w:t>
      </w:r>
    </w:p>
    <w:p>
      <w:r>
        <w:rPr>
          <w:color w:val="1A2422"/>
          <w:sz w:val="21"/>
        </w:rPr>
        <w:t xml:space="preserve">Se protege en tres capas: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Antes de validar nada</w:t>
      </w:r>
      <w:r>
        <w:rPr>
          <w:color w:val="1A2422"/>
          <w:sz w:val="21"/>
        </w:rPr>
        <w:t xml:space="preserve">, el handler busca la clave. Si ya existe y los datos</w:t>
      </w:r>
    </w:p>
    <w:p>
      <w:r>
        <w:rPr>
          <w:color w:val="1A2422"/>
          <w:sz w:val="21"/>
        </w:rPr>
        <w:t xml:space="preserve">coinciden —mismo cliente, mismo QR, mismo monto y moneda—, responde el resultado original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is_duplicate: true</w:t>
      </w:r>
      <w:r>
        <w:rPr>
          <w:color w:val="1A2422"/>
          <w:sz w:val="21"/>
        </w:rPr>
        <w:t xml:space="preserve">, incluido el saldo que quedó entonces, no el de hoy.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Si la clave existe </w:t>
      </w:r>
      <w:r>
        <w:rPr>
          <w:b/>
          <w:color w:val="1A2422"/>
          <w:sz w:val="21"/>
        </w:rPr>
        <w:t xml:space="preserve">con otros datos</w:t>
      </w:r>
      <w:r>
        <w:rPr>
          <w:color w:val="1A2422"/>
          <w:sz w:val="21"/>
        </w:rPr>
        <w:t xml:space="preserve"> —otro cliente, otro QR, o se gastó en</w:t>
      </w:r>
    </w:p>
    <w:p>
      <w:r>
        <w:rPr>
          <w:color w:val="1A2422"/>
          <w:sz w:val="21"/>
        </w:rPr>
        <w:t xml:space="preserve">una recarga— no es un reintento sino una clave reusada: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DUPLICATE_TRANSACTION</w:t>
      </w:r>
      <w:r>
        <w:rPr>
          <w:color w:val="1A2422"/>
          <w:sz w:val="21"/>
        </w:rPr>
        <w:t xml:space="preserve">. Devolver el resultado anterior le mostraría a un cliente el pago de otro, o daría por pagado un QR que nunca se cobró.</w:t>
      </w:r>
    </w:p>
    <w:p>
      <w:pPr>
        <w:pStyle w:val="Vineta"/>
        <w:numPr>
          <w:ilvl w:val="0"/>
          <w:numId w:val="1"/>
        </w:numPr>
      </w:pPr>
      <w:r>
        <w:rPr>
          <w:color w:val="1A2422"/>
          <w:sz w:val="21"/>
        </w:rPr>
        <w:t xml:space="preserve">Dentro del SP se repite la búsqueda con la fila ya bloqueada, comparando</w:t>
      </w:r>
    </w:p>
    <w:p>
      <w:r>
        <w:rPr>
          <w:color w:val="1A2422"/>
          <w:sz w:val="21"/>
        </w:rPr>
        <w:t xml:space="preserve">cuenta y QR;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UQ_PAY_MOVIMIENTO_IDEMPOTENCIA</w:t>
      </w:r>
      <w:r>
        <w:rPr>
          <w:color w:val="1A2422"/>
          <w:sz w:val="21"/>
        </w:rPr>
        <w:t xml:space="preserve"> cierra la carrera que quede, traducida en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CATCH</w:t>
      </w:r>
      <w:r>
        <w:rPr>
          <w:color w:val="1A2422"/>
          <w:sz w:val="21"/>
        </w:rPr>
        <w:t xml:space="preserve">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-9</w:t>
      </w:r>
      <w:r>
        <w:rPr>
          <w:color w:val="1A2422"/>
          <w:sz w:val="21"/>
        </w:rPr>
        <w:t xml:space="preserve"> 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DUPLICATE_TRANSACTION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8. Errores</w:t>
      </w:r>
    </w:p>
    <w:p>
      <w:r>
        <w:rPr>
          <w:color w:val="1A2422"/>
          <w:sz w:val="21"/>
        </w:rPr>
        <w:t xml:space="preserve">Se devuelven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status_code</w:t>
      </w:r>
      <w:r>
        <w:rPr>
          <w:color w:val="1A2422"/>
          <w:sz w:val="21"/>
        </w:rPr>
        <w:t xml:space="preserve"> dentro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BaseResponse</w:t>
      </w:r>
      <w:r>
        <w:rPr>
          <w:color w:val="1A2422"/>
          <w:sz w:val="21"/>
        </w:rPr>
        <w:t xml:space="preserve">, con el mensaje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message</w:t>
      </w:r>
      <w:r>
        <w:rPr>
          <w:color w:val="1A2422"/>
          <w:sz w:val="21"/>
        </w:rPr>
        <w:t xml:space="preserve">. Los doce que exige el reto están cubiertos:</w:t>
      </w:r>
    </w:p>
    <w:p>
      <w:r>
        <w:rPr>
          <w:rFonts w:ascii="Consolas" w:hAnsi="Consolas"/>
          <w:color w:val="0A423B"/>
          <w:sz w:val="18"/>
          <w:shd w:val="clear" w:color="auto" w:fill="F2F5F4"/>
        </w:rPr>
        <w:t xml:space="preserve">CUSTOMER_NOT_FOUND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CUSTOMER_INACTIVE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MERCHANT_NOT_FOUND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MERCHANT_INACTIVE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QR_NOT_FOUND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QR_EXPIRED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QR_ALREADY_USED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QR_INACTIVE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INSUFFICIENT_FUNDS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CURRENCY_NOT_SUPPORTED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INVALID_AMOUNT</w:t>
      </w:r>
      <w:r>
        <w:rPr>
          <w:color w:val="1A2422"/>
          <w:sz w:val="21"/>
        </w:rPr>
        <w:t xml:space="preserve"> ·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DUPLICATE_TRANSACTION</w:t>
      </w:r>
    </w:p>
    <w:p>
      <w:r>
        <w:rPr>
          <w:color w:val="1A2422"/>
          <w:sz w:val="21"/>
        </w:rPr>
        <w:t xml:space="preserve">Más los propios del servicio: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ACCOUNT_INACTIVE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ACCOUNT_DUPLICATE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MERCHANT_ACCOUNT_NOT_FOUND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MERCHANT_ACCOUNT_INACTIVE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MERCHANT_CURRENCY_INVALID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CURRENCY_MISMATCH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EXCHANGE_RATE_NOT_FOUND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INSERT_FAILED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MOVEMENT_FAILED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PAYMENT_FAILED</w:t>
      </w:r>
      <w:r>
        <w:rPr>
          <w:color w:val="1A2422"/>
          <w:sz w:val="21"/>
        </w:rPr>
        <w:t xml:space="preserve">,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PAYMENT_NOT_FOUND</w:t>
      </w:r>
      <w:r>
        <w:rPr>
          <w:color w:val="1A2422"/>
          <w:sz w:val="21"/>
        </w:rPr>
        <w:t xml:space="preserve">.</w:t>
      </w:r>
    </w:p>
    <w:p>
      <w:r>
        <w:rPr>
          <w:color w:val="1A2422"/>
          <w:sz w:val="21"/>
        </w:rPr>
        <w:t xml:space="preserve">Los errores de validación de entrada salen como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VAL001</w:t>
      </w:r>
      <w:r>
        <w:rPr>
          <w:color w:val="1A2422"/>
          <w:sz w:val="21"/>
        </w:rPr>
        <w:t xml:space="preserve"> con el detalle por campo (interceptor del proyecto base), y las excepciones no controladas como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ERR001</w:t>
      </w:r>
      <w:r>
        <w:rPr>
          <w:color w:val="1A2422"/>
          <w:sz w:val="21"/>
        </w:rPr>
        <w:t xml:space="preserve">, ya registradas por 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LoggerInterceptor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9. Lo que este servicio necesita de los demás</w:t>
      </w:r>
    </w:p>
    <w:p>
      <w:r>
        <w:rPr>
          <w:color w:val="1A2422"/>
          <w:sz w:val="21"/>
        </w:rPr>
        <w:t xml:space="preserve">Los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.proto</w:t>
      </w:r>
      <w:r>
        <w:rPr>
          <w:color w:val="1A2422"/>
          <w:sz w:val="21"/>
        </w:rPr>
        <w:t xml:space="preserve"> que consume están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AccountsAndMovements.Infrastructure/Protos/</w:t>
      </w:r>
      <w:r>
        <w:rPr>
          <w:color w:val="1A2422"/>
          <w:sz w:val="21"/>
        </w:rPr>
        <w:t xml:space="preserve">. </w:t>
      </w:r>
      <w:r>
        <w:rPr>
          <w:b/>
          <w:color w:val="1A2422"/>
          <w:sz w:val="21"/>
        </w:rPr>
        <w:t xml:space="preserve">Son el contrato que se espera de cada microservicio del equipo</w:t>
      </w:r>
      <w:r>
        <w:rPr>
          <w:color w:val="1A2422"/>
          <w:sz w:val="21"/>
        </w:rPr>
        <w:t xml:space="preserve">; si alguno define algo distinto, se reemplaza ese archivo y se ajusta la clase equivalente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ExternalServices/</w:t>
      </w:r>
      <w:r>
        <w:rPr>
          <w:color w:val="1A2422"/>
          <w:sz w:val="21"/>
        </w:rPr>
        <w:t xml:space="preserve">.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749"/>
        <w:gridCol w:w="2995"/>
        <w:gridCol w:w="5616"/>
      </w:tblGrid>
      <w:tr>
        <w:trPr>
          <w:tblHeader/>
        </w:trPr>
        <w:tc>
          <w:tcPr>
            <w:tcW w:w="74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Servicio</w:t>
            </w:r>
          </w:p>
        </w:tc>
        <w:tc>
          <w:tcPr>
            <w:tcW w:w="2995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RPC que se consume</w:t>
            </w:r>
          </w:p>
        </w:tc>
        <w:tc>
          <w:tcPr>
            <w:tcW w:w="561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Datos que se necesitan</w:t>
            </w:r>
          </w:p>
        </w:tc>
      </w:tr>
      <w:tr>
        <w:tc>
          <w:tcPr>
            <w:tcW w:w="74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Clientes</w:t>
            </w:r>
          </w:p>
        </w:tc>
        <w:tc>
          <w:tcPr>
            <w:tcW w:w="29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GetClientById</w:t>
            </w:r>
          </w:p>
        </w:tc>
        <w:tc>
          <w:tcPr>
            <w:tcW w:w="561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id, nombre, email, país, moneda, estado (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ACTIVE</w:t>
            </w:r>
            <w:r>
              <w:rPr>
                <w:color w:val="1A2422"/>
                <w:sz w:val="18"/>
              </w:rPr>
              <w:t xml:space="preserve">/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INACTIVE</w:t>
            </w:r>
            <w:r>
              <w:rPr>
                <w:color w:val="1A2422"/>
                <w:sz w:val="18"/>
              </w:rPr>
              <w:t xml:space="preserve">)</w:t>
            </w:r>
          </w:p>
        </w:tc>
      </w:tr>
      <w:tr>
        <w:tc>
          <w:tcPr>
            <w:tcW w:w="74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Comercio</w:t>
            </w:r>
          </w:p>
        </w:tc>
        <w:tc>
          <w:tcPr>
            <w:tcW w:w="29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GetMerchantById</w:t>
            </w:r>
          </w:p>
        </w:tc>
        <w:tc>
          <w:tcPr>
            <w:tcW w:w="561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id, nombre, NIT, moneda (BOB), estado</w:t>
            </w:r>
          </w:p>
        </w:tc>
      </w:tr>
      <w:tr>
        <w:tc>
          <w:tcPr>
            <w:tcW w:w="74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QR</w:t>
            </w:r>
          </w:p>
        </w:tc>
        <w:tc>
          <w:tcPr>
            <w:tcW w:w="29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GetQr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MarkQrAsUsed</w:t>
            </w:r>
          </w:p>
        </w:tc>
        <w:tc>
          <w:tcPr>
            <w:tcW w:w="561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código, comercio, monto, moneda, referencia, estado, expiración</w:t>
            </w:r>
          </w:p>
        </w:tc>
      </w:tr>
      <w:tr>
        <w:tc>
          <w:tcPr>
            <w:tcW w:w="74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Monedas</w:t>
            </w:r>
          </w:p>
        </w:tc>
        <w:tc>
          <w:tcPr>
            <w:tcW w:w="2995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GetCurrency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GetExchangeRate</w:t>
            </w:r>
          </w:p>
        </w:tc>
        <w:tc>
          <w:tcPr>
            <w:tcW w:w="561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id/código/estado de la moneda y el tipo de cambio origendestino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Puertos esperados (configurables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appsettings.json</w:t>
      </w:r>
      <w:r>
        <w:rPr>
          <w:color w:val="1A2422"/>
          <w:sz w:val="21"/>
        </w:rPr>
        <w:t xml:space="preserve">, sección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Services</w:t>
      </w:r>
      <w:r>
        <w:rPr>
          <w:color w:val="1A2422"/>
          <w:sz w:val="21"/>
        </w:rPr>
        <w:t xml:space="preserve">):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269"/>
        <w:gridCol w:w="7091"/>
      </w:tblGrid>
      <w:tr>
        <w:trPr>
          <w:tblHeader/>
        </w:trPr>
        <w:tc>
          <w:tcPr>
            <w:tcW w:w="2269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Servicio</w:t>
            </w:r>
          </w:p>
        </w:tc>
        <w:tc>
          <w:tcPr>
            <w:tcW w:w="709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Puerto</w:t>
            </w:r>
          </w:p>
        </w:tc>
      </w:tr>
      <w:tr>
        <w:tc>
          <w:tcPr>
            <w:tcW w:w="226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Clientes</w:t>
            </w:r>
          </w:p>
        </w:tc>
        <w:tc>
          <w:tcPr>
            <w:tcW w:w="709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https://localhost:52140</w:t>
            </w:r>
          </w:p>
        </w:tc>
      </w:tr>
      <w:tr>
        <w:tc>
          <w:tcPr>
            <w:tcW w:w="226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Comercio</w:t>
            </w:r>
          </w:p>
        </w:tc>
        <w:tc>
          <w:tcPr>
            <w:tcW w:w="709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https://localhost:52142</w:t>
            </w:r>
          </w:p>
        </w:tc>
      </w:tr>
      <w:tr>
        <w:tc>
          <w:tcPr>
            <w:tcW w:w="226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QR</w:t>
            </w:r>
          </w:p>
        </w:tc>
        <w:tc>
          <w:tcPr>
            <w:tcW w:w="709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https://localhost:52144</w:t>
            </w:r>
          </w:p>
        </w:tc>
      </w:tr>
      <w:tr>
        <w:tc>
          <w:tcPr>
            <w:tcW w:w="2269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Monedas</w:t>
            </w:r>
          </w:p>
        </w:tc>
        <w:tc>
          <w:tcPr>
            <w:tcW w:w="7091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https://localhost:52146</w:t>
            </w: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Cada cliente gRPC tiene </w:t>
      </w:r>
      <w:r>
        <w:rPr>
          <w:b/>
          <w:color w:val="1A2422"/>
          <w:sz w:val="21"/>
        </w:rPr>
        <w:t xml:space="preserve">retry</w:t>
      </w:r>
      <w:r>
        <w:rPr>
          <w:color w:val="1A2422"/>
          <w:sz w:val="21"/>
        </w:rPr>
        <w:t xml:space="preserve"> (3 intentos con backoff) y </w:t>
      </w:r>
      <w:r>
        <w:rPr>
          <w:b/>
          <w:color w:val="1A2422"/>
          <w:sz w:val="21"/>
        </w:rPr>
        <w:t xml:space="preserve">circuit breaker</w:t>
      </w:r>
      <w:r>
        <w:rPr>
          <w:color w:val="1A2422"/>
          <w:sz w:val="21"/>
        </w:rPr>
        <w:t xml:space="preserve"> configurados por sección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appsettings.json</w:t>
      </w:r>
      <w:r>
        <w:rPr>
          <w:color w:val="1A2422"/>
          <w:sz w:val="21"/>
        </w:rPr>
        <w:t xml:space="preserve">, usando el mecanismo del proyecto base.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10. Ejecución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dotnet run --project Microservices/AccountsAndMovements/AccountsAndMovements.Api</w:t>
      </w:r>
    </w:p>
    <w:p>
      <w:r>
        <w:rPr>
          <w:color w:val="1A2422"/>
          <w:sz w:val="21"/>
        </w:rPr>
        <w:t xml:space="preserve">Desde Visual Studio: el perfil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AccountsAndMovements.Api</w:t>
      </w:r>
      <w:r>
        <w:rPr>
          <w:color w:val="1A2422"/>
          <w:sz w:val="21"/>
        </w:rPr>
        <w:t xml:space="preserve"> ya está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YastaCoin.slnLaunch</w:t>
      </w:r>
      <w:r>
        <w:rPr>
          <w:color w:val="1A2422"/>
          <w:sz w:val="21"/>
        </w:rPr>
        <w:t xml:space="preserve">, dentro de "Todos los microservicios".</w:t>
      </w:r>
    </w:p>
    <w:p>
      <w:r>
        <w:rPr>
          <w:color w:val="1A2422"/>
          <w:sz w:val="21"/>
        </w:rPr>
        <w:t xml:space="preserve">Verificación rápida de que está arriba: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https://localhost:52130/</w:t>
      </w:r>
      <w:r>
        <w:rPr>
          <w:color w:val="1A2422"/>
          <w:sz w:val="21"/>
        </w:rPr>
        <w:t xml:space="preserve"> responde con el nombre del servicio y la hora.</w:t>
      </w:r>
    </w:p>
    <w:p>
      <w:r>
        <w:rPr>
          <w:color w:val="1A2422"/>
          <w:sz w:val="21"/>
        </w:rPr>
        <w:t xml:space="preserve">Para probar los RPC conviene un cliente gRPC (Postman, BloomRPC 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grpcurl</w:t>
      </w:r>
      <w:r>
        <w:rPr>
          <w:color w:val="1A2422"/>
          <w:sz w:val="21"/>
        </w:rPr>
        <w:t xml:space="preserve">) apuntando 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accounts_movements.proto</w:t>
      </w:r>
      <w:r>
        <w:rPr>
          <w:color w:val="1A2422"/>
          <w:sz w:val="21"/>
        </w:rPr>
        <w:t xml:space="preserve">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11. Pruebas</w:t>
      </w:r>
    </w:p>
    <w:p>
      <w:pPr>
        <w:pStyle w:val="Codigo"/>
        <w:pBdr>
          <w:top w:val="single" w:sz="4" w:color="C3D2CE"/>
          <w:bottom w:val="single" w:sz="4" w:color="C3D2CE"/>
          <w:left w:val="single" w:sz="18" w:color="0C5C52"/>
          <w:right w:val="single" w:sz="4" w:color="C3D2CE"/>
        </w:pBdr>
      </w:pPr>
      <w:r>
        <w:t xml:space="preserve">dotnet test Microservices/AccountsAndMovements/Tests/AccountsAndMovements.Unit.Tests</w:t>
      </w:r>
    </w:p>
    <w:p>
      <w:r>
        <w:rPr>
          <w:color w:val="1A2422"/>
          <w:sz w:val="21"/>
        </w:rPr>
        <w:t xml:space="preserve">69 pruebas unitarias en este microservicio (100 en toda la solucion, contando Auth), que cubren la lista obligatoria del reto: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560"/>
        <w:gridCol w:w="4800"/>
      </w:tblGrid>
      <w:tr>
        <w:trPr>
          <w:tblHeader/>
        </w:trPr>
        <w:tc>
          <w:tcPr>
            <w:tcW w:w="456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Caso del reto</w:t>
            </w:r>
          </w:p>
        </w:tc>
        <w:tc>
          <w:tcPr>
            <w:tcW w:w="4800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Prueba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 existente / inexistente / inactivo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Handle_WhenEverythingIsValid…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…ClientDoesNotExist…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…ClientIsInactive…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QR válido / inexistente / expirado / utilizado / inactivo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…QrDoesNotExist…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…QrStatusIsExpired…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…QrExpirationHasPassed…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…QrIsAlreadyUsed…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…QrIsCancelled…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Saldo suficiente / insuficiente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…SendsTheFrozenConversionToTheDatabase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…InsufficientFunds…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Moneda soportada / no soportada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…CurrencyIsNotInTheCatalog…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…CurrencyIsInactive…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Transferencia exitosa / duplicada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…CompletesThePaymentWithTheConversion</w:t>
            </w:r>
            <w:r>
              <w:rPr>
                <w:color w:val="1A2422"/>
                <w:sz w:val="18"/>
              </w:rPr>
              <w:t xml:space="preserve">,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…KeyWasAlreadyUsedWithTheSameData…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Solicitudes concurrentes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…TwoPaymentsRaceOverTheSameBalance_OnlyOneIsApproved</w:t>
            </w:r>
          </w:p>
        </w:tc>
      </w:tr>
      <w:tr>
        <w:tc>
          <w:tcPr>
            <w:tcW w:w="4560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Cálculo de conversión</w:t>
            </w:r>
          </w:p>
        </w:tc>
        <w:tc>
          <w:tcPr>
            <w:tcW w:w="4800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CurrencyConverterTests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Validación contra SQL Server real</w:t>
      </w:r>
    </w:p>
    <w:p>
      <w:r>
        <w:rPr>
          <w:color w:val="1A2422"/>
          <w:sz w:val="21"/>
        </w:rPr>
        <w:t xml:space="preserve">Los scripts se ejecutaron contra una instancia real (SQL Server 2025 Express) en una base temporal, ya eliminada. Resultados verificados: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333"/>
        <w:gridCol w:w="4333"/>
        <w:gridCol w:w="694"/>
      </w:tblGrid>
      <w:tr>
        <w:trPr>
          <w:tblHeader/>
        </w:trPr>
        <w:tc>
          <w:tcPr>
            <w:tcW w:w="433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Caso</w:t>
            </w:r>
          </w:p>
        </w:tc>
        <w:tc>
          <w:tcPr>
            <w:tcW w:w="433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Esperado</w:t>
            </w:r>
          </w:p>
        </w:tc>
        <w:tc>
          <w:tcPr>
            <w:tcW w:w="694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Obtenido</w:t>
            </w: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Crear cuentas cliente (500 USD) y comercio (0 BOB)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ids 1 y 2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Cuenta duplicada del mismo titular y moneda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-1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Pago 20 USD × 6.96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 480 USD · comercio 139.20 BOB · 2 asientos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Mismo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idempotencyKey</w:t>
            </w:r>
            <w:r>
              <w:rPr>
                <w:color w:val="1A2422"/>
                <w:sz w:val="18"/>
              </w:rPr>
              <w:t xml:space="preserve"> otra vez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mismo id, saldos sin cambio, sin asientos nuevos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Mismo QR con otra clave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-6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Saldo insuficiente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-3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Moneda distinta a la de la cuenta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-7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Conversión incoherente con el tipo de cambio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-8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Cuenta de cliente / de comercio inexistente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-1</w:t>
            </w:r>
            <w:r>
              <w:rPr>
                <w:color w:val="1A2422"/>
                <w:sz w:val="18"/>
              </w:rPr>
              <w:t xml:space="preserve"> /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-4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Recarga repetida con la misma clave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acredita una sola vez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  <w:tr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Saldo == suma de los asientos, en las dos cuentas</w:t>
            </w:r>
          </w:p>
        </w:tc>
        <w:tc>
          <w:tcPr>
            <w:tcW w:w="433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reconstruible</w:t>
            </w:r>
          </w:p>
        </w:tc>
        <w:tc>
          <w:tcPr>
            <w:tcW w:w="694" w:type="dxa"/>
          </w:tcPr>
          <w:p>
            <w:pPr>
              <w:pStyle w:val="Celda"/>
            </w:pPr>
          </w:p>
        </w:tc>
      </w:tr>
    </w:tbl>
    <w:p>
      <w:pPr>
        <w:spacing w:after="0" w:line="120" w:lineRule="exact"/>
      </w:pPr>
    </w:p>
    <w:p>
      <w:r>
        <w:rPr>
          <w:color w:val="1A2422"/>
          <w:sz w:val="21"/>
        </w:rPr>
        <w:t xml:space="preserve">Alcance de la clave de idempotencia, también verificado contra el motor:</w:t>
      </w:r>
    </w:p>
    <w:tbl>
      <w:tblPr>
        <w:tblW w:w="9360" w:type="dxa"/>
        <w:tblLayout w:type="fixed"/>
        <w:tblBorders>
          <w:top w:val="single" w:sz="4" w:color="C3D2CE"/>
          <w:bottom w:val="single" w:sz="4" w:color="C3D2CE"/>
          <w:insideH w:val="single" w:sz="4" w:color="C3D2CE"/>
          <w:left w:val="nil"/>
          <w:right w:val="nil"/>
          <w:insideV w:val="nil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903"/>
        <w:gridCol w:w="3566"/>
        <w:gridCol w:w="891"/>
      </w:tblGrid>
      <w:tr>
        <w:trPr>
          <w:tblHeader/>
        </w:trPr>
        <w:tc>
          <w:tcPr>
            <w:tcW w:w="4903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Caso</w:t>
            </w:r>
          </w:p>
        </w:tc>
        <w:tc>
          <w:tcPr>
            <w:tcW w:w="3566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Esperado</w:t>
            </w:r>
          </w:p>
        </w:tc>
        <w:tc>
          <w:tcPr>
            <w:tcW w:w="891" w:type="dxa"/>
            <w:shd w:val="clear" w:color="auto" w:fill="DFEEEA"/>
          </w:tcPr>
          <w:p>
            <w:pPr>
              <w:pStyle w:val="CeldaTitulo"/>
            </w:pPr>
            <w:r>
              <w:rPr>
                <w:color w:val="0A423B"/>
                <w:sz w:val="18"/>
              </w:rPr>
              <w:t xml:space="preserve">Obtenido</w:t>
            </w:r>
          </w:p>
        </w:tc>
      </w:tr>
      <w:tr>
        <w:tc>
          <w:tcPr>
            <w:tcW w:w="49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 A paga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TX-DUP</w:t>
            </w:r>
          </w:p>
        </w:tc>
        <w:tc>
          <w:tcPr>
            <w:tcW w:w="356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id del asiento</w:t>
            </w:r>
          </w:p>
        </w:tc>
        <w:tc>
          <w:tcPr>
            <w:tcW w:w="891" w:type="dxa"/>
          </w:tcPr>
          <w:p>
            <w:pPr>
              <w:pStyle w:val="Celda"/>
            </w:pPr>
          </w:p>
        </w:tc>
      </w:tr>
      <w:tr>
        <w:tc>
          <w:tcPr>
            <w:tcW w:w="49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 </w:t>
            </w:r>
            <w:r>
              <w:rPr>
                <w:b/>
                <w:color w:val="1A2422"/>
                <w:sz w:val="18"/>
              </w:rPr>
              <w:t xml:space="preserve">B</w:t>
            </w:r>
            <w:r>
              <w:rPr>
                <w:color w:val="1A2422"/>
                <w:sz w:val="18"/>
              </w:rPr>
              <w:t xml:space="preserve"> usa la misma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TX-DUP</w:t>
            </w:r>
          </w:p>
        </w:tc>
        <w:tc>
          <w:tcPr>
            <w:tcW w:w="35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-9</w:t>
            </w:r>
            <w:r>
              <w:rPr>
                <w:color w:val="1A2422"/>
                <w:sz w:val="18"/>
              </w:rPr>
              <w:t xml:space="preserve"> 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DUPLICATE_TRANSACTION</w:t>
            </w:r>
          </w:p>
        </w:tc>
        <w:tc>
          <w:tcPr>
            <w:tcW w:w="891" w:type="dxa"/>
          </w:tcPr>
          <w:p>
            <w:pPr>
              <w:pStyle w:val="Celda"/>
            </w:pPr>
          </w:p>
        </w:tc>
      </w:tr>
      <w:tr>
        <w:tc>
          <w:tcPr>
            <w:tcW w:w="49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 A reintenta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TX-DUP</w:t>
            </w:r>
            <w:r>
              <w:rPr>
                <w:color w:val="1A2422"/>
                <w:sz w:val="18"/>
              </w:rPr>
              <w:t xml:space="preserve"> con el mismo QR</w:t>
            </w:r>
          </w:p>
        </w:tc>
        <w:tc>
          <w:tcPr>
            <w:tcW w:w="356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el mismo id, sin cobrar de nuevo</w:t>
            </w:r>
          </w:p>
        </w:tc>
        <w:tc>
          <w:tcPr>
            <w:tcW w:w="891" w:type="dxa"/>
          </w:tcPr>
          <w:p>
            <w:pPr>
              <w:pStyle w:val="Celda"/>
            </w:pPr>
          </w:p>
        </w:tc>
      </w:tr>
      <w:tr>
        <w:tc>
          <w:tcPr>
            <w:tcW w:w="49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Cliente A usa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TX-DUP</w:t>
            </w:r>
            <w:r>
              <w:rPr>
                <w:color w:val="1A2422"/>
                <w:sz w:val="18"/>
              </w:rPr>
              <w:t xml:space="preserve"> en </w:t>
            </w:r>
            <w:r>
              <w:rPr>
                <w:b/>
                <w:color w:val="1A2422"/>
                <w:sz w:val="18"/>
              </w:rPr>
              <w:t xml:space="preserve">otro</w:t>
            </w:r>
            <w:r>
              <w:rPr>
                <w:color w:val="1A2422"/>
                <w:sz w:val="18"/>
              </w:rPr>
              <w:t xml:space="preserve"> QR</w:t>
            </w:r>
          </w:p>
        </w:tc>
        <w:tc>
          <w:tcPr>
            <w:tcW w:w="35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-9</w:t>
            </w:r>
          </w:p>
        </w:tc>
        <w:tc>
          <w:tcPr>
            <w:tcW w:w="891" w:type="dxa"/>
          </w:tcPr>
          <w:p>
            <w:pPr>
              <w:pStyle w:val="Celda"/>
            </w:pPr>
          </w:p>
        </w:tc>
      </w:tr>
      <w:tr>
        <w:tc>
          <w:tcPr>
            <w:tcW w:w="49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Recarga con </w:t>
            </w: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TX-DUP</w:t>
            </w:r>
            <w:r>
              <w:rPr>
                <w:color w:val="1A2422"/>
                <w:sz w:val="18"/>
              </w:rPr>
              <w:t xml:space="preserve">, ya gastada por el pago</w:t>
            </w:r>
          </w:p>
        </w:tc>
        <w:tc>
          <w:tcPr>
            <w:tcW w:w="3566" w:type="dxa"/>
          </w:tcPr>
          <w:p>
            <w:pPr>
              <w:pStyle w:val="Celda"/>
            </w:pPr>
            <w:r>
              <w:rPr>
                <w:rFonts w:ascii="Consolas" w:hAnsi="Consolas"/>
                <w:color w:val="0A423B"/>
                <w:sz w:val="15"/>
                <w:shd w:val="clear" w:color="auto" w:fill="F2F5F4"/>
              </w:rPr>
              <w:t xml:space="preserve">-9</w:t>
            </w:r>
          </w:p>
        </w:tc>
        <w:tc>
          <w:tcPr>
            <w:tcW w:w="891" w:type="dxa"/>
          </w:tcPr>
          <w:p>
            <w:pPr>
              <w:pStyle w:val="Celda"/>
            </w:pPr>
          </w:p>
        </w:tc>
      </w:tr>
      <w:tr>
        <w:tc>
          <w:tcPr>
            <w:tcW w:w="4903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Saldos tras los cinco intentos</w:t>
            </w:r>
          </w:p>
        </w:tc>
        <w:tc>
          <w:tcPr>
            <w:tcW w:w="3566" w:type="dxa"/>
          </w:tcPr>
          <w:p>
            <w:pPr>
              <w:pStyle w:val="Celda"/>
            </w:pPr>
            <w:r>
              <w:rPr>
                <w:color w:val="1A2422"/>
                <w:sz w:val="18"/>
              </w:rPr>
              <w:t xml:space="preserve">solo un cobro aplicado</w:t>
            </w:r>
          </w:p>
        </w:tc>
        <w:tc>
          <w:tcPr>
            <w:tcW w:w="891" w:type="dxa"/>
          </w:tcPr>
          <w:p>
            <w:pPr>
              <w:pStyle w:val="Celda"/>
            </w:pPr>
          </w:p>
        </w:tc>
      </w:tr>
    </w:tbl>
    <w:p>
      <w:pPr>
        <w:spacing w:after="0" w:line="120" w:lineRule="exact"/>
      </w:pPr>
    </w:p>
    <w:p>
      <w:r>
        <w:rPr>
          <w:b/>
          <w:color w:val="1A2422"/>
          <w:sz w:val="21"/>
        </w:rPr>
        <w:t xml:space="preserve">Concurrencia real:</w:t>
      </w:r>
      <w:r>
        <w:rPr>
          <w:color w:val="1A2422"/>
          <w:sz w:val="21"/>
        </w:rPr>
        <w:t xml:space="preserve"> dos sesiones simultáneas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sqlcmd</w:t>
      </w:r>
      <w:r>
        <w:rPr>
          <w:color w:val="1A2422"/>
          <w:sz w:val="21"/>
        </w:rPr>
        <w:t xml:space="preserve">, sincronizadas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WAITFOR TIME</w:t>
      </w:r>
      <w:r>
        <w:rPr>
          <w:color w:val="1A2422"/>
          <w:sz w:val="21"/>
        </w:rPr>
        <w:t xml:space="preserve">, pagando desde una cuenta con 100 BOB: una por 80 y otra por 50. Resultado: una aprobada (50), la otra rechazada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-3</w:t>
      </w:r>
      <w:r>
        <w:rPr>
          <w:color w:val="1A2422"/>
          <w:sz w:val="21"/>
        </w:rPr>
        <w:t xml:space="preserve">, saldo final 50 y ninguna cuenta en negativo. Es exactamente el escenario del punto 13 del reto.</w:t>
      </w:r>
    </w:p>
    <w:p>
      <w:pPr>
        <w:pBdr>
          <w:bottom w:val="single" w:sz="6" w:color="C3D2CE"/>
        </w:pBdr>
        <w:spacing w:before="120" w:after="180"/>
      </w:pPr>
    </w:p>
    <w:p>
      <w:pPr>
        <w:pStyle w:val="Heading1"/>
      </w:pPr>
      <w:r>
        <w:t xml:space="preserve">12. Decisiones y supuestos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Base de datos y esquema.</w:t>
      </w:r>
      <w:r>
        <w:rPr>
          <w:color w:val="1A2422"/>
          <w:sz w:val="21"/>
        </w:rPr>
        <w:t xml:space="preserve">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DB_QRBolivia</w:t>
      </w:r>
      <w:r>
        <w:rPr>
          <w:color w:val="1A2422"/>
          <w:sz w:val="21"/>
        </w:rPr>
        <w:t xml:space="preserve"> / esquema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</w:t>
      </w:r>
      <w:r>
        <w:rPr>
          <w:color w:val="1A2422"/>
          <w:sz w:val="21"/>
        </w:rPr>
        <w:t xml:space="preserve">, separado del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coin</w:t>
      </w:r>
      <w:r>
        <w:rPr>
          <w:color w:val="1A2422"/>
          <w:sz w:val="21"/>
        </w:rPr>
        <w:t xml:space="preserve"> del proyecto base para no chocar con sus tablas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CUENTA</w:t>
      </w:r>
      <w:r>
        <w:rPr>
          <w:color w:val="1A2422"/>
          <w:sz w:val="21"/>
        </w:rPr>
        <w:t xml:space="preserve"> y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MOVIMIENTO</w:t>
      </w:r>
      <w:r>
        <w:rPr>
          <w:color w:val="1A2422"/>
          <w:sz w:val="21"/>
        </w:rPr>
        <w:t xml:space="preserve">, que tienen otra forma. Si el equipo acordó otro esquema, se reemplaza el prefijo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pay.</w:t>
      </w:r>
      <w:r>
        <w:rPr>
          <w:color w:val="1A2422"/>
          <w:sz w:val="21"/>
        </w:rPr>
        <w:t xml:space="preserve"> en los cinco scripts SQL y en las consultas de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Persistence/Queries/</w:t>
      </w:r>
      <w:r>
        <w:rPr>
          <w:color w:val="1A2422"/>
          <w:sz w:val="21"/>
        </w:rP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Sin FK hacia CLIENTE, COMERCIO o MONEDA.</w:t>
      </w:r>
      <w:r>
        <w:rPr>
          <w:color w:val="1A2422"/>
          <w:sz w:val="21"/>
        </w:rPr>
        <w:t xml:space="preserve"> Son tablas de otros microservicios; esa integridad se valida por gRPC antes de crear la cuenta. Es el mismo criterio del proyecto base.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El comercio cobra en BOB.</w:t>
      </w:r>
      <w:r>
        <w:rPr>
          <w:color w:val="1A2422"/>
          <w:sz w:val="21"/>
        </w:rPr>
        <w:t xml:space="preserve"> Una cuenta de comercio en otra moneda se rechaza con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MERCHANT_CURRENCY_INVALID</w:t>
      </w:r>
      <w:r>
        <w:rPr>
          <w:color w:val="1A2422"/>
          <w:sz w:val="21"/>
        </w:rPr>
        <w:t xml:space="preserve">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Monto del QR.</w:t>
      </w:r>
      <w:r>
        <w:rPr>
          <w:color w:val="1A2422"/>
          <w:sz w:val="21"/>
        </w:rPr>
        <w:t xml:space="preserve"> Si el QR trae monto fijo, el convertido debe coincidir exactamente; monto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0</w:t>
      </w:r>
      <w:r>
        <w:rPr>
          <w:color w:val="1A2422"/>
          <w:sz w:val="21"/>
        </w:rPr>
        <w:t xml:space="preserve"> significa QR abierto y acepta cualquier importe.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Redondeo.</w:t>
      </w:r>
      <w:r>
        <w:rPr>
          <w:color w:val="1A2422"/>
          <w:sz w:val="21"/>
        </w:rPr>
        <w:t xml:space="preserve"> La conversión se redondea a 2 decimales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AwayFromZero</w:t>
      </w:r>
      <w:r>
        <w:rPr>
          <w:color w:val="1A2422"/>
          <w:sz w:val="21"/>
        </w:rPr>
        <w:t xml:space="preserve">, el criterio contable. El valor redondeado es el que se acredita y el que se graba.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`MarkQrAsUsed` es best effort.</w:t>
      </w:r>
      <w:r>
        <w:rPr>
          <w:color w:val="1A2422"/>
          <w:sz w:val="21"/>
        </w:rPr>
        <w:t xml:space="preserve"> Se llama con el dinero ya movido y no puede deshacerlo; si falla se registra un warning y el pago sigue siendo válido, porque el índice único ya impide que ese QR se cobre otra vez.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No se persisten intentos fallidos</w:t>
      </w:r>
      <w:r>
        <w:rPr>
          <w:color w:val="1A2422"/>
          <w:sz w:val="21"/>
        </w:rPr>
        <w:t xml:space="preserve"> como movimientos. El libro mayor guarda movimientos de dinero reales; los rechazos quedan en el log. Por eso una operación nunca queda en </w:t>
      </w:r>
      <w:r>
        <w:rPr>
          <w:rFonts w:ascii="Consolas" w:hAnsi="Consolas"/>
          <w:color w:val="0A423B"/>
          <w:sz w:val="18"/>
          <w:shd w:val="clear" w:color="auto" w:fill="F2F5F4"/>
        </w:rPr>
        <w:t xml:space="preserve">PENDING</w:t>
      </w:r>
      <w:r>
        <w:rPr>
          <w:color w:val="1A2422"/>
          <w:sz w:val="21"/>
        </w:rPr>
        <w:t xml:space="preserve">: débito y crédito ocurren en la misma transacción, no hay ventana intermedia. La columna de estado y el filtro del historial soportan igual los cuatro estados del reto.</w:t>
      </w:r>
    </w:p>
    <w:p>
      <w:pPr>
        <w:pStyle w:val="Vineta"/>
        <w:numPr>
          <w:ilvl w:val="0"/>
          <w:numId w:val="1"/>
        </w:numPr>
      </w:pPr>
      <w:r>
        <w:rPr>
          <w:b/>
          <w:color w:val="1A2422"/>
          <w:sz w:val="21"/>
        </w:rPr>
        <w:t xml:space="preserve">Sin Entity Framework</w:t>
      </w:r>
      <w:r>
        <w:rPr>
          <w:color w:val="1A2422"/>
          <w:sz w:val="21"/>
        </w:rPr>
        <w:t xml:space="preserve">, como exige el reto: stored procedures para escribir y Dapper con SQL explícito para leer.</w:t>
      </w:r>
    </w:p>
    <w:sectPr>
      <w:headerReference w:type="default" r:id="rIdHdr"/>
      <w:footerReference w:type="default" r:id="rIdFtr"/>
      <w:titlePg/>
      <w:pgSz w:w="12240" w:h="15840"/>
      <w:pgMar w:top="1418" w:right="1440" w:bottom="1418" w:left="1440" w:header="709" w:footer="709" w:gutter="0"/>
      <w:cols w:space="708"/>
    </w:sectPr>
  </w:body>
</w:document>
</file>

<file path=word/footer1.xml><?xml version="1.0" encoding="utf-8"?>
<w:ftr xmlns:w="http://schemas.openxmlformats.org/wordprocessingml/2006/main">
  <w:p>
    <w:pPr>
      <w:pStyle w:val="Pie"/>
      <w:tabs>
        <w:tab w:val="center" w:pos="4680"/>
        <w:tab w:val="right" w:pos="9360"/>
      </w:tabs>
      <w:pBdr>
        <w:top w:val="single" w:sz="4" w:color="C3D2CE"/>
      </w:pBdr>
    </w:pPr>
    <w:r>
      <w:t xml:space="preserve">Edson . Mariel . Rene</w:t>
    </w:r>
    <w:r>
      <w:tab/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  <w:t>03/09/2026</w:t>
    </w:r>
  </w:p>
</w:ftr>
</file>

<file path=word/header1.xml><?xml version="1.0" encoding="utf-8"?>
<w:hdr xmlns:w="http://schemas.openxmlformats.org/wordprocessingml/2006/main">
  <w:p>
    <w:pPr>
      <w:pStyle w:val="Encabezado"/>
      <w:tabs>
        <w:tab w:val="right" w:pos="9360"/>
      </w:tabs>
      <w:pBdr>
        <w:bottom w:val="single" w:sz="4" w:color="C3D2CE"/>
      </w:pBdr>
    </w:pPr>
    <w:r>
      <w:t xml:space="preserve">YastaCoin - QR Bolivia — Documento Tecnico</w:t>
    </w:r>
    <w:r>
      <w:tab/>
      <w:t>v1.0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20"/>
      </w:pPr>
      <w:rPr>
        <w:rFonts w:ascii="Symbol" w:hAnsi="Symbol" w:hint="default"/>
        <w:color w:val="0C5C5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A2422"/>
        <w:sz w:val="21"/>
        <w:szCs w:val="21"/>
        <w:lang w:val="es-BO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Portada">
    <w:name w:val="Portada"/>
    <w:basedOn w:val="Normal"/>
    <w:pPr>
      <w:spacing w:before="0" w:after="60" w:line="240" w:lineRule="auto"/>
    </w:pPr>
    <w:rPr>
      <w:rFonts w:ascii="Calibri Light" w:hAnsi="Calibri Light"/>
      <w:b/>
      <w:color w:val="1A2422"/>
      <w:sz w:val="64"/>
    </w:rPr>
  </w:style>
  <w:style w:type="paragraph" w:styleId="PortadaSub">
    <w:name w:val="PortadaSub"/>
    <w:basedOn w:val="Normal"/>
    <w:pPr>
      <w:spacing w:before="0" w:after="0" w:line="264" w:lineRule="auto"/>
      <w:ind w:right="2200"/>
    </w:pPr>
    <w:rPr>
      <w:color w:val="5C6B67"/>
      <w:sz w:val="26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420" w:after="160"/>
      <w:pBdr>
        <w:bottom w:val="single" w:sz="8" w:color="0C5C52"/>
      </w:pBdr>
    </w:pPr>
    <w:rPr>
      <w:rFonts w:ascii="Calibri Light" w:hAnsi="Calibri Light"/>
      <w:b/>
      <w:color w:val="0C5C52"/>
      <w:sz w:val="3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00" w:after="120"/>
    </w:pPr>
    <w:rPr>
      <w:b/>
      <w:color w:val="0A423B"/>
      <w:sz w:val="26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90"/>
    </w:pPr>
    <w:rPr>
      <w:b/>
      <w:color w:val="1A2422"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80"/>
    </w:pPr>
    <w:rPr>
      <w:b/>
      <w:i/>
      <w:color w:val="5C6B67"/>
      <w:sz w:val="21"/>
    </w:rPr>
  </w:style>
  <w:style w:type="paragraph" w:styleId="Codigo">
    <w:name w:val="Codigo"/>
    <w:basedOn w:val="Normal"/>
    <w:pPr>
      <w:spacing w:after="0" w:line="240" w:lineRule="auto"/>
      <w:ind w:left="120"/>
      <w:shd w:val="clear" w:color="auto" w:fill="F2F5F4"/>
    </w:pPr>
    <w:rPr>
      <w:rFonts w:ascii="Consolas" w:hAnsi="Consolas"/>
      <w:color w:val="1A2422"/>
      <w:sz w:val="17"/>
    </w:rPr>
  </w:style>
  <w:style w:type="paragraph" w:styleId="Celda">
    <w:name w:val="Celda"/>
    <w:basedOn w:val="Normal"/>
    <w:pPr>
      <w:spacing w:before="20" w:after="20" w:line="252" w:lineRule="auto"/>
    </w:pPr>
    <w:rPr>
      <w:sz w:val="18"/>
    </w:rPr>
  </w:style>
  <w:style w:type="paragraph" w:styleId="CeldaTitulo">
    <w:name w:val="CeldaTitulo"/>
    <w:basedOn w:val="Celda"/>
    <w:rPr>
      <w:b/>
      <w:color w:val="0A423B"/>
      <w:sz w:val="18"/>
    </w:rPr>
  </w:style>
  <w:style w:type="paragraph" w:styleId="Vineta">
    <w:name w:val="Vineta"/>
    <w:basedOn w:val="Normal"/>
    <w:pPr>
      <w:spacing w:after="60"/>
      <w:ind w:left="360" w:hanging="220"/>
    </w:pPr>
  </w:style>
  <w:style w:type="paragraph" w:styleId="Nota">
    <w:name w:val="Nota"/>
    <w:basedOn w:val="Normal"/>
    <w:rPr>
      <w:sz w:val="19"/>
      <w:color w:val="4A3A14"/>
    </w:rPr>
  </w:style>
  <w:style w:type="paragraph" w:styleId="Encabezado">
    <w:name w:val="header"/>
    <w:basedOn w:val="Normal"/>
    <w:pPr>
      <w:spacing w:after="0"/>
    </w:pPr>
    <w:rPr>
      <w:color w:val="5C6B67"/>
      <w:sz w:val="16"/>
    </w:rPr>
  </w:style>
  <w:style w:type="paragraph" w:styleId="Pie">
    <w:name w:val="footer"/>
    <w:basedOn w:val="Normal"/>
    <w:pPr>
      <w:spacing w:after="0"/>
    </w:pPr>
    <w:rPr>
      <w:color w:val="5C6B67"/>
      <w:sz w:val="16"/>
    </w:rPr>
  </w:style>
  <w:style w:type="paragraph" w:styleId="TOC1">
    <w:name w:val="toc 1"/>
    <w:basedOn w:val="Normal"/>
    <w:pPr>
      <w:spacing w:before="120" w:after="0"/>
      <w:tabs>
        <w:tab w:val="right" w:leader="dot" w:pos="9360"/>
      </w:tabs>
    </w:pPr>
    <w:rPr>
      <w:b/>
      <w:color w:val="0A423B"/>
      <w:sz w:val="20"/>
    </w:rPr>
  </w:style>
  <w:style w:type="paragraph" w:styleId="TOC2">
    <w:name w:val="toc 2"/>
    <w:basedOn w:val="Normal"/>
    <w:pPr>
      <w:spacing w:after="0"/>
      <w:ind w:left="240"/>
      <w:tabs>
        <w:tab w:val="right" w:leader="dot" w:pos="9360"/>
      </w:tabs>
    </w:pPr>
    <w:rPr>
      <w:sz w:val="19"/>
    </w:rPr>
  </w:style>
  <w:style w:type="paragraph" w:styleId="TOC3">
    <w:name w:val="toc 3"/>
    <w:basedOn w:val="Normal"/>
    <w:pPr>
      <w:spacing w:after="0"/>
      <w:ind w:left="480"/>
      <w:tabs>
        <w:tab w:val="right" w:leader="dot" w:pos="9360"/>
      </w:tabs>
    </w:pPr>
    <w:rPr>
      <w:color w:val="5C6B67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Sty" Type="http://schemas.openxmlformats.org/officeDocument/2006/relationships/styles" Target="styles.xml"/>
  <Relationship Id="rIdNum" Type="http://schemas.openxmlformats.org/officeDocument/2006/relationships/numbering" Target="numbering.xml"/>
  <Relationship Id="rIdSet" Type="http://schemas.openxmlformats.org/officeDocument/2006/relationships/settings" Target="settings.xml"/>
  <Relationship Id="rIdHdr" Type="http://schemas.openxmlformats.org/officeDocument/2006/relationships/header" Target="header1.xml"/>
  <Relationship Id="rIdFt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YastaCoin DocGen</Application>
  <Company>Edson . Mariel . Rene</Company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Tecnico</dc:title>
  <dc:subject>Arquitectura, modelo de datos y las decisiones de diseno que sostienen la consistencia del saldo, la idempotencia y el control de concurrencia.</dc:subject>
  <dc:creator>Edson</dc:creator>
  <cp:lastModifiedBy>Edson</cp:lastModifiedBy>
  <cp:revision>1.0</cp:revision>
  <cp:category>YastaCoin - QR Bolivia</cp:category>
  <cp:contentStatus>Aprobado para entrega</cp:contentStatus>
  <dcterms:created xsi:type="dcterms:W3CDTF">2026-09-03T00:00:00Z</dcterms:created>
  <dcterms:modified xsi:type="dcterms:W3CDTF">2026-09-03T00:00:00Z</dcterms:modified>
</cp:coreProperties>
</file>