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0FCAA0" w14:textId="77777777" w:rsidR="003A47D2" w:rsidRPr="00046211" w:rsidRDefault="003A47D2" w:rsidP="004F40AC">
      <w:pPr>
        <w:pStyle w:val="Title"/>
      </w:pPr>
      <w:r w:rsidRPr="00046211">
        <w:t>Part I — Foundations and Platform Strategy</w:t>
      </w:r>
    </w:p>
    <w:p w14:paraId="739EDBE4" w14:textId="3362B142" w:rsidR="004F40AC" w:rsidRDefault="004F40AC"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4F40AC">
        <w:rPr>
          <w:rFonts w:ascii="Times New Roman" w:eastAsia="Times New Roman" w:hAnsi="Times New Roman" w:cs="Times New Roman"/>
          <w:b/>
          <w:bCs/>
          <w:kern w:val="36"/>
          <w:sz w:val="52"/>
          <w:szCs w:val="48"/>
        </w:rPr>
        <w:t>Chapter 1. Scope, Evidence, and Technology Landscape</w:t>
      </w:r>
    </w:p>
    <w:p w14:paraId="16DD29AE" w14:textId="592B77C6"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 What Is AI Platform Engineering?</w:t>
      </w:r>
    </w:p>
    <w:p w14:paraId="3D94AB9D"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Artificial intelligence has become an increasingly important component of modern software systems, but the engineering challenges associated with deploying AI capabilities differ significan</w:t>
      </w:r>
      <w:bookmarkStart w:id="0" w:name="_GoBack"/>
      <w:bookmarkEnd w:id="0"/>
      <w:r w:rsidRPr="00046211">
        <w:rPr>
          <w:rFonts w:ascii="Times New Roman" w:eastAsia="Times New Roman" w:hAnsi="Times New Roman" w:cs="Times New Roman"/>
          <w:sz w:val="28"/>
          <w:szCs w:val="24"/>
        </w:rPr>
        <w:t>tly from those of developing machine learning models. In many organizations, the primary technical challenge is no longer designing neural network architectures or training foundation models. Instead, engineering effort is concentrated on integrating, operating, securing, scaling, and governing AI capabilities within production software systems.</w:t>
      </w:r>
    </w:p>
    <w:p w14:paraId="0B8870B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This shift has given rise to what is increasingly referred to as </w:t>
      </w:r>
      <w:r w:rsidRPr="00046211">
        <w:rPr>
          <w:rFonts w:ascii="Times New Roman" w:eastAsia="Times New Roman" w:hAnsi="Times New Roman" w:cs="Times New Roman"/>
          <w:b/>
          <w:bCs/>
          <w:sz w:val="28"/>
          <w:szCs w:val="24"/>
        </w:rPr>
        <w:t>AI Platform Engineering</w:t>
      </w:r>
      <w:r w:rsidRPr="00046211">
        <w:rPr>
          <w:rFonts w:ascii="Times New Roman" w:eastAsia="Times New Roman" w:hAnsi="Times New Roman" w:cs="Times New Roman"/>
          <w:sz w:val="28"/>
          <w:szCs w:val="24"/>
        </w:rPr>
        <w:t xml:space="preserve">. Although the term does not yet have a universally accepted formal definition, industry practice has converged on a common interpretation. AI Platform Engineering concerns the design, implementation, and operation of the infrastructure, services, workflows, and governance mechanisms that enable multiple AI-powered applications to be developed and operated consistently at production scale. Recent developments in the cloud-native ecosystem—including the formation of dedicated Kubernetes working groups for AI networking and inference infrastructure—illustrate that the industry increasingly recognizes AI infrastructure as a </w:t>
      </w:r>
      <w:proofErr w:type="gramStart"/>
      <w:r w:rsidRPr="00046211">
        <w:rPr>
          <w:rFonts w:ascii="Times New Roman" w:eastAsia="Times New Roman" w:hAnsi="Times New Roman" w:cs="Times New Roman"/>
          <w:sz w:val="28"/>
          <w:szCs w:val="24"/>
        </w:rPr>
        <w:t>distinct systems</w:t>
      </w:r>
      <w:proofErr w:type="gramEnd"/>
      <w:r w:rsidRPr="00046211">
        <w:rPr>
          <w:rFonts w:ascii="Times New Roman" w:eastAsia="Times New Roman" w:hAnsi="Times New Roman" w:cs="Times New Roman"/>
          <w:sz w:val="28"/>
          <w:szCs w:val="24"/>
        </w:rPr>
        <w:t xml:space="preserve"> engineering domain rather than merely another application workload. </w:t>
      </w:r>
    </w:p>
    <w:p w14:paraId="0C59E02D"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Unlike traditional machine learning platforms, which were primarily optimized around data preparation, model training, and experiment management, modern AI platforms are predominantly inference-oriented. Most organizations consume pre-trained foundation models through commercial APIs or deploy open-weight models internally, shifting engineering priorities toward inference latency, routing, reliability, security, governance, cost management, and operational lifecycle management.</w:t>
      </w:r>
    </w:p>
    <w:p w14:paraId="6EF9C5D5"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Consequently, AI Platform Engineering should be viewed as an evolution of several established engineering disciplines rather than as an entirely new field.</w:t>
      </w:r>
    </w:p>
    <w:p w14:paraId="7F27720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lastRenderedPageBreak/>
        <w:t>Table 1-1. Relationship Between Engineering Disciplines and AI Platform Engineering</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2232"/>
        <w:gridCol w:w="2148"/>
        <w:gridCol w:w="3419"/>
      </w:tblGrid>
      <w:tr w:rsidR="00D80B45" w:rsidRPr="00BB10E7" w14:paraId="46EE9BD2" w14:textId="77777777" w:rsidTr="00BB10E7">
        <w:trPr>
          <w:tblHeader/>
          <w:tblCellSpacing w:w="15" w:type="dxa"/>
        </w:trPr>
        <w:tc>
          <w:tcPr>
            <w:tcW w:w="0" w:type="auto"/>
            <w:vAlign w:val="center"/>
            <w:hideMark/>
          </w:tcPr>
          <w:p w14:paraId="274DE430"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Discipline</w:t>
            </w:r>
          </w:p>
        </w:tc>
        <w:tc>
          <w:tcPr>
            <w:tcW w:w="0" w:type="auto"/>
            <w:vAlign w:val="center"/>
            <w:hideMark/>
          </w:tcPr>
          <w:p w14:paraId="7237CC18"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Primary Responsibility</w:t>
            </w:r>
          </w:p>
        </w:tc>
        <w:tc>
          <w:tcPr>
            <w:tcW w:w="0" w:type="auto"/>
            <w:vAlign w:val="center"/>
            <w:hideMark/>
          </w:tcPr>
          <w:p w14:paraId="619D9992"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Typical Deliverables</w:t>
            </w:r>
          </w:p>
        </w:tc>
        <w:tc>
          <w:tcPr>
            <w:tcW w:w="0" w:type="auto"/>
            <w:vAlign w:val="center"/>
            <w:hideMark/>
          </w:tcPr>
          <w:p w14:paraId="761962C2"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Relationship to AI Platform Engineering</w:t>
            </w:r>
          </w:p>
        </w:tc>
      </w:tr>
      <w:tr w:rsidR="00D80B45" w:rsidRPr="00BB10E7" w14:paraId="46C67AE1" w14:textId="77777777" w:rsidTr="00BB10E7">
        <w:trPr>
          <w:tblCellSpacing w:w="15" w:type="dxa"/>
        </w:trPr>
        <w:tc>
          <w:tcPr>
            <w:tcW w:w="0" w:type="auto"/>
            <w:vAlign w:val="center"/>
            <w:hideMark/>
          </w:tcPr>
          <w:p w14:paraId="4ADC9E2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Software Engineering</w:t>
            </w:r>
          </w:p>
        </w:tc>
        <w:tc>
          <w:tcPr>
            <w:tcW w:w="0" w:type="auto"/>
            <w:vAlign w:val="center"/>
            <w:hideMark/>
          </w:tcPr>
          <w:p w14:paraId="0CAB45D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Designing and implementing applications and services</w:t>
            </w:r>
          </w:p>
        </w:tc>
        <w:tc>
          <w:tcPr>
            <w:tcW w:w="0" w:type="auto"/>
            <w:vAlign w:val="center"/>
            <w:hideMark/>
          </w:tcPr>
          <w:p w14:paraId="21A2E129"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Application code, APIs, business logic</w:t>
            </w:r>
          </w:p>
        </w:tc>
        <w:tc>
          <w:tcPr>
            <w:tcW w:w="0" w:type="auto"/>
            <w:vAlign w:val="center"/>
            <w:hideMark/>
          </w:tcPr>
          <w:p w14:paraId="00A4A12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expose capabilities consumed by software applications but do not replace conventional software engineering practices.</w:t>
            </w:r>
          </w:p>
        </w:tc>
      </w:tr>
      <w:tr w:rsidR="00D80B45" w:rsidRPr="00BB10E7" w14:paraId="37F395CC" w14:textId="77777777" w:rsidTr="00BB10E7">
        <w:trPr>
          <w:tblCellSpacing w:w="15" w:type="dxa"/>
        </w:trPr>
        <w:tc>
          <w:tcPr>
            <w:tcW w:w="0" w:type="auto"/>
            <w:vAlign w:val="center"/>
            <w:hideMark/>
          </w:tcPr>
          <w:p w14:paraId="4764E84C"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Platform Engineering</w:t>
            </w:r>
          </w:p>
        </w:tc>
        <w:tc>
          <w:tcPr>
            <w:tcW w:w="0" w:type="auto"/>
            <w:vAlign w:val="center"/>
            <w:hideMark/>
          </w:tcPr>
          <w:p w14:paraId="053099C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Building reusable internal developer platforms</w:t>
            </w:r>
          </w:p>
        </w:tc>
        <w:tc>
          <w:tcPr>
            <w:tcW w:w="0" w:type="auto"/>
            <w:vAlign w:val="center"/>
            <w:hideMark/>
          </w:tcPr>
          <w:p w14:paraId="34875B6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Shared infrastructure, deployment platforms, self-service tooling</w:t>
            </w:r>
          </w:p>
        </w:tc>
        <w:tc>
          <w:tcPr>
            <w:tcW w:w="0" w:type="auto"/>
            <w:vAlign w:val="center"/>
            <w:hideMark/>
          </w:tcPr>
          <w:p w14:paraId="47CA5389"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extend platform engineering concepts by providing standardized AI services, model access, governance, and operational tooling.</w:t>
            </w:r>
          </w:p>
        </w:tc>
      </w:tr>
      <w:tr w:rsidR="00D80B45" w:rsidRPr="00BB10E7" w14:paraId="3E79FCF6" w14:textId="77777777" w:rsidTr="00BB10E7">
        <w:trPr>
          <w:tblCellSpacing w:w="15" w:type="dxa"/>
        </w:trPr>
        <w:tc>
          <w:tcPr>
            <w:tcW w:w="0" w:type="auto"/>
            <w:vAlign w:val="center"/>
            <w:hideMark/>
          </w:tcPr>
          <w:p w14:paraId="16C6839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Cloud Engineering</w:t>
            </w:r>
          </w:p>
        </w:tc>
        <w:tc>
          <w:tcPr>
            <w:tcW w:w="0" w:type="auto"/>
            <w:vAlign w:val="center"/>
            <w:hideMark/>
          </w:tcPr>
          <w:p w14:paraId="58B2C81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Provisioning and operating cloud infrastructure</w:t>
            </w:r>
          </w:p>
        </w:tc>
        <w:tc>
          <w:tcPr>
            <w:tcW w:w="0" w:type="auto"/>
            <w:vAlign w:val="center"/>
            <w:hideMark/>
          </w:tcPr>
          <w:p w14:paraId="5DB3EA5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Compute, networking, storage, Kubernetes clusters</w:t>
            </w:r>
          </w:p>
        </w:tc>
        <w:tc>
          <w:tcPr>
            <w:tcW w:w="0" w:type="auto"/>
            <w:vAlign w:val="center"/>
            <w:hideMark/>
          </w:tcPr>
          <w:p w14:paraId="5A31AB0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depend heavily on cloud infrastructure but introduce additional concerns such as accelerator management and inference routing.</w:t>
            </w:r>
          </w:p>
        </w:tc>
      </w:tr>
      <w:tr w:rsidR="00D80B45" w:rsidRPr="00BB10E7" w14:paraId="0E2277C7" w14:textId="77777777" w:rsidTr="00BB10E7">
        <w:trPr>
          <w:tblCellSpacing w:w="15" w:type="dxa"/>
        </w:trPr>
        <w:tc>
          <w:tcPr>
            <w:tcW w:w="0" w:type="auto"/>
            <w:vAlign w:val="center"/>
            <w:hideMark/>
          </w:tcPr>
          <w:p w14:paraId="68EA3AA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Site Reliability Engineering (SRE)</w:t>
            </w:r>
          </w:p>
        </w:tc>
        <w:tc>
          <w:tcPr>
            <w:tcW w:w="0" w:type="auto"/>
            <w:vAlign w:val="center"/>
            <w:hideMark/>
          </w:tcPr>
          <w:p w14:paraId="7CD968A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Reliability, scalability, incident response, service-level objectives</w:t>
            </w:r>
          </w:p>
        </w:tc>
        <w:tc>
          <w:tcPr>
            <w:tcW w:w="0" w:type="auto"/>
            <w:vAlign w:val="center"/>
            <w:hideMark/>
          </w:tcPr>
          <w:p w14:paraId="3B914AF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Monitoring systems, reliability automation, operational procedures</w:t>
            </w:r>
          </w:p>
        </w:tc>
        <w:tc>
          <w:tcPr>
            <w:tcW w:w="0" w:type="auto"/>
            <w:vAlign w:val="center"/>
            <w:hideMark/>
          </w:tcPr>
          <w:p w14:paraId="4FF53C9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services inherit distributed systems reliability requirements while introducing AI-specific operational metrics such as token throughput and inference latency.</w:t>
            </w:r>
          </w:p>
        </w:tc>
      </w:tr>
      <w:tr w:rsidR="00D80B45" w:rsidRPr="00BB10E7" w14:paraId="1BA34FAA" w14:textId="77777777" w:rsidTr="00BB10E7">
        <w:trPr>
          <w:tblCellSpacing w:w="15" w:type="dxa"/>
        </w:trPr>
        <w:tc>
          <w:tcPr>
            <w:tcW w:w="0" w:type="auto"/>
            <w:vAlign w:val="center"/>
            <w:hideMark/>
          </w:tcPr>
          <w:p w14:paraId="5B59B7A0" w14:textId="77777777" w:rsidR="00D80B45" w:rsidRPr="00BB10E7" w:rsidRDefault="00D80B45" w:rsidP="00D80B45">
            <w:pPr>
              <w:spacing w:after="0" w:line="240" w:lineRule="auto"/>
              <w:rPr>
                <w:rFonts w:ascii="Times New Roman" w:eastAsia="Times New Roman" w:hAnsi="Times New Roman" w:cs="Times New Roman"/>
                <w:sz w:val="24"/>
              </w:rPr>
            </w:pPr>
            <w:proofErr w:type="spellStart"/>
            <w:r w:rsidRPr="00BB10E7">
              <w:rPr>
                <w:rFonts w:ascii="Times New Roman" w:eastAsia="Times New Roman" w:hAnsi="Times New Roman" w:cs="Times New Roman"/>
                <w:sz w:val="24"/>
              </w:rPr>
              <w:t>DevSecOps</w:t>
            </w:r>
            <w:proofErr w:type="spellEnd"/>
          </w:p>
        </w:tc>
        <w:tc>
          <w:tcPr>
            <w:tcW w:w="0" w:type="auto"/>
            <w:vAlign w:val="center"/>
            <w:hideMark/>
          </w:tcPr>
          <w:p w14:paraId="1BE6670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Secure software delivery and operational automation</w:t>
            </w:r>
          </w:p>
        </w:tc>
        <w:tc>
          <w:tcPr>
            <w:tcW w:w="0" w:type="auto"/>
            <w:vAlign w:val="center"/>
            <w:hideMark/>
          </w:tcPr>
          <w:p w14:paraId="710AE1E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CI/CD pipelines, security automation, policy enforcement</w:t>
            </w:r>
          </w:p>
        </w:tc>
        <w:tc>
          <w:tcPr>
            <w:tcW w:w="0" w:type="auto"/>
            <w:vAlign w:val="center"/>
            <w:hideMark/>
          </w:tcPr>
          <w:p w14:paraId="4988AEB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 xml:space="preserve">AI platforms extend </w:t>
            </w:r>
            <w:proofErr w:type="spellStart"/>
            <w:r w:rsidRPr="00BB10E7">
              <w:rPr>
                <w:rFonts w:ascii="Times New Roman" w:eastAsia="Times New Roman" w:hAnsi="Times New Roman" w:cs="Times New Roman"/>
                <w:sz w:val="24"/>
              </w:rPr>
              <w:t>DevSecOps</w:t>
            </w:r>
            <w:proofErr w:type="spellEnd"/>
            <w:r w:rsidRPr="00BB10E7">
              <w:rPr>
                <w:rFonts w:ascii="Times New Roman" w:eastAsia="Times New Roman" w:hAnsi="Times New Roman" w:cs="Times New Roman"/>
                <w:sz w:val="24"/>
              </w:rPr>
              <w:t xml:space="preserve"> to include model governance, prompt security, supply-chain integrity, and AI policy enforcement.</w:t>
            </w:r>
          </w:p>
        </w:tc>
      </w:tr>
      <w:tr w:rsidR="00D80B45" w:rsidRPr="00BB10E7" w14:paraId="46AA80AE" w14:textId="77777777" w:rsidTr="00BB10E7">
        <w:trPr>
          <w:tblCellSpacing w:w="15" w:type="dxa"/>
        </w:trPr>
        <w:tc>
          <w:tcPr>
            <w:tcW w:w="0" w:type="auto"/>
            <w:vAlign w:val="center"/>
            <w:hideMark/>
          </w:tcPr>
          <w:p w14:paraId="6333F48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 Engineering</w:t>
            </w:r>
          </w:p>
        </w:tc>
        <w:tc>
          <w:tcPr>
            <w:tcW w:w="0" w:type="auto"/>
            <w:vAlign w:val="center"/>
            <w:hideMark/>
          </w:tcPr>
          <w:p w14:paraId="5B392C6C"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 ingestion, transformation, storage, and quality</w:t>
            </w:r>
          </w:p>
        </w:tc>
        <w:tc>
          <w:tcPr>
            <w:tcW w:w="0" w:type="auto"/>
            <w:vAlign w:val="center"/>
            <w:hideMark/>
          </w:tcPr>
          <w:p w14:paraId="3B6A005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 pipelines, warehouses, streaming systems</w:t>
            </w:r>
          </w:p>
        </w:tc>
        <w:tc>
          <w:tcPr>
            <w:tcW w:w="0" w:type="auto"/>
            <w:vAlign w:val="center"/>
            <w:hideMark/>
          </w:tcPr>
          <w:p w14:paraId="6C9C63B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frequently consume data engineering outputs for retrieval, grounding, and evaluation pipelines.</w:t>
            </w:r>
          </w:p>
        </w:tc>
      </w:tr>
      <w:tr w:rsidR="00D80B45" w:rsidRPr="00BB10E7" w14:paraId="1A19958D" w14:textId="77777777" w:rsidTr="00BB10E7">
        <w:trPr>
          <w:tblCellSpacing w:w="15" w:type="dxa"/>
        </w:trPr>
        <w:tc>
          <w:tcPr>
            <w:tcW w:w="0" w:type="auto"/>
            <w:vAlign w:val="center"/>
            <w:hideMark/>
          </w:tcPr>
          <w:p w14:paraId="1617705A" w14:textId="77777777" w:rsidR="00D80B45" w:rsidRPr="00BB10E7" w:rsidRDefault="00D80B45" w:rsidP="00D80B45">
            <w:pPr>
              <w:spacing w:after="0" w:line="240" w:lineRule="auto"/>
              <w:rPr>
                <w:rFonts w:ascii="Times New Roman" w:eastAsia="Times New Roman" w:hAnsi="Times New Roman" w:cs="Times New Roman"/>
                <w:sz w:val="24"/>
              </w:rPr>
            </w:pPr>
            <w:proofErr w:type="spellStart"/>
            <w:r w:rsidRPr="00BB10E7">
              <w:rPr>
                <w:rFonts w:ascii="Times New Roman" w:eastAsia="Times New Roman" w:hAnsi="Times New Roman" w:cs="Times New Roman"/>
                <w:sz w:val="24"/>
              </w:rPr>
              <w:t>MLOps</w:t>
            </w:r>
            <w:proofErr w:type="spellEnd"/>
          </w:p>
        </w:tc>
        <w:tc>
          <w:tcPr>
            <w:tcW w:w="0" w:type="auto"/>
            <w:vAlign w:val="center"/>
            <w:hideMark/>
          </w:tcPr>
          <w:p w14:paraId="1C3DD7B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Model development lifecycle and training operations</w:t>
            </w:r>
          </w:p>
        </w:tc>
        <w:tc>
          <w:tcPr>
            <w:tcW w:w="0" w:type="auto"/>
            <w:vAlign w:val="center"/>
            <w:hideMark/>
          </w:tcPr>
          <w:p w14:paraId="0B88F84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Training pipelines, experiment tracking, model registries</w:t>
            </w:r>
          </w:p>
        </w:tc>
        <w:tc>
          <w:tcPr>
            <w:tcW w:w="0" w:type="auto"/>
            <w:vAlign w:val="center"/>
            <w:hideMark/>
          </w:tcPr>
          <w:p w14:paraId="20A94DC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 xml:space="preserve">AI Platform Engineering incorporates </w:t>
            </w:r>
            <w:proofErr w:type="spellStart"/>
            <w:r w:rsidRPr="00BB10E7">
              <w:rPr>
                <w:rFonts w:ascii="Times New Roman" w:eastAsia="Times New Roman" w:hAnsi="Times New Roman" w:cs="Times New Roman"/>
                <w:sz w:val="24"/>
              </w:rPr>
              <w:t>MLOps</w:t>
            </w:r>
            <w:proofErr w:type="spellEnd"/>
            <w:r w:rsidRPr="00BB10E7">
              <w:rPr>
                <w:rFonts w:ascii="Times New Roman" w:eastAsia="Times New Roman" w:hAnsi="Times New Roman" w:cs="Times New Roman"/>
                <w:sz w:val="24"/>
              </w:rPr>
              <w:t xml:space="preserve"> where organizations train models, but increasingly emphasizes inference operations over training workflows.</w:t>
            </w:r>
          </w:p>
        </w:tc>
      </w:tr>
    </w:tbl>
    <w:p w14:paraId="628AF5E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One characteristic distinguishes AI Platform Engineering from most previous infrastructure domains: the underlying model often belongs to another </w:t>
      </w:r>
      <w:r w:rsidRPr="00046211">
        <w:rPr>
          <w:rFonts w:ascii="Times New Roman" w:eastAsia="Times New Roman" w:hAnsi="Times New Roman" w:cs="Times New Roman"/>
          <w:sz w:val="28"/>
          <w:szCs w:val="24"/>
        </w:rPr>
        <w:lastRenderedPageBreak/>
        <w:t>organization. Production systems routinely invoke commercial APIs, deploy community-developed open-weight models, or combine multiple providers within a single application. Consequently, engineering teams must design platforms capable of accommodating rapidly changing models without requiring equivalent changes to surrounding business systems.</w:t>
      </w:r>
    </w:p>
    <w:p w14:paraId="08094551"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architectural decoupling has important consequences. Stable interfaces, abstraction layers, traffic management, evaluation pipelines, observability, and governance become more valuable than deep coupling to any single model provider. Throughout this book, the emphasis therefore remains on architectural principles that survive changes in individual models and vendors.</w:t>
      </w:r>
    </w:p>
    <w:p w14:paraId="66B4DB16"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Another defining characteristic is the unusually rapid pace of ecosystem evolution. Foundation models, inference engines, orchestration frameworks, and agent runtimes evolve on timescales measured in months rather than years. By contrast, the underlying architectural principles—distributed systems, API design, authentication, fault tolerance, observability, deployment automation, and operational governance—change much more slowly. This distinction is central to the philosophy of this book: durable engineering principles should guide technology selection rather than temporary market leadership or benchmark rankings.</w:t>
      </w:r>
    </w:p>
    <w:p w14:paraId="4345D0B4" w14:textId="77777777" w:rsidR="00D80B45" w:rsidRPr="00046211" w:rsidRDefault="004F40AC" w:rsidP="00D80B4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710AF963">
          <v:rect id="_x0000_i1025" style="width:0;height:1.5pt" o:hralign="center" o:hrstd="t" o:hr="t" fillcolor="#a0a0a0" stroked="f"/>
        </w:pict>
      </w:r>
    </w:p>
    <w:p w14:paraId="686470F0"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1.2 From Machine Learning Platforms to AI Platforms</w:t>
      </w:r>
    </w:p>
    <w:p w14:paraId="704DA870"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Understanding AI Platform Engineering requires understanding how production AI infrastructure evolved.</w:t>
      </w:r>
    </w:p>
    <w:p w14:paraId="6E43B730"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first generation of enterprise machine learning platforms emerged during the widespread adoption of deep learning in the early 2010s. These platforms primarily supported supervised learning workflows: collecting datasets, training models, evaluating accuracy, deploying prediction services, and periodically retraining models as new data became available. The dominant engineering problems centered on data pipelines, feature engineering, experiment tracking, and GPU utilization during training.</w:t>
      </w:r>
    </w:p>
    <w:p w14:paraId="36D798D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The publication of the Transformer architecture in 2017 fundamentally altered this trajectory by demonstrating a highly scalable architecture for sequence modeling. Subsequent scaling of transformer-based language models culminated in the emergence of foundation models capable of performing a wide range of downstream tasks without task-specific retraining. As these models grew larger, organizations increasingly shifted from training their own models to consuming externally developed foundation models through APIs or deploying open-weight models optimized for inference.</w:t>
      </w:r>
    </w:p>
    <w:p w14:paraId="0810037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transition changed the economics of AI engineering.</w:t>
      </w:r>
    </w:p>
    <w:p w14:paraId="6961DA5F"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Instead of investing primarily in training infrastructure, organizations began investing in inference infrastructure. The engineering focus shifted from maximizing training throughput to optimizing latency, throughput, availability, routing, caching, governance, and operational efficiency. AI infrastructure increasingly resembled large-scale distributed systems rather than research computing environments.</w:t>
      </w:r>
    </w:p>
    <w:p w14:paraId="6A036F2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evolution can be summarized as a progression of architectural priorities rather than merely advances in model capability.</w:t>
      </w:r>
    </w:p>
    <w:p w14:paraId="20CC7361"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1-2. Evolution from Machine Learning Platforms to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01"/>
        <w:gridCol w:w="1645"/>
        <w:gridCol w:w="3375"/>
        <w:gridCol w:w="3439"/>
      </w:tblGrid>
      <w:tr w:rsidR="00D80B45" w:rsidRPr="00BB10E7" w14:paraId="0BAFE8EB" w14:textId="77777777" w:rsidTr="00BB10E7">
        <w:trPr>
          <w:tblHeader/>
          <w:tblCellSpacing w:w="15" w:type="dxa"/>
        </w:trPr>
        <w:tc>
          <w:tcPr>
            <w:tcW w:w="0" w:type="auto"/>
            <w:vAlign w:val="center"/>
            <w:hideMark/>
          </w:tcPr>
          <w:p w14:paraId="5E7310E6"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Period</w:t>
            </w:r>
          </w:p>
        </w:tc>
        <w:tc>
          <w:tcPr>
            <w:tcW w:w="0" w:type="auto"/>
            <w:vAlign w:val="center"/>
            <w:hideMark/>
          </w:tcPr>
          <w:p w14:paraId="7F5C3E63"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Dominant Workloads</w:t>
            </w:r>
          </w:p>
        </w:tc>
        <w:tc>
          <w:tcPr>
            <w:tcW w:w="0" w:type="auto"/>
            <w:vAlign w:val="center"/>
            <w:hideMark/>
          </w:tcPr>
          <w:p w14:paraId="10D25F51"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Primary Engineering Focus</w:t>
            </w:r>
          </w:p>
        </w:tc>
        <w:tc>
          <w:tcPr>
            <w:tcW w:w="0" w:type="auto"/>
            <w:vAlign w:val="center"/>
            <w:hideMark/>
          </w:tcPr>
          <w:p w14:paraId="719F69EF"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Typical Platform Characteristics</w:t>
            </w:r>
          </w:p>
        </w:tc>
      </w:tr>
      <w:tr w:rsidR="00D80B45" w:rsidRPr="00BB10E7" w14:paraId="4656F4A4" w14:textId="77777777" w:rsidTr="00BB10E7">
        <w:trPr>
          <w:tblCellSpacing w:w="15" w:type="dxa"/>
        </w:trPr>
        <w:tc>
          <w:tcPr>
            <w:tcW w:w="0" w:type="auto"/>
            <w:vAlign w:val="center"/>
            <w:hideMark/>
          </w:tcPr>
          <w:p w14:paraId="768732D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2012–2017</w:t>
            </w:r>
          </w:p>
        </w:tc>
        <w:tc>
          <w:tcPr>
            <w:tcW w:w="0" w:type="auto"/>
            <w:vAlign w:val="center"/>
            <w:hideMark/>
          </w:tcPr>
          <w:p w14:paraId="3BB6808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Deep learning model training</w:t>
            </w:r>
          </w:p>
        </w:tc>
        <w:tc>
          <w:tcPr>
            <w:tcW w:w="0" w:type="auto"/>
            <w:vAlign w:val="center"/>
            <w:hideMark/>
          </w:tcPr>
          <w:p w14:paraId="636CAE6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Dataset management, experiment tracking, GPU training clusters</w:t>
            </w:r>
          </w:p>
        </w:tc>
        <w:tc>
          <w:tcPr>
            <w:tcW w:w="0" w:type="auto"/>
            <w:vAlign w:val="center"/>
            <w:hideMark/>
          </w:tcPr>
          <w:p w14:paraId="5B6B819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Internal ML platforms supporting supervised learning workflows</w:t>
            </w:r>
          </w:p>
        </w:tc>
      </w:tr>
      <w:tr w:rsidR="00D80B45" w:rsidRPr="00BB10E7" w14:paraId="0D8B1A39" w14:textId="77777777" w:rsidTr="00BB10E7">
        <w:trPr>
          <w:tblCellSpacing w:w="15" w:type="dxa"/>
        </w:trPr>
        <w:tc>
          <w:tcPr>
            <w:tcW w:w="0" w:type="auto"/>
            <w:vAlign w:val="center"/>
            <w:hideMark/>
          </w:tcPr>
          <w:p w14:paraId="10F4044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2018–2020</w:t>
            </w:r>
          </w:p>
        </w:tc>
        <w:tc>
          <w:tcPr>
            <w:tcW w:w="0" w:type="auto"/>
            <w:vAlign w:val="center"/>
            <w:hideMark/>
          </w:tcPr>
          <w:p w14:paraId="7C55FE2C"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Large Transformer models</w:t>
            </w:r>
          </w:p>
        </w:tc>
        <w:tc>
          <w:tcPr>
            <w:tcW w:w="0" w:type="auto"/>
            <w:vAlign w:val="center"/>
            <w:hideMark/>
          </w:tcPr>
          <w:p w14:paraId="0A04D60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Distributed training, hardware scaling, model optimization</w:t>
            </w:r>
          </w:p>
        </w:tc>
        <w:tc>
          <w:tcPr>
            <w:tcW w:w="0" w:type="auto"/>
            <w:vAlign w:val="center"/>
            <w:hideMark/>
          </w:tcPr>
          <w:p w14:paraId="7693575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Large research infrastructure with increasing compute requirements</w:t>
            </w:r>
          </w:p>
        </w:tc>
      </w:tr>
      <w:tr w:rsidR="00D80B45" w:rsidRPr="00BB10E7" w14:paraId="02A5C5C7" w14:textId="77777777" w:rsidTr="00BB10E7">
        <w:trPr>
          <w:tblCellSpacing w:w="15" w:type="dxa"/>
        </w:trPr>
        <w:tc>
          <w:tcPr>
            <w:tcW w:w="0" w:type="auto"/>
            <w:vAlign w:val="center"/>
            <w:hideMark/>
          </w:tcPr>
          <w:p w14:paraId="2C79C05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2020–2022</w:t>
            </w:r>
          </w:p>
        </w:tc>
        <w:tc>
          <w:tcPr>
            <w:tcW w:w="0" w:type="auto"/>
            <w:vAlign w:val="center"/>
            <w:hideMark/>
          </w:tcPr>
          <w:p w14:paraId="55D5B0D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Foundation models</w:t>
            </w:r>
          </w:p>
        </w:tc>
        <w:tc>
          <w:tcPr>
            <w:tcW w:w="0" w:type="auto"/>
            <w:vAlign w:val="center"/>
            <w:hideMark/>
          </w:tcPr>
          <w:p w14:paraId="01ECED2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API exposure, large-scale inference, model serving</w:t>
            </w:r>
          </w:p>
        </w:tc>
        <w:tc>
          <w:tcPr>
            <w:tcW w:w="0" w:type="auto"/>
            <w:vAlign w:val="center"/>
            <w:hideMark/>
          </w:tcPr>
          <w:p w14:paraId="7953105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Centralized model services consumed by multiple applications</w:t>
            </w:r>
          </w:p>
        </w:tc>
      </w:tr>
      <w:tr w:rsidR="00D80B45" w:rsidRPr="00BB10E7" w14:paraId="45320D07" w14:textId="77777777" w:rsidTr="00BB10E7">
        <w:trPr>
          <w:tblCellSpacing w:w="15" w:type="dxa"/>
        </w:trPr>
        <w:tc>
          <w:tcPr>
            <w:tcW w:w="0" w:type="auto"/>
            <w:vAlign w:val="center"/>
            <w:hideMark/>
          </w:tcPr>
          <w:p w14:paraId="2CA11F5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2023–2024</w:t>
            </w:r>
          </w:p>
        </w:tc>
        <w:tc>
          <w:tcPr>
            <w:tcW w:w="0" w:type="auto"/>
            <w:vAlign w:val="center"/>
            <w:hideMark/>
          </w:tcPr>
          <w:p w14:paraId="3C3B067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Enterprise LLM adoption</w:t>
            </w:r>
          </w:p>
        </w:tc>
        <w:tc>
          <w:tcPr>
            <w:tcW w:w="0" w:type="auto"/>
            <w:vAlign w:val="center"/>
            <w:hideMark/>
          </w:tcPr>
          <w:p w14:paraId="3F751D1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Retrieval, prompt engineering, governance, production reliability</w:t>
            </w:r>
          </w:p>
        </w:tc>
        <w:tc>
          <w:tcPr>
            <w:tcW w:w="0" w:type="auto"/>
            <w:vAlign w:val="center"/>
            <w:hideMark/>
          </w:tcPr>
          <w:p w14:paraId="0AE9C4D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services integrated into existing enterprise systems</w:t>
            </w:r>
          </w:p>
        </w:tc>
      </w:tr>
      <w:tr w:rsidR="00D80B45" w:rsidRPr="00BB10E7" w14:paraId="0532B855" w14:textId="77777777" w:rsidTr="00BB10E7">
        <w:trPr>
          <w:tblCellSpacing w:w="15" w:type="dxa"/>
        </w:trPr>
        <w:tc>
          <w:tcPr>
            <w:tcW w:w="0" w:type="auto"/>
            <w:vAlign w:val="center"/>
            <w:hideMark/>
          </w:tcPr>
          <w:p w14:paraId="2C2AAEF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2025–Present</w:t>
            </w:r>
          </w:p>
        </w:tc>
        <w:tc>
          <w:tcPr>
            <w:tcW w:w="0" w:type="auto"/>
            <w:vAlign w:val="center"/>
            <w:hideMark/>
          </w:tcPr>
          <w:p w14:paraId="7C87295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Agentic and multimodal systems</w:t>
            </w:r>
          </w:p>
        </w:tc>
        <w:tc>
          <w:tcPr>
            <w:tcW w:w="0" w:type="auto"/>
            <w:vAlign w:val="center"/>
            <w:hideMark/>
          </w:tcPr>
          <w:p w14:paraId="684B141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Platform interoperability, workflow orchestration, AI networking, policy enforcement, inference optimization</w:t>
            </w:r>
          </w:p>
        </w:tc>
        <w:tc>
          <w:tcPr>
            <w:tcW w:w="0" w:type="auto"/>
            <w:vAlign w:val="center"/>
            <w:hideMark/>
          </w:tcPr>
          <w:p w14:paraId="234E12C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operating as shared enterprise infrastructure supporting multiple applications and model providers</w:t>
            </w:r>
          </w:p>
        </w:tc>
      </w:tr>
    </w:tbl>
    <w:p w14:paraId="05D6412A"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Several technological developments accelerated this transition.</w:t>
      </w:r>
    </w:p>
    <w:p w14:paraId="078EA926"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Commercial providers demonstrated that organizations were willing to outsource foundation model development while maintaining ownership of application logic and enterprise data. Open-weight models simultaneously lowered barriers to self-hosted inference. Improvements in quantization, optimized inference engines, and specialized GPU scheduling made deploying increasingly capable models economically feasible for organizations that preferred greater control over latency, privacy, or regulatory compliance.</w:t>
      </w:r>
    </w:p>
    <w:p w14:paraId="06FBD5D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At the same time, cloud-native infrastructure began adapting specifically to AI inference workloads. Kubernetes, originally designed to orchestrate general-purpose containerized applications, has progressively incorporated AI-specific capabilities through collaborative efforts involving inference serving, accelerator scheduling, and standardized AI networking. The establishment of dedicated Kubernetes initiatives for inference infrastructure and AI gateways reflects recognition that generative AI introduces operational requirements not adequately addressed by traditional web application infrastructure. These include token-aware rate limiting, semantic request routing, prompt inspection, inference-aware traffic management, and AI-specific observability. </w:t>
      </w:r>
    </w:p>
    <w:p w14:paraId="0646A9EA"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evolution also altered organizational responsibilities. Data scientists remain responsible for model evaluation and experimentation where organizations develop their own models. However, platform teams increasingly manage model catalogs, API gateways, inference infrastructure, deployment pipelines, access policies, operational telemetry, and service reliability. The AI platform therefore becomes shared infrastructure analogous to databases, Kubernetes clusters, or API gateways rather than a collection of isolated machine learning projects.</w:t>
      </w:r>
    </w:p>
    <w:p w14:paraId="5FF13A91" w14:textId="77777777" w:rsidR="00D80B45" w:rsidRPr="00046211" w:rsidRDefault="004F40AC" w:rsidP="00D80B4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4D0E3344">
          <v:rect id="_x0000_i1026" style="width:0;height:1.5pt" o:hralign="center" o:hrstd="t" o:hr="t" fillcolor="#a0a0a0" stroked="f"/>
        </w:pict>
      </w:r>
    </w:p>
    <w:p w14:paraId="4460AE3C"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1.3 What Constitutes an AI Platform?</w:t>
      </w:r>
    </w:p>
    <w:p w14:paraId="4C08FA4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Despite frequent references to "AI platforms," the term is often used ambiguously. Some vendors apply it to individual model APIs, while others use it to describe orchestration frameworks, cloud services, or complete enterprise ecosystems. For the purposes of this book, an AI platform is defined more precisely.</w:t>
      </w:r>
    </w:p>
    <w:p w14:paraId="0F775942"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An </w:t>
      </w:r>
      <w:r w:rsidRPr="00046211">
        <w:rPr>
          <w:rFonts w:ascii="Times New Roman" w:eastAsia="Times New Roman" w:hAnsi="Times New Roman" w:cs="Times New Roman"/>
          <w:b/>
          <w:bCs/>
          <w:sz w:val="28"/>
          <w:szCs w:val="24"/>
        </w:rPr>
        <w:t>AI platform</w:t>
      </w:r>
      <w:r w:rsidRPr="00046211">
        <w:rPr>
          <w:rFonts w:ascii="Times New Roman" w:eastAsia="Times New Roman" w:hAnsi="Times New Roman" w:cs="Times New Roman"/>
          <w:sz w:val="28"/>
          <w:szCs w:val="24"/>
        </w:rPr>
        <w:t xml:space="preserve"> is a collection of interoperable infrastructure components that collectively enable AI-powered applications to be built, deployed, operated, governed, and evolved throughout their production lifecycle.</w:t>
      </w:r>
    </w:p>
    <w:p w14:paraId="70A7E110"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The foundation model itself is therefore only one component within a considerably larger system.</w:t>
      </w:r>
    </w:p>
    <w:p w14:paraId="7372037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 production AI platform typically consists of several architectural layers, each responsible for a distinct aspect of system behavior. Although implementations differ across organizations, these layers appear with remarkable consistency across commercial cloud platforms and self-hosted deployments.</w:t>
      </w:r>
    </w:p>
    <w:p w14:paraId="77FBF8B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1-3. Typical Layers of a Production AI Platform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3053"/>
        <w:gridCol w:w="3010"/>
        <w:gridCol w:w="1430"/>
      </w:tblGrid>
      <w:tr w:rsidR="00D80B45" w:rsidRPr="00BB10E7" w14:paraId="41195FFF" w14:textId="77777777" w:rsidTr="00BB10E7">
        <w:trPr>
          <w:tblHeader/>
          <w:tblCellSpacing w:w="15" w:type="dxa"/>
        </w:trPr>
        <w:tc>
          <w:tcPr>
            <w:tcW w:w="0" w:type="auto"/>
            <w:vAlign w:val="center"/>
            <w:hideMark/>
          </w:tcPr>
          <w:p w14:paraId="18819ADD"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Platform Layer</w:t>
            </w:r>
          </w:p>
        </w:tc>
        <w:tc>
          <w:tcPr>
            <w:tcW w:w="0" w:type="auto"/>
            <w:vAlign w:val="center"/>
            <w:hideMark/>
          </w:tcPr>
          <w:p w14:paraId="3F1ED90A"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Primary Purpose</w:t>
            </w:r>
          </w:p>
        </w:tc>
        <w:tc>
          <w:tcPr>
            <w:tcW w:w="0" w:type="auto"/>
            <w:vAlign w:val="center"/>
            <w:hideMark/>
          </w:tcPr>
          <w:p w14:paraId="1D793CC9"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Representative Technologies</w:t>
            </w:r>
          </w:p>
        </w:tc>
        <w:tc>
          <w:tcPr>
            <w:tcW w:w="0" w:type="auto"/>
            <w:vAlign w:val="center"/>
            <w:hideMark/>
          </w:tcPr>
          <w:p w14:paraId="4F1DB0ED"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Detailed Coverage</w:t>
            </w:r>
          </w:p>
        </w:tc>
      </w:tr>
      <w:tr w:rsidR="00D80B45" w:rsidRPr="00BB10E7" w14:paraId="486A58A5" w14:textId="77777777" w:rsidTr="00BB10E7">
        <w:trPr>
          <w:tblCellSpacing w:w="15" w:type="dxa"/>
        </w:trPr>
        <w:tc>
          <w:tcPr>
            <w:tcW w:w="0" w:type="auto"/>
            <w:vAlign w:val="center"/>
            <w:hideMark/>
          </w:tcPr>
          <w:p w14:paraId="058482B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Client Applications</w:t>
            </w:r>
          </w:p>
        </w:tc>
        <w:tc>
          <w:tcPr>
            <w:tcW w:w="0" w:type="auto"/>
            <w:vAlign w:val="center"/>
            <w:hideMark/>
          </w:tcPr>
          <w:p w14:paraId="47969DF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Consume AI capabilities through stable interfaces</w:t>
            </w:r>
          </w:p>
        </w:tc>
        <w:tc>
          <w:tcPr>
            <w:tcW w:w="0" w:type="auto"/>
            <w:vAlign w:val="center"/>
            <w:hideMark/>
          </w:tcPr>
          <w:p w14:paraId="7836C22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Web applications, mobile applications, internal services, enterprise systems</w:t>
            </w:r>
          </w:p>
        </w:tc>
        <w:tc>
          <w:tcPr>
            <w:tcW w:w="0" w:type="auto"/>
            <w:vAlign w:val="center"/>
            <w:hideMark/>
          </w:tcPr>
          <w:p w14:paraId="67C33F9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Throughout the book</w:t>
            </w:r>
          </w:p>
        </w:tc>
      </w:tr>
      <w:tr w:rsidR="00D80B45" w:rsidRPr="00BB10E7" w14:paraId="52D5DCC1" w14:textId="77777777" w:rsidTr="00BB10E7">
        <w:trPr>
          <w:tblCellSpacing w:w="15" w:type="dxa"/>
        </w:trPr>
        <w:tc>
          <w:tcPr>
            <w:tcW w:w="0" w:type="auto"/>
            <w:vAlign w:val="center"/>
            <w:hideMark/>
          </w:tcPr>
          <w:p w14:paraId="32D789E9"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Gateway</w:t>
            </w:r>
          </w:p>
        </w:tc>
        <w:tc>
          <w:tcPr>
            <w:tcW w:w="0" w:type="auto"/>
            <w:vAlign w:val="center"/>
            <w:hideMark/>
          </w:tcPr>
          <w:p w14:paraId="11D26C9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Authentication, routing, rate limiting, policy enforcement, provider abstraction</w:t>
            </w:r>
          </w:p>
        </w:tc>
        <w:tc>
          <w:tcPr>
            <w:tcW w:w="0" w:type="auto"/>
            <w:vAlign w:val="center"/>
            <w:hideMark/>
          </w:tcPr>
          <w:p w14:paraId="509B9DA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API gateways, AI gateways, service proxies</w:t>
            </w:r>
          </w:p>
        </w:tc>
        <w:tc>
          <w:tcPr>
            <w:tcW w:w="0" w:type="auto"/>
            <w:vAlign w:val="center"/>
            <w:hideMark/>
          </w:tcPr>
          <w:p w14:paraId="7CFB616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6</w:t>
            </w:r>
          </w:p>
        </w:tc>
      </w:tr>
      <w:tr w:rsidR="00D80B45" w:rsidRPr="00BB10E7" w14:paraId="454BE01E" w14:textId="77777777" w:rsidTr="00BB10E7">
        <w:trPr>
          <w:tblCellSpacing w:w="15" w:type="dxa"/>
        </w:trPr>
        <w:tc>
          <w:tcPr>
            <w:tcW w:w="0" w:type="auto"/>
            <w:vAlign w:val="center"/>
            <w:hideMark/>
          </w:tcPr>
          <w:p w14:paraId="7182B4A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Models and Inference</w:t>
            </w:r>
          </w:p>
        </w:tc>
        <w:tc>
          <w:tcPr>
            <w:tcW w:w="0" w:type="auto"/>
            <w:vAlign w:val="center"/>
            <w:hideMark/>
          </w:tcPr>
          <w:p w14:paraId="3E592AA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Generate responses from prompts or multimodal inputs</w:t>
            </w:r>
          </w:p>
        </w:tc>
        <w:tc>
          <w:tcPr>
            <w:tcW w:w="0" w:type="auto"/>
            <w:vAlign w:val="center"/>
            <w:hideMark/>
          </w:tcPr>
          <w:p w14:paraId="7DC64DA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Commercial APIs, open-weight models, inference engines</w:t>
            </w:r>
          </w:p>
        </w:tc>
        <w:tc>
          <w:tcPr>
            <w:tcW w:w="0" w:type="auto"/>
            <w:vAlign w:val="center"/>
            <w:hideMark/>
          </w:tcPr>
          <w:p w14:paraId="3B9E5C6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3–5</w:t>
            </w:r>
          </w:p>
        </w:tc>
      </w:tr>
      <w:tr w:rsidR="00D80B45" w:rsidRPr="00BB10E7" w14:paraId="56E8B997" w14:textId="77777777" w:rsidTr="00BB10E7">
        <w:trPr>
          <w:tblCellSpacing w:w="15" w:type="dxa"/>
        </w:trPr>
        <w:tc>
          <w:tcPr>
            <w:tcW w:w="0" w:type="auto"/>
            <w:vAlign w:val="center"/>
            <w:hideMark/>
          </w:tcPr>
          <w:p w14:paraId="0AE1ACA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Tool Execution and Orchestration</w:t>
            </w:r>
          </w:p>
        </w:tc>
        <w:tc>
          <w:tcPr>
            <w:tcW w:w="0" w:type="auto"/>
            <w:vAlign w:val="center"/>
            <w:hideMark/>
          </w:tcPr>
          <w:p w14:paraId="0EAA312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Coordinate model interactions with external systems and business workflows</w:t>
            </w:r>
          </w:p>
        </w:tc>
        <w:tc>
          <w:tcPr>
            <w:tcW w:w="0" w:type="auto"/>
            <w:vAlign w:val="center"/>
            <w:hideMark/>
          </w:tcPr>
          <w:p w14:paraId="322C89D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Agent frameworks, workflow engines, tool execution runtimes</w:t>
            </w:r>
          </w:p>
        </w:tc>
        <w:tc>
          <w:tcPr>
            <w:tcW w:w="0" w:type="auto"/>
            <w:vAlign w:val="center"/>
            <w:hideMark/>
          </w:tcPr>
          <w:p w14:paraId="71B20EA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7–9</w:t>
            </w:r>
          </w:p>
        </w:tc>
      </w:tr>
      <w:tr w:rsidR="00D80B45" w:rsidRPr="00BB10E7" w14:paraId="16EAD729" w14:textId="77777777" w:rsidTr="00BB10E7">
        <w:trPr>
          <w:tblCellSpacing w:w="15" w:type="dxa"/>
        </w:trPr>
        <w:tc>
          <w:tcPr>
            <w:tcW w:w="0" w:type="auto"/>
            <w:vAlign w:val="center"/>
            <w:hideMark/>
          </w:tcPr>
          <w:p w14:paraId="3924B43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Knowledge and Retrieval</w:t>
            </w:r>
          </w:p>
        </w:tc>
        <w:tc>
          <w:tcPr>
            <w:tcW w:w="0" w:type="auto"/>
            <w:vAlign w:val="center"/>
            <w:hideMark/>
          </w:tcPr>
          <w:p w14:paraId="5021899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Supply external knowledge beyond model parameters</w:t>
            </w:r>
          </w:p>
        </w:tc>
        <w:tc>
          <w:tcPr>
            <w:tcW w:w="0" w:type="auto"/>
            <w:vAlign w:val="center"/>
            <w:hideMark/>
          </w:tcPr>
          <w:p w14:paraId="31A7BB1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Vector databases, search systems, retrieval pipelines</w:t>
            </w:r>
          </w:p>
        </w:tc>
        <w:tc>
          <w:tcPr>
            <w:tcW w:w="0" w:type="auto"/>
            <w:vAlign w:val="center"/>
            <w:hideMark/>
          </w:tcPr>
          <w:p w14:paraId="0AC0863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10–12</w:t>
            </w:r>
          </w:p>
        </w:tc>
      </w:tr>
      <w:tr w:rsidR="00D80B45" w:rsidRPr="00BB10E7" w14:paraId="3903BB1E" w14:textId="77777777" w:rsidTr="00BB10E7">
        <w:trPr>
          <w:tblCellSpacing w:w="15" w:type="dxa"/>
        </w:trPr>
        <w:tc>
          <w:tcPr>
            <w:tcW w:w="0" w:type="auto"/>
            <w:vAlign w:val="center"/>
            <w:hideMark/>
          </w:tcPr>
          <w:p w14:paraId="4A4D032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Evaluation and Governance</w:t>
            </w:r>
          </w:p>
        </w:tc>
        <w:tc>
          <w:tcPr>
            <w:tcW w:w="0" w:type="auto"/>
            <w:vAlign w:val="center"/>
            <w:hideMark/>
          </w:tcPr>
          <w:p w14:paraId="077FD9E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Measure quality, reliability, safety, and policy compliance</w:t>
            </w:r>
          </w:p>
        </w:tc>
        <w:tc>
          <w:tcPr>
            <w:tcW w:w="0" w:type="auto"/>
            <w:vAlign w:val="center"/>
            <w:hideMark/>
          </w:tcPr>
          <w:p w14:paraId="4ED70C6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Evaluation frameworks, guardrails, governance systems</w:t>
            </w:r>
          </w:p>
        </w:tc>
        <w:tc>
          <w:tcPr>
            <w:tcW w:w="0" w:type="auto"/>
            <w:vAlign w:val="center"/>
            <w:hideMark/>
          </w:tcPr>
          <w:p w14:paraId="2B034F3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13–14</w:t>
            </w:r>
          </w:p>
        </w:tc>
      </w:tr>
      <w:tr w:rsidR="00D80B45" w:rsidRPr="00BB10E7" w14:paraId="57B01A86" w14:textId="77777777" w:rsidTr="00BB10E7">
        <w:trPr>
          <w:tblCellSpacing w:w="15" w:type="dxa"/>
        </w:trPr>
        <w:tc>
          <w:tcPr>
            <w:tcW w:w="0" w:type="auto"/>
            <w:vAlign w:val="center"/>
            <w:hideMark/>
          </w:tcPr>
          <w:p w14:paraId="5F2E2D3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Platform Operations</w:t>
            </w:r>
          </w:p>
        </w:tc>
        <w:tc>
          <w:tcPr>
            <w:tcW w:w="0" w:type="auto"/>
            <w:vAlign w:val="center"/>
            <w:hideMark/>
          </w:tcPr>
          <w:p w14:paraId="09895D1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Deploy, monitor, scale, and manage production systems</w:t>
            </w:r>
          </w:p>
        </w:tc>
        <w:tc>
          <w:tcPr>
            <w:tcW w:w="0" w:type="auto"/>
            <w:vAlign w:val="center"/>
            <w:hideMark/>
          </w:tcPr>
          <w:p w14:paraId="75C5FBF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Deployment pipelines, observability platforms, operational tooling</w:t>
            </w:r>
          </w:p>
        </w:tc>
        <w:tc>
          <w:tcPr>
            <w:tcW w:w="0" w:type="auto"/>
            <w:vAlign w:val="center"/>
            <w:hideMark/>
          </w:tcPr>
          <w:p w14:paraId="4760628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15–17</w:t>
            </w:r>
          </w:p>
        </w:tc>
      </w:tr>
    </w:tbl>
    <w:p w14:paraId="19F665D7"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These layers should not be interpreted as a strict request-processing pipeline. Rather, they represent architectural responsibilities distributed across the platform. A single request may traverse several layers multiple times. For example, an agent may invoke multiple tools, perform repeated retrieval operations, or route requests between different models before generating a final response.</w:t>
      </w:r>
    </w:p>
    <w:p w14:paraId="1CADB6CF"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One of the most common misconceptions surrounding AI systems is that model quality alone determines production success. In practice, successful production deployments depend at least as much on the surrounding infrastructure as on the </w:t>
      </w:r>
      <w:r w:rsidRPr="00046211">
        <w:rPr>
          <w:rFonts w:ascii="Times New Roman" w:eastAsia="Times New Roman" w:hAnsi="Times New Roman" w:cs="Times New Roman"/>
          <w:sz w:val="28"/>
          <w:szCs w:val="24"/>
        </w:rPr>
        <w:lastRenderedPageBreak/>
        <w:t>model itself. Authentication, routing, retries, caching, network reliability, storage systems, governance policies, deployment automation, and operational visibility often determine whether an AI capability can be operated safely and economically at scale.</w:t>
      </w:r>
    </w:p>
    <w:p w14:paraId="4F4AE48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Accordingly, this book treats AI platforms primarily as distributed software systems. The architectural principles governing scalability, fault tolerance, interoperability, security, and lifecycle management remain largely the same as those applied to other large-scale cloud-native systems. Foundation models introduce new workload characteristics, but they do not invalidate decades of accumulated engineering practice.</w:t>
      </w:r>
    </w:p>
    <w:p w14:paraId="072E449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Several of the platform layers introduced here deserve extensive treatment and are therefore intentionally deferred to later chapters. The architecture and implementation of inference engines are examined in Chapter 5. AI gateways, traffic management, and policy enforcement are explored in Chapter 6. Tool calling, orchestration, and workflow execution are covered in Chapters 7 through 9. Storage, retrieval, and knowledge systems are discussed in Chapters 10 through 12. Evaluation methodologies, security, governance, deployment strategies, observability, and cost engineering each receive dedicated chapters later in the book, allowing this introductory chapter to establish the conceptual landscape without prematurely introducing implementation details.</w:t>
      </w:r>
    </w:p>
    <w:p w14:paraId="150A597B"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1.4 The AI Technology Landscape</w:t>
      </w:r>
    </w:p>
    <w:p w14:paraId="49178A7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modern AI ecosystem is remarkably diverse. A single production application may combine technologies developed by multiple organizations, deployed across several cloud providers, and governed by different operational teams. Unlike traditional enterprise software, where a single framework or platform often provides most required capabilities, AI systems are typically assembled from specialized components that evolve independently.</w:t>
      </w:r>
    </w:p>
    <w:p w14:paraId="2728D034"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diversity is one of the defining characteristics of AI Platform Engineering. A production platform is rarely built around a single product or vendor. Instead, it consists of interoperable services responsible for distinct concerns such as model inference, traffic management, orchestration, knowledge retrieval, observability, security, and deployment. Each layer has its own ecosystem, release cadence, operational characteristics, and maturity level.</w:t>
      </w:r>
    </w:p>
    <w:p w14:paraId="63C818D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For engineers entering the field, the sheer number of available technologies can be overwhelming. New models appear weekly, inference engines evolve rapidly, orchestration frameworks compete to define emerging programming abstractions, and cloud providers continuously expand managed AI offerings. The resulting landscape can appear fragmented and unstable.</w:t>
      </w:r>
    </w:p>
    <w:p w14:paraId="0E6E6BB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Despite this apparent complexity, the ecosystem can be understood by grouping technologies according to the engineering problems they solve rather than by their vendors. This perspective is considerably more durable than memorizing individual products, many of which will be renamed, replaced, or discontinued over the lifetime of a production system.</w:t>
      </w:r>
    </w:p>
    <w:p w14:paraId="3D27235F"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Table 1-4 introduces the principal technology categories that recur throughout this book. The examples are illustrative rather than exhaustive and should not be interpreted as endorsements. The objective is to familiarize readers with the architectural roles these technologies play rather than compare individual implementations.</w:t>
      </w:r>
    </w:p>
    <w:p w14:paraId="2184CFD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1-4. Major Technology Categories in Modern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3156"/>
        <w:gridCol w:w="3099"/>
        <w:gridCol w:w="1258"/>
      </w:tblGrid>
      <w:tr w:rsidR="00D80B45" w:rsidRPr="00BB10E7" w14:paraId="0B039D06" w14:textId="77777777" w:rsidTr="00BB10E7">
        <w:trPr>
          <w:tblHeader/>
          <w:tblCellSpacing w:w="15" w:type="dxa"/>
        </w:trPr>
        <w:tc>
          <w:tcPr>
            <w:tcW w:w="0" w:type="auto"/>
            <w:vAlign w:val="center"/>
            <w:hideMark/>
          </w:tcPr>
          <w:p w14:paraId="7F25A319"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Technology Category</w:t>
            </w:r>
          </w:p>
        </w:tc>
        <w:tc>
          <w:tcPr>
            <w:tcW w:w="0" w:type="auto"/>
            <w:vAlign w:val="center"/>
            <w:hideMark/>
          </w:tcPr>
          <w:p w14:paraId="61EEE0EE"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Primary Engineering Problem</w:t>
            </w:r>
          </w:p>
        </w:tc>
        <w:tc>
          <w:tcPr>
            <w:tcW w:w="0" w:type="auto"/>
            <w:vAlign w:val="center"/>
            <w:hideMark/>
          </w:tcPr>
          <w:p w14:paraId="2437E533"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Representative Examples</w:t>
            </w:r>
          </w:p>
        </w:tc>
        <w:tc>
          <w:tcPr>
            <w:tcW w:w="0" w:type="auto"/>
            <w:vAlign w:val="center"/>
            <w:hideMark/>
          </w:tcPr>
          <w:p w14:paraId="0F60AE19"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Detailed Coverage</w:t>
            </w:r>
          </w:p>
        </w:tc>
      </w:tr>
      <w:tr w:rsidR="00D80B45" w:rsidRPr="00BB10E7" w14:paraId="1235C5CD" w14:textId="77777777" w:rsidTr="00BB10E7">
        <w:trPr>
          <w:tblCellSpacing w:w="15" w:type="dxa"/>
        </w:trPr>
        <w:tc>
          <w:tcPr>
            <w:tcW w:w="0" w:type="auto"/>
            <w:vAlign w:val="center"/>
            <w:hideMark/>
          </w:tcPr>
          <w:p w14:paraId="24AB9B8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Commercial AI services</w:t>
            </w:r>
          </w:p>
        </w:tc>
        <w:tc>
          <w:tcPr>
            <w:tcW w:w="0" w:type="auto"/>
            <w:vAlign w:val="center"/>
            <w:hideMark/>
          </w:tcPr>
          <w:p w14:paraId="667AC4F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Provide managed access to foundation models without operating inference infrastructure</w:t>
            </w:r>
          </w:p>
        </w:tc>
        <w:tc>
          <w:tcPr>
            <w:tcW w:w="0" w:type="auto"/>
            <w:vAlign w:val="center"/>
            <w:hideMark/>
          </w:tcPr>
          <w:p w14:paraId="0EE3FF2C" w14:textId="77777777" w:rsidR="00D80B45" w:rsidRPr="00BB10E7" w:rsidRDefault="00D80B45" w:rsidP="00D80B45">
            <w:pPr>
              <w:spacing w:after="0" w:line="240" w:lineRule="auto"/>
              <w:rPr>
                <w:rFonts w:ascii="Times New Roman" w:eastAsia="Times New Roman" w:hAnsi="Times New Roman" w:cs="Times New Roman"/>
                <w:sz w:val="24"/>
              </w:rPr>
            </w:pPr>
            <w:proofErr w:type="spellStart"/>
            <w:r w:rsidRPr="00BB10E7">
              <w:rPr>
                <w:rFonts w:ascii="Times New Roman" w:eastAsia="Times New Roman" w:hAnsi="Times New Roman" w:cs="Times New Roman"/>
                <w:sz w:val="24"/>
              </w:rPr>
              <w:t>OpenAI</w:t>
            </w:r>
            <w:proofErr w:type="spellEnd"/>
            <w:r w:rsidRPr="00BB10E7">
              <w:rPr>
                <w:rFonts w:ascii="Times New Roman" w:eastAsia="Times New Roman" w:hAnsi="Times New Roman" w:cs="Times New Roman"/>
                <w:sz w:val="24"/>
              </w:rPr>
              <w:t>, Anthropic, Google Gemini, Azure AI Foundry, Amazon Bedrock, Cohere</w:t>
            </w:r>
          </w:p>
        </w:tc>
        <w:tc>
          <w:tcPr>
            <w:tcW w:w="0" w:type="auto"/>
            <w:vAlign w:val="center"/>
            <w:hideMark/>
          </w:tcPr>
          <w:p w14:paraId="5BC0E59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3</w:t>
            </w:r>
          </w:p>
        </w:tc>
      </w:tr>
      <w:tr w:rsidR="00D80B45" w:rsidRPr="00BB10E7" w14:paraId="13279F8C" w14:textId="77777777" w:rsidTr="00BB10E7">
        <w:trPr>
          <w:tblCellSpacing w:w="15" w:type="dxa"/>
        </w:trPr>
        <w:tc>
          <w:tcPr>
            <w:tcW w:w="0" w:type="auto"/>
            <w:vAlign w:val="center"/>
            <w:hideMark/>
          </w:tcPr>
          <w:p w14:paraId="33F2166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Open-weight models</w:t>
            </w:r>
          </w:p>
        </w:tc>
        <w:tc>
          <w:tcPr>
            <w:tcW w:w="0" w:type="auto"/>
            <w:vAlign w:val="center"/>
            <w:hideMark/>
          </w:tcPr>
          <w:p w14:paraId="69531BF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Allow organizations to deploy and customize models under varying licensing conditions</w:t>
            </w:r>
          </w:p>
        </w:tc>
        <w:tc>
          <w:tcPr>
            <w:tcW w:w="0" w:type="auto"/>
            <w:vAlign w:val="center"/>
            <w:hideMark/>
          </w:tcPr>
          <w:p w14:paraId="3465317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 xml:space="preserve">Llama, Mistral, Gemma, </w:t>
            </w:r>
            <w:proofErr w:type="spellStart"/>
            <w:r w:rsidRPr="00BB10E7">
              <w:rPr>
                <w:rFonts w:ascii="Times New Roman" w:eastAsia="Times New Roman" w:hAnsi="Times New Roman" w:cs="Times New Roman"/>
                <w:sz w:val="24"/>
              </w:rPr>
              <w:t>Qwen</w:t>
            </w:r>
            <w:proofErr w:type="spellEnd"/>
            <w:r w:rsidRPr="00BB10E7">
              <w:rPr>
                <w:rFonts w:ascii="Times New Roman" w:eastAsia="Times New Roman" w:hAnsi="Times New Roman" w:cs="Times New Roman"/>
                <w:sz w:val="24"/>
              </w:rPr>
              <w:t xml:space="preserve">, </w:t>
            </w:r>
            <w:proofErr w:type="spellStart"/>
            <w:r w:rsidRPr="00BB10E7">
              <w:rPr>
                <w:rFonts w:ascii="Times New Roman" w:eastAsia="Times New Roman" w:hAnsi="Times New Roman" w:cs="Times New Roman"/>
                <w:sz w:val="24"/>
              </w:rPr>
              <w:t>DeepSeek</w:t>
            </w:r>
            <w:proofErr w:type="spellEnd"/>
            <w:r w:rsidRPr="00BB10E7">
              <w:rPr>
                <w:rFonts w:ascii="Times New Roman" w:eastAsia="Times New Roman" w:hAnsi="Times New Roman" w:cs="Times New Roman"/>
                <w:sz w:val="24"/>
              </w:rPr>
              <w:t>, Granite</w:t>
            </w:r>
          </w:p>
        </w:tc>
        <w:tc>
          <w:tcPr>
            <w:tcW w:w="0" w:type="auto"/>
            <w:vAlign w:val="center"/>
            <w:hideMark/>
          </w:tcPr>
          <w:p w14:paraId="2928894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4</w:t>
            </w:r>
          </w:p>
        </w:tc>
      </w:tr>
      <w:tr w:rsidR="00D80B45" w:rsidRPr="00BB10E7" w14:paraId="775A1ADB" w14:textId="77777777" w:rsidTr="00BB10E7">
        <w:trPr>
          <w:tblCellSpacing w:w="15" w:type="dxa"/>
        </w:trPr>
        <w:tc>
          <w:tcPr>
            <w:tcW w:w="0" w:type="auto"/>
            <w:vAlign w:val="center"/>
            <w:hideMark/>
          </w:tcPr>
          <w:p w14:paraId="7220722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Inference engines</w:t>
            </w:r>
          </w:p>
        </w:tc>
        <w:tc>
          <w:tcPr>
            <w:tcW w:w="0" w:type="auto"/>
            <w:vAlign w:val="center"/>
            <w:hideMark/>
          </w:tcPr>
          <w:p w14:paraId="61C8607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Execute models efficiently while optimizing hardware utilization, latency, and throughput</w:t>
            </w:r>
          </w:p>
        </w:tc>
        <w:tc>
          <w:tcPr>
            <w:tcW w:w="0" w:type="auto"/>
            <w:vAlign w:val="center"/>
            <w:hideMark/>
          </w:tcPr>
          <w:p w14:paraId="5F2A9445" w14:textId="77777777" w:rsidR="00D80B45" w:rsidRPr="00BB10E7" w:rsidRDefault="00D80B45" w:rsidP="00D80B45">
            <w:pPr>
              <w:spacing w:after="0" w:line="240" w:lineRule="auto"/>
              <w:rPr>
                <w:rFonts w:ascii="Times New Roman" w:eastAsia="Times New Roman" w:hAnsi="Times New Roman" w:cs="Times New Roman"/>
                <w:sz w:val="24"/>
              </w:rPr>
            </w:pPr>
            <w:proofErr w:type="spellStart"/>
            <w:r w:rsidRPr="00BB10E7">
              <w:rPr>
                <w:rFonts w:ascii="Times New Roman" w:eastAsia="Times New Roman" w:hAnsi="Times New Roman" w:cs="Times New Roman"/>
                <w:sz w:val="24"/>
              </w:rPr>
              <w:t>vLLM</w:t>
            </w:r>
            <w:proofErr w:type="spellEnd"/>
            <w:r w:rsidRPr="00BB10E7">
              <w:rPr>
                <w:rFonts w:ascii="Times New Roman" w:eastAsia="Times New Roman" w:hAnsi="Times New Roman" w:cs="Times New Roman"/>
                <w:sz w:val="24"/>
              </w:rPr>
              <w:t xml:space="preserve">, </w:t>
            </w:r>
            <w:proofErr w:type="spellStart"/>
            <w:r w:rsidRPr="00BB10E7">
              <w:rPr>
                <w:rFonts w:ascii="Times New Roman" w:eastAsia="Times New Roman" w:hAnsi="Times New Roman" w:cs="Times New Roman"/>
                <w:sz w:val="24"/>
              </w:rPr>
              <w:t>TensorRT</w:t>
            </w:r>
            <w:proofErr w:type="spellEnd"/>
            <w:r w:rsidRPr="00BB10E7">
              <w:rPr>
                <w:rFonts w:ascii="Times New Roman" w:eastAsia="Times New Roman" w:hAnsi="Times New Roman" w:cs="Times New Roman"/>
                <w:sz w:val="24"/>
              </w:rPr>
              <w:t xml:space="preserve">-LLM, </w:t>
            </w:r>
            <w:proofErr w:type="spellStart"/>
            <w:r w:rsidRPr="00BB10E7">
              <w:rPr>
                <w:rFonts w:ascii="Times New Roman" w:eastAsia="Times New Roman" w:hAnsi="Times New Roman" w:cs="Times New Roman"/>
                <w:sz w:val="24"/>
              </w:rPr>
              <w:t>SGLang</w:t>
            </w:r>
            <w:proofErr w:type="spellEnd"/>
            <w:r w:rsidRPr="00BB10E7">
              <w:rPr>
                <w:rFonts w:ascii="Times New Roman" w:eastAsia="Times New Roman" w:hAnsi="Times New Roman" w:cs="Times New Roman"/>
                <w:sz w:val="24"/>
              </w:rPr>
              <w:t xml:space="preserve">, llama.cpp, </w:t>
            </w:r>
            <w:proofErr w:type="spellStart"/>
            <w:r w:rsidRPr="00BB10E7">
              <w:rPr>
                <w:rFonts w:ascii="Times New Roman" w:eastAsia="Times New Roman" w:hAnsi="Times New Roman" w:cs="Times New Roman"/>
                <w:sz w:val="24"/>
              </w:rPr>
              <w:t>Ollama</w:t>
            </w:r>
            <w:proofErr w:type="spellEnd"/>
          </w:p>
        </w:tc>
        <w:tc>
          <w:tcPr>
            <w:tcW w:w="0" w:type="auto"/>
            <w:vAlign w:val="center"/>
            <w:hideMark/>
          </w:tcPr>
          <w:p w14:paraId="7F86F46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5</w:t>
            </w:r>
          </w:p>
        </w:tc>
      </w:tr>
      <w:tr w:rsidR="00D80B45" w:rsidRPr="00BB10E7" w14:paraId="0FE15965" w14:textId="77777777" w:rsidTr="00BB10E7">
        <w:trPr>
          <w:tblCellSpacing w:w="15" w:type="dxa"/>
        </w:trPr>
        <w:tc>
          <w:tcPr>
            <w:tcW w:w="0" w:type="auto"/>
            <w:vAlign w:val="center"/>
            <w:hideMark/>
          </w:tcPr>
          <w:p w14:paraId="56C539D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gateways</w:t>
            </w:r>
          </w:p>
        </w:tc>
        <w:tc>
          <w:tcPr>
            <w:tcW w:w="0" w:type="auto"/>
            <w:vAlign w:val="center"/>
            <w:hideMark/>
          </w:tcPr>
          <w:p w14:paraId="6749F2A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Provide authentication, routing, rate limiting, traffic management, and provider abstraction</w:t>
            </w:r>
          </w:p>
        </w:tc>
        <w:tc>
          <w:tcPr>
            <w:tcW w:w="0" w:type="auto"/>
            <w:vAlign w:val="center"/>
            <w:hideMark/>
          </w:tcPr>
          <w:p w14:paraId="1AEEFE49" w14:textId="77777777" w:rsidR="00D80B45" w:rsidRPr="00BB10E7" w:rsidRDefault="00D80B45" w:rsidP="00D80B45">
            <w:pPr>
              <w:spacing w:after="0" w:line="240" w:lineRule="auto"/>
              <w:rPr>
                <w:rFonts w:ascii="Times New Roman" w:eastAsia="Times New Roman" w:hAnsi="Times New Roman" w:cs="Times New Roman"/>
                <w:sz w:val="24"/>
              </w:rPr>
            </w:pPr>
            <w:proofErr w:type="spellStart"/>
            <w:r w:rsidRPr="00BB10E7">
              <w:rPr>
                <w:rFonts w:ascii="Times New Roman" w:eastAsia="Times New Roman" w:hAnsi="Times New Roman" w:cs="Times New Roman"/>
                <w:sz w:val="24"/>
              </w:rPr>
              <w:t>LiteLLM</w:t>
            </w:r>
            <w:proofErr w:type="spellEnd"/>
            <w:r w:rsidRPr="00BB10E7">
              <w:rPr>
                <w:rFonts w:ascii="Times New Roman" w:eastAsia="Times New Roman" w:hAnsi="Times New Roman" w:cs="Times New Roman"/>
                <w:sz w:val="24"/>
              </w:rPr>
              <w:t>, Portkey, Kong AI Gateway, Cloudflare AI Gateway</w:t>
            </w:r>
          </w:p>
        </w:tc>
        <w:tc>
          <w:tcPr>
            <w:tcW w:w="0" w:type="auto"/>
            <w:vAlign w:val="center"/>
            <w:hideMark/>
          </w:tcPr>
          <w:p w14:paraId="5D9DF58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6</w:t>
            </w:r>
          </w:p>
        </w:tc>
      </w:tr>
      <w:tr w:rsidR="00D80B45" w:rsidRPr="00BB10E7" w14:paraId="6E54A9EF" w14:textId="77777777" w:rsidTr="00BB10E7">
        <w:trPr>
          <w:tblCellSpacing w:w="15" w:type="dxa"/>
        </w:trPr>
        <w:tc>
          <w:tcPr>
            <w:tcW w:w="0" w:type="auto"/>
            <w:vAlign w:val="center"/>
            <w:hideMark/>
          </w:tcPr>
          <w:p w14:paraId="532F3C4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Agent and orchestration frameworks</w:t>
            </w:r>
          </w:p>
        </w:tc>
        <w:tc>
          <w:tcPr>
            <w:tcW w:w="0" w:type="auto"/>
            <w:vAlign w:val="center"/>
            <w:hideMark/>
          </w:tcPr>
          <w:p w14:paraId="562744C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Coordinate model interactions, tools, and multi-step reasoning workflows</w:t>
            </w:r>
          </w:p>
        </w:tc>
        <w:tc>
          <w:tcPr>
            <w:tcW w:w="0" w:type="auto"/>
            <w:vAlign w:val="center"/>
            <w:hideMark/>
          </w:tcPr>
          <w:p w14:paraId="3B877FB5" w14:textId="77777777" w:rsidR="00D80B45" w:rsidRPr="00BB10E7" w:rsidRDefault="00D80B45" w:rsidP="00D80B45">
            <w:pPr>
              <w:spacing w:after="0" w:line="240" w:lineRule="auto"/>
              <w:rPr>
                <w:rFonts w:ascii="Times New Roman" w:eastAsia="Times New Roman" w:hAnsi="Times New Roman" w:cs="Times New Roman"/>
                <w:sz w:val="24"/>
              </w:rPr>
            </w:pPr>
            <w:proofErr w:type="spellStart"/>
            <w:r w:rsidRPr="00BB10E7">
              <w:rPr>
                <w:rFonts w:ascii="Times New Roman" w:eastAsia="Times New Roman" w:hAnsi="Times New Roman" w:cs="Times New Roman"/>
                <w:sz w:val="24"/>
              </w:rPr>
              <w:t>LangGraph</w:t>
            </w:r>
            <w:proofErr w:type="spellEnd"/>
            <w:r w:rsidRPr="00BB10E7">
              <w:rPr>
                <w:rFonts w:ascii="Times New Roman" w:eastAsia="Times New Roman" w:hAnsi="Times New Roman" w:cs="Times New Roman"/>
                <w:sz w:val="24"/>
              </w:rPr>
              <w:t xml:space="preserve">, Semantic Kernel, </w:t>
            </w:r>
            <w:proofErr w:type="spellStart"/>
            <w:r w:rsidRPr="00BB10E7">
              <w:rPr>
                <w:rFonts w:ascii="Times New Roman" w:eastAsia="Times New Roman" w:hAnsi="Times New Roman" w:cs="Times New Roman"/>
                <w:sz w:val="24"/>
              </w:rPr>
              <w:t>OpenAI</w:t>
            </w:r>
            <w:proofErr w:type="spellEnd"/>
            <w:r w:rsidRPr="00BB10E7">
              <w:rPr>
                <w:rFonts w:ascii="Times New Roman" w:eastAsia="Times New Roman" w:hAnsi="Times New Roman" w:cs="Times New Roman"/>
                <w:sz w:val="24"/>
              </w:rPr>
              <w:t xml:space="preserve"> Agents SDK, Google ADK, </w:t>
            </w:r>
            <w:proofErr w:type="spellStart"/>
            <w:r w:rsidRPr="00BB10E7">
              <w:rPr>
                <w:rFonts w:ascii="Times New Roman" w:eastAsia="Times New Roman" w:hAnsi="Times New Roman" w:cs="Times New Roman"/>
                <w:sz w:val="24"/>
              </w:rPr>
              <w:t>CrewAI</w:t>
            </w:r>
            <w:proofErr w:type="spellEnd"/>
          </w:p>
        </w:tc>
        <w:tc>
          <w:tcPr>
            <w:tcW w:w="0" w:type="auto"/>
            <w:vAlign w:val="center"/>
            <w:hideMark/>
          </w:tcPr>
          <w:p w14:paraId="583B19A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7–9</w:t>
            </w:r>
          </w:p>
        </w:tc>
      </w:tr>
      <w:tr w:rsidR="00D80B45" w:rsidRPr="00BB10E7" w14:paraId="12416D37" w14:textId="77777777" w:rsidTr="00BB10E7">
        <w:trPr>
          <w:tblCellSpacing w:w="15" w:type="dxa"/>
        </w:trPr>
        <w:tc>
          <w:tcPr>
            <w:tcW w:w="0" w:type="auto"/>
            <w:vAlign w:val="center"/>
            <w:hideMark/>
          </w:tcPr>
          <w:p w14:paraId="4108167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lastRenderedPageBreak/>
              <w:t>Storage and knowledge systems</w:t>
            </w:r>
          </w:p>
        </w:tc>
        <w:tc>
          <w:tcPr>
            <w:tcW w:w="0" w:type="auto"/>
            <w:vAlign w:val="center"/>
            <w:hideMark/>
          </w:tcPr>
          <w:p w14:paraId="6E5352C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Persist structured, unstructured, and vectorized data for AI applications</w:t>
            </w:r>
          </w:p>
        </w:tc>
        <w:tc>
          <w:tcPr>
            <w:tcW w:w="0" w:type="auto"/>
            <w:vAlign w:val="center"/>
            <w:hideMark/>
          </w:tcPr>
          <w:p w14:paraId="0D9CBF2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PostgreSQL, Redis, object storage, vector databases, graph databases</w:t>
            </w:r>
          </w:p>
        </w:tc>
        <w:tc>
          <w:tcPr>
            <w:tcW w:w="0" w:type="auto"/>
            <w:vAlign w:val="center"/>
            <w:hideMark/>
          </w:tcPr>
          <w:p w14:paraId="515DB04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10–12</w:t>
            </w:r>
          </w:p>
        </w:tc>
      </w:tr>
      <w:tr w:rsidR="00D80B45" w:rsidRPr="00BB10E7" w14:paraId="642DE600" w14:textId="77777777" w:rsidTr="00BB10E7">
        <w:trPr>
          <w:tblCellSpacing w:w="15" w:type="dxa"/>
        </w:trPr>
        <w:tc>
          <w:tcPr>
            <w:tcW w:w="0" w:type="auto"/>
            <w:vAlign w:val="center"/>
            <w:hideMark/>
          </w:tcPr>
          <w:p w14:paraId="7307986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Evaluation and governance</w:t>
            </w:r>
          </w:p>
        </w:tc>
        <w:tc>
          <w:tcPr>
            <w:tcW w:w="0" w:type="auto"/>
            <w:vAlign w:val="center"/>
            <w:hideMark/>
          </w:tcPr>
          <w:p w14:paraId="056E242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Measure quality, safety, policy compliance, and model behavior</w:t>
            </w:r>
          </w:p>
        </w:tc>
        <w:tc>
          <w:tcPr>
            <w:tcW w:w="0" w:type="auto"/>
            <w:vAlign w:val="center"/>
            <w:hideMark/>
          </w:tcPr>
          <w:p w14:paraId="6D6C9366" w14:textId="77777777" w:rsidR="00D80B45" w:rsidRPr="00BB10E7" w:rsidRDefault="00D80B45" w:rsidP="00D80B45">
            <w:pPr>
              <w:spacing w:after="0" w:line="240" w:lineRule="auto"/>
              <w:rPr>
                <w:rFonts w:ascii="Times New Roman" w:eastAsia="Times New Roman" w:hAnsi="Times New Roman" w:cs="Times New Roman"/>
                <w:sz w:val="24"/>
              </w:rPr>
            </w:pPr>
            <w:proofErr w:type="spellStart"/>
            <w:r w:rsidRPr="00BB10E7">
              <w:rPr>
                <w:rFonts w:ascii="Times New Roman" w:eastAsia="Times New Roman" w:hAnsi="Times New Roman" w:cs="Times New Roman"/>
                <w:sz w:val="24"/>
              </w:rPr>
              <w:t>OpenEvals</w:t>
            </w:r>
            <w:proofErr w:type="spellEnd"/>
            <w:r w:rsidRPr="00BB10E7">
              <w:rPr>
                <w:rFonts w:ascii="Times New Roman" w:eastAsia="Times New Roman" w:hAnsi="Times New Roman" w:cs="Times New Roman"/>
                <w:sz w:val="24"/>
              </w:rPr>
              <w:t xml:space="preserve">, </w:t>
            </w:r>
            <w:proofErr w:type="spellStart"/>
            <w:r w:rsidRPr="00BB10E7">
              <w:rPr>
                <w:rFonts w:ascii="Times New Roman" w:eastAsia="Times New Roman" w:hAnsi="Times New Roman" w:cs="Times New Roman"/>
                <w:sz w:val="24"/>
              </w:rPr>
              <w:t>DeepEval</w:t>
            </w:r>
            <w:proofErr w:type="spellEnd"/>
            <w:r w:rsidRPr="00BB10E7">
              <w:rPr>
                <w:rFonts w:ascii="Times New Roman" w:eastAsia="Times New Roman" w:hAnsi="Times New Roman" w:cs="Times New Roman"/>
                <w:sz w:val="24"/>
              </w:rPr>
              <w:t xml:space="preserve">, </w:t>
            </w:r>
            <w:proofErr w:type="spellStart"/>
            <w:r w:rsidRPr="00BB10E7">
              <w:rPr>
                <w:rFonts w:ascii="Times New Roman" w:eastAsia="Times New Roman" w:hAnsi="Times New Roman" w:cs="Times New Roman"/>
                <w:sz w:val="24"/>
              </w:rPr>
              <w:t>LangSmith</w:t>
            </w:r>
            <w:proofErr w:type="spellEnd"/>
            <w:r w:rsidRPr="00BB10E7">
              <w:rPr>
                <w:rFonts w:ascii="Times New Roman" w:eastAsia="Times New Roman" w:hAnsi="Times New Roman" w:cs="Times New Roman"/>
                <w:sz w:val="24"/>
              </w:rPr>
              <w:t xml:space="preserve"> Evaluation, </w:t>
            </w:r>
            <w:proofErr w:type="spellStart"/>
            <w:r w:rsidRPr="00BB10E7">
              <w:rPr>
                <w:rFonts w:ascii="Times New Roman" w:eastAsia="Times New Roman" w:hAnsi="Times New Roman" w:cs="Times New Roman"/>
                <w:sz w:val="24"/>
              </w:rPr>
              <w:t>OpenAI</w:t>
            </w:r>
            <w:proofErr w:type="spellEnd"/>
            <w:r w:rsidRPr="00BB10E7">
              <w:rPr>
                <w:rFonts w:ascii="Times New Roman" w:eastAsia="Times New Roman" w:hAnsi="Times New Roman" w:cs="Times New Roman"/>
                <w:sz w:val="24"/>
              </w:rPr>
              <w:t xml:space="preserve"> Evals</w:t>
            </w:r>
          </w:p>
        </w:tc>
        <w:tc>
          <w:tcPr>
            <w:tcW w:w="0" w:type="auto"/>
            <w:vAlign w:val="center"/>
            <w:hideMark/>
          </w:tcPr>
          <w:p w14:paraId="795F9D99"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13–14</w:t>
            </w:r>
          </w:p>
        </w:tc>
      </w:tr>
      <w:tr w:rsidR="00D80B45" w:rsidRPr="00BB10E7" w14:paraId="4FEC3548" w14:textId="77777777" w:rsidTr="00BB10E7">
        <w:trPr>
          <w:tblCellSpacing w:w="15" w:type="dxa"/>
        </w:trPr>
        <w:tc>
          <w:tcPr>
            <w:tcW w:w="0" w:type="auto"/>
            <w:vAlign w:val="center"/>
            <w:hideMark/>
          </w:tcPr>
          <w:p w14:paraId="4FDD6BBC"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Operational platforms</w:t>
            </w:r>
          </w:p>
        </w:tc>
        <w:tc>
          <w:tcPr>
            <w:tcW w:w="0" w:type="auto"/>
            <w:vAlign w:val="center"/>
            <w:hideMark/>
          </w:tcPr>
          <w:p w14:paraId="7C7AEE0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Deploy, monitor, and manage AI services in production</w:t>
            </w:r>
          </w:p>
        </w:tc>
        <w:tc>
          <w:tcPr>
            <w:tcW w:w="0" w:type="auto"/>
            <w:vAlign w:val="center"/>
            <w:hideMark/>
          </w:tcPr>
          <w:p w14:paraId="130B520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 xml:space="preserve">Kubernetes, </w:t>
            </w:r>
            <w:proofErr w:type="spellStart"/>
            <w:r w:rsidRPr="00BB10E7">
              <w:rPr>
                <w:rFonts w:ascii="Times New Roman" w:eastAsia="Times New Roman" w:hAnsi="Times New Roman" w:cs="Times New Roman"/>
                <w:sz w:val="24"/>
              </w:rPr>
              <w:t>OpenTelemetry</w:t>
            </w:r>
            <w:proofErr w:type="spellEnd"/>
            <w:r w:rsidRPr="00BB10E7">
              <w:rPr>
                <w:rFonts w:ascii="Times New Roman" w:eastAsia="Times New Roman" w:hAnsi="Times New Roman" w:cs="Times New Roman"/>
                <w:sz w:val="24"/>
              </w:rPr>
              <w:t>, Argo CD, Helm, Prometheus</w:t>
            </w:r>
          </w:p>
        </w:tc>
        <w:tc>
          <w:tcPr>
            <w:tcW w:w="0" w:type="auto"/>
            <w:vAlign w:val="center"/>
            <w:hideMark/>
          </w:tcPr>
          <w:p w14:paraId="3455856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15–17</w:t>
            </w:r>
          </w:p>
        </w:tc>
      </w:tr>
    </w:tbl>
    <w:p w14:paraId="33C4FC1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Several observations emerge from this classification.</w:t>
      </w:r>
    </w:p>
    <w:p w14:paraId="2707347A"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First, no single technology category dominates the architecture. Although foundation models receive most public attention, they represent only one component of a considerably larger operational environment. In mature production systems, the majority of engineering effort frequently involves infrastructure surrounding the model rather than the model itself. Platform teams spend significant time designing deployment pipelines, integrating enterprise systems, implementing security policies, collecting operational telemetry, managing infrastructure costs, and ensuring service reliability.</w:t>
      </w:r>
    </w:p>
    <w:p w14:paraId="5A75026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Second, these categories evolve at different rates. Networking standards, distributed tracing protocols, container orchestration platforms, and authentication mechanisms typically mature over many years. By contrast, model providers, inference optimizations, benchmarking methodologies, and agent frameworks often change several times within a single year. Recognizing this distinction helps engineers prioritize architectural stability over short-term technology trends.</w:t>
      </w:r>
    </w:p>
    <w:p w14:paraId="55EA6B0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Third, technology categories increasingly overlap. Many cloud providers now offer managed inference, orchestration frameworks, evaluation services, and governance capabilities within integrated platforms. Conversely, open-source projects increasingly provide functionality once associated exclusively with commercial cloud services. As a result, selecting technologies involves evaluating architectural fit, operational maturity, and organizational requirements rather than assuming a clear distinction between proprietary and open ecosystems.</w:t>
      </w:r>
    </w:p>
    <w:p w14:paraId="1D18F98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Throughout this book, technologies are therefore discussed primarily in terms of their architectural responsibilities and operational characteristics. Vendor comparisons are introduced only where they illuminate meaningful engineering </w:t>
      </w:r>
      <w:r w:rsidRPr="00046211">
        <w:rPr>
          <w:rFonts w:ascii="Times New Roman" w:eastAsia="Times New Roman" w:hAnsi="Times New Roman" w:cs="Times New Roman"/>
          <w:sz w:val="28"/>
          <w:szCs w:val="24"/>
        </w:rPr>
        <w:lastRenderedPageBreak/>
        <w:t>trade-offs such as deployment flexibility, operational complexity, ecosystem maturity, licensing implications, or long-term maintainability.</w:t>
      </w:r>
    </w:p>
    <w:p w14:paraId="6229B843" w14:textId="77777777" w:rsidR="00D80B45" w:rsidRPr="00046211" w:rsidRDefault="004F40AC" w:rsidP="00D80B4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34D18B8D">
          <v:rect id="_x0000_i1027" style="width:0;height:1.5pt" o:hralign="center" o:hrstd="t" o:hr="t" fillcolor="#a0a0a0" stroked="f"/>
        </w:pict>
      </w:r>
    </w:p>
    <w:p w14:paraId="758EC4B8"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1.5 AI Platform Architecture Is a System, Not a Model</w:t>
      </w:r>
    </w:p>
    <w:p w14:paraId="011DB3A5"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Public discussions of artificial intelligence frequently focus almost exclusively on the capabilities of individual models. Benchmark rankings, reasoning performance, context length, and multimodal capabilities dominate technical announcements and media coverage. While these characteristics are important, they represent only one dimension of a production AI system.</w:t>
      </w:r>
    </w:p>
    <w:p w14:paraId="6B816A86"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From an engineering perspective, an AI platform is fundamentally a distributed software system whose purpose is to incorporate model inference into larger business processes.</w:t>
      </w:r>
    </w:p>
    <w:p w14:paraId="5EE08F9D"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 user interacting with an enterprise AI application rarely communicates directly with a model. Instead, requests typically traverse multiple infrastructure components before reaching an inference engine. Authentication services verify identity and authorization. AI gateways select an appropriate model provider and apply routing policies. Retrieval systems gather relevant organizational knowledge. Orchestration components coordinate tool execution or multi-step workflows. External services perform business operations, while telemetry systems record metrics, traces, and logs for operational analysis. The model participates in this workflow, but it is only one participant.</w:t>
      </w:r>
    </w:p>
    <w:p w14:paraId="67F265D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distinction is significant because many production failures originate outside the model itself. A highly capable model cannot compensate for missing retrieval data, incorrect authorization policies, unavailable external services, network failures, deployment errors, or insufficient operational visibility. Conversely, robust platform engineering can often improve the reliability and usefulness of AI applications without changing the underlying model.</w:t>
      </w:r>
    </w:p>
    <w:p w14:paraId="593A6B02"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The architectural concerns governing AI platforms are therefore familiar to experienced software engineers. Scalability, fault tolerance, concurrency control, network communication, caching strategies, service discovery, authentication, authorization, observability, deployment automation, and disaster recovery remain </w:t>
      </w:r>
      <w:r w:rsidRPr="00046211">
        <w:rPr>
          <w:rFonts w:ascii="Times New Roman" w:eastAsia="Times New Roman" w:hAnsi="Times New Roman" w:cs="Times New Roman"/>
          <w:sz w:val="28"/>
          <w:szCs w:val="24"/>
        </w:rPr>
        <w:lastRenderedPageBreak/>
        <w:t>essential design considerations. AI introduces new workload characteristics, but it does not replace the established principles of distributed systems engineering.</w:t>
      </w:r>
    </w:p>
    <w:p w14:paraId="31280D82"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observation explains why many successful AI platform teams are multidisciplinary. Platform engineers contribute expertise in infrastructure automation and cloud-native operations. Software engineers design application architectures and service interfaces. Site reliability engineers define operational objectives and incident response procedures. Security specialists establish governance policies and access controls. Data engineers manage information pipelines supporting retrieval and knowledge systems. AI specialists evaluate model capabilities and guide model selection. Effective platforms emerge through collaboration across these disciplines rather than through expertise in model development alone.</w:t>
      </w:r>
    </w:p>
    <w:p w14:paraId="689B0FA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Viewing AI systems as distributed platforms also changes how architectural success should be evaluated. Rather than asking whether a particular model achieves the highest benchmark score, engineers should consider broader operational questions.</w:t>
      </w:r>
    </w:p>
    <w:p w14:paraId="1FB3D122" w14:textId="77777777" w:rsidR="00D80B45" w:rsidRPr="00BB10E7" w:rsidRDefault="00D80B45" w:rsidP="00BB10E7">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the platform continue serving requests when one provider becomes unavailable?</w:t>
      </w:r>
    </w:p>
    <w:p w14:paraId="506AD4ED" w14:textId="77777777" w:rsidR="00D80B45" w:rsidRPr="00BB10E7" w:rsidRDefault="00D80B45" w:rsidP="00BB10E7">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new models be introduced without requiring application rewrites?</w:t>
      </w:r>
    </w:p>
    <w:p w14:paraId="2D775E31" w14:textId="77777777" w:rsidR="00D80B45" w:rsidRPr="00BB10E7" w:rsidRDefault="00D80B45" w:rsidP="00BB10E7">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responses be audited for regulatory compliance?</w:t>
      </w:r>
    </w:p>
    <w:p w14:paraId="57654C53" w14:textId="77777777" w:rsidR="00D80B45" w:rsidRPr="00BB10E7" w:rsidRDefault="00D80B45" w:rsidP="00BB10E7">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sensitive data be protected throughout inference and retrieval workflows?</w:t>
      </w:r>
    </w:p>
    <w:p w14:paraId="642DF3C7" w14:textId="77777777" w:rsidR="00D80B45" w:rsidRPr="00BB10E7" w:rsidRDefault="00D80B45" w:rsidP="00BB10E7">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failures be diagnosed efficiently?</w:t>
      </w:r>
    </w:p>
    <w:p w14:paraId="51EDFB26" w14:textId="77777777" w:rsidR="00D80B45" w:rsidRPr="00BB10E7" w:rsidRDefault="00D80B45" w:rsidP="00BB10E7">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infrastructure scale economically as demand increases?</w:t>
      </w:r>
    </w:p>
    <w:p w14:paraId="31C8C330"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These questions are architectural rather than algorithmic. They determine whether AI capabilities remain reliable over months or years of production operation.</w:t>
      </w:r>
    </w:p>
    <w:p w14:paraId="7DF4CED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remainder of this book adopts this systems perspective consistently. Individual models, inference engines, retrieval systems, orchestration frameworks, and governance mechanisms are presented not as isolated technologies but as cooperating components within a larger platform architecture.</w:t>
      </w:r>
    </w:p>
    <w:p w14:paraId="33B110F6" w14:textId="77777777" w:rsidR="00D80B45" w:rsidRPr="00046211" w:rsidRDefault="004F40AC" w:rsidP="00D80B4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65E35D83">
          <v:rect id="_x0000_i1028" style="width:0;height:1.5pt" o:hralign="center" o:hrstd="t" o:hr="t" fillcolor="#a0a0a0" stroked="f"/>
        </w:pict>
      </w:r>
    </w:p>
    <w:p w14:paraId="2AE48004"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lastRenderedPageBreak/>
        <w:t>1.6 Engineering Decisions Versus Product Selection</w:t>
      </w:r>
    </w:p>
    <w:p w14:paraId="1B0FDA5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One of the most common mistakes made during AI adoption is allowing technology selection to precede architectural analysis.</w:t>
      </w:r>
    </w:p>
    <w:p w14:paraId="4A3820F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Organizations often begin with questions such as "Which model should we use?" or "Which agent framework is best?" While understandable, these questions assume that product selection is the primary architectural decision. In practice, experienced platform engineers approach the problem from the opposite direction.</w:t>
      </w:r>
    </w:p>
    <w:p w14:paraId="6656342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Engineering decisions begin with requirements.</w:t>
      </w:r>
    </w:p>
    <w:p w14:paraId="141C408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Every production AI system operates under a unique combination of technical, organizational, regulatory, and financial constraints. These constraints determine which architectural approaches are feasible and, consequently, which technologies are appropriate. Selecting a model or framework before understanding these requirements frequently results in unnecessary complexity, vendor lock-in, or costly redesigns later in the project lifecycle.</w:t>
      </w:r>
    </w:p>
    <w:p w14:paraId="1AE4F60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Requirements can be divided into several broad categories.</w:t>
      </w:r>
    </w:p>
    <w:p w14:paraId="5CC03D9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Functional requirements describe the capabilities expected by users. Examples include conversational assistants, document analysis, software engineering support, multimodal processing, structured information extraction, or autonomous workflow execution.</w:t>
      </w:r>
    </w:p>
    <w:p w14:paraId="5607C722"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Non-functional requirements often exert even greater influence over architectural decisions. Latency objectives, availability targets, geographic deployment constraints, regulatory obligations, privacy requirements, throughput expectations, operational maturity, and budget limitations frequently determine whether commercial APIs, self-hosted inference, or hybrid architectures are appropriate.</w:t>
      </w:r>
    </w:p>
    <w:p w14:paraId="036F582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Organizational considerations are equally important. A small engineering team with limited operational experience may reasonably prioritize managed AI services to reduce infrastructure complexity. A large enterprise operating across multiple jurisdictions may instead prioritize deployment flexibility, governance, and infrastructure ownership despite higher operational costs. Neither decision is inherently superior; each reflects different organizational priorities.</w:t>
      </w:r>
    </w:p>
    <w:p w14:paraId="619623EA"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These relationships illustrate an important principle of platform engineering: requirements drive architecture, and architecture constrains technology selection.</w:t>
      </w:r>
    </w:p>
    <w:p w14:paraId="57ECADF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1-5. Requirements and Their Architectural Implications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3800"/>
        <w:gridCol w:w="3639"/>
      </w:tblGrid>
      <w:tr w:rsidR="00D80B45" w:rsidRPr="00BB10E7" w14:paraId="4F0B09A2" w14:textId="77777777" w:rsidTr="00BB10E7">
        <w:trPr>
          <w:tblHeader/>
          <w:tblCellSpacing w:w="15" w:type="dxa"/>
        </w:trPr>
        <w:tc>
          <w:tcPr>
            <w:tcW w:w="0" w:type="auto"/>
            <w:vAlign w:val="center"/>
            <w:hideMark/>
          </w:tcPr>
          <w:p w14:paraId="2DDB7E8E"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Requirement</w:t>
            </w:r>
          </w:p>
        </w:tc>
        <w:tc>
          <w:tcPr>
            <w:tcW w:w="0" w:type="auto"/>
            <w:vAlign w:val="center"/>
            <w:hideMark/>
          </w:tcPr>
          <w:p w14:paraId="5892D78A"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Architectural Considerations</w:t>
            </w:r>
          </w:p>
        </w:tc>
        <w:tc>
          <w:tcPr>
            <w:tcW w:w="0" w:type="auto"/>
            <w:vAlign w:val="center"/>
            <w:hideMark/>
          </w:tcPr>
          <w:p w14:paraId="1463ADB1"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Typical Technology Implications</w:t>
            </w:r>
          </w:p>
        </w:tc>
      </w:tr>
      <w:tr w:rsidR="00D80B45" w:rsidRPr="00BB10E7" w14:paraId="58A8F104" w14:textId="77777777" w:rsidTr="00BB10E7">
        <w:trPr>
          <w:tblCellSpacing w:w="15" w:type="dxa"/>
        </w:trPr>
        <w:tc>
          <w:tcPr>
            <w:tcW w:w="0" w:type="auto"/>
            <w:vAlign w:val="center"/>
            <w:hideMark/>
          </w:tcPr>
          <w:p w14:paraId="757D7DB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Low interactive latency</w:t>
            </w:r>
          </w:p>
        </w:tc>
        <w:tc>
          <w:tcPr>
            <w:tcW w:w="0" w:type="auto"/>
            <w:vAlign w:val="center"/>
            <w:hideMark/>
          </w:tcPr>
          <w:p w14:paraId="6A4DBF7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Minimize network distance, optimize inference, reduce request overhead</w:t>
            </w:r>
          </w:p>
        </w:tc>
        <w:tc>
          <w:tcPr>
            <w:tcW w:w="0" w:type="auto"/>
            <w:vAlign w:val="center"/>
            <w:hideMark/>
          </w:tcPr>
          <w:p w14:paraId="43B6D8D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Regional deployment, optimized inference engines, request routing</w:t>
            </w:r>
          </w:p>
        </w:tc>
      </w:tr>
      <w:tr w:rsidR="00D80B45" w:rsidRPr="00BB10E7" w14:paraId="48293B26" w14:textId="77777777" w:rsidTr="00BB10E7">
        <w:trPr>
          <w:tblCellSpacing w:w="15" w:type="dxa"/>
        </w:trPr>
        <w:tc>
          <w:tcPr>
            <w:tcW w:w="0" w:type="auto"/>
            <w:vAlign w:val="center"/>
            <w:hideMark/>
          </w:tcPr>
          <w:p w14:paraId="6433028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 sovereignty</w:t>
            </w:r>
          </w:p>
        </w:tc>
        <w:tc>
          <w:tcPr>
            <w:tcW w:w="0" w:type="auto"/>
            <w:vAlign w:val="center"/>
            <w:hideMark/>
          </w:tcPr>
          <w:p w14:paraId="13F54B0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Control where data is processed and stored</w:t>
            </w:r>
          </w:p>
        </w:tc>
        <w:tc>
          <w:tcPr>
            <w:tcW w:w="0" w:type="auto"/>
            <w:vAlign w:val="center"/>
            <w:hideMark/>
          </w:tcPr>
          <w:p w14:paraId="444C8F7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Self-hosted models, regional cloud deployments, private networking</w:t>
            </w:r>
          </w:p>
        </w:tc>
      </w:tr>
      <w:tr w:rsidR="00D80B45" w:rsidRPr="00BB10E7" w14:paraId="438C9C40" w14:textId="77777777" w:rsidTr="00BB10E7">
        <w:trPr>
          <w:tblCellSpacing w:w="15" w:type="dxa"/>
        </w:trPr>
        <w:tc>
          <w:tcPr>
            <w:tcW w:w="0" w:type="auto"/>
            <w:vAlign w:val="center"/>
            <w:hideMark/>
          </w:tcPr>
          <w:p w14:paraId="70CEF5F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High availability</w:t>
            </w:r>
          </w:p>
        </w:tc>
        <w:tc>
          <w:tcPr>
            <w:tcW w:w="0" w:type="auto"/>
            <w:vAlign w:val="center"/>
            <w:hideMark/>
          </w:tcPr>
          <w:p w14:paraId="4EC025A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Eliminate single points of failure and provider dependence</w:t>
            </w:r>
          </w:p>
        </w:tc>
        <w:tc>
          <w:tcPr>
            <w:tcW w:w="0" w:type="auto"/>
            <w:vAlign w:val="center"/>
            <w:hideMark/>
          </w:tcPr>
          <w:p w14:paraId="3C70843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Multi-region deployment, provider failover, resilient gateways</w:t>
            </w:r>
          </w:p>
        </w:tc>
      </w:tr>
      <w:tr w:rsidR="00D80B45" w:rsidRPr="00BB10E7" w14:paraId="0BF7C6B6" w14:textId="77777777" w:rsidTr="00BB10E7">
        <w:trPr>
          <w:tblCellSpacing w:w="15" w:type="dxa"/>
        </w:trPr>
        <w:tc>
          <w:tcPr>
            <w:tcW w:w="0" w:type="auto"/>
            <w:vAlign w:val="center"/>
            <w:hideMark/>
          </w:tcPr>
          <w:p w14:paraId="0453298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Rapid feature delivery</w:t>
            </w:r>
          </w:p>
        </w:tc>
        <w:tc>
          <w:tcPr>
            <w:tcW w:w="0" w:type="auto"/>
            <w:vAlign w:val="center"/>
            <w:hideMark/>
          </w:tcPr>
          <w:p w14:paraId="056CF79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Reduce operational complexity</w:t>
            </w:r>
          </w:p>
        </w:tc>
        <w:tc>
          <w:tcPr>
            <w:tcW w:w="0" w:type="auto"/>
            <w:vAlign w:val="center"/>
            <w:hideMark/>
          </w:tcPr>
          <w:p w14:paraId="406208C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Managed AI services, standardized APIs, reusable platform components</w:t>
            </w:r>
          </w:p>
        </w:tc>
      </w:tr>
      <w:tr w:rsidR="00D80B45" w:rsidRPr="00BB10E7" w14:paraId="4165CA9A" w14:textId="77777777" w:rsidTr="00BB10E7">
        <w:trPr>
          <w:tblCellSpacing w:w="15" w:type="dxa"/>
        </w:trPr>
        <w:tc>
          <w:tcPr>
            <w:tcW w:w="0" w:type="auto"/>
            <w:vAlign w:val="center"/>
            <w:hideMark/>
          </w:tcPr>
          <w:p w14:paraId="3B8EF6B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Regulatory compliance</w:t>
            </w:r>
          </w:p>
        </w:tc>
        <w:tc>
          <w:tcPr>
            <w:tcW w:w="0" w:type="auto"/>
            <w:vAlign w:val="center"/>
            <w:hideMark/>
          </w:tcPr>
          <w:p w14:paraId="769C29C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Ensure auditing, policy enforcement, and governance</w:t>
            </w:r>
          </w:p>
        </w:tc>
        <w:tc>
          <w:tcPr>
            <w:tcW w:w="0" w:type="auto"/>
            <w:vAlign w:val="center"/>
            <w:hideMark/>
          </w:tcPr>
          <w:p w14:paraId="5FFB292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Access controls, logging, policy engines, deployment controls</w:t>
            </w:r>
          </w:p>
        </w:tc>
      </w:tr>
      <w:tr w:rsidR="00D80B45" w:rsidRPr="00BB10E7" w14:paraId="3B233E96" w14:textId="77777777" w:rsidTr="00BB10E7">
        <w:trPr>
          <w:tblCellSpacing w:w="15" w:type="dxa"/>
        </w:trPr>
        <w:tc>
          <w:tcPr>
            <w:tcW w:w="0" w:type="auto"/>
            <w:vAlign w:val="center"/>
            <w:hideMark/>
          </w:tcPr>
          <w:p w14:paraId="791A5A3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Predictable operating costs</w:t>
            </w:r>
          </w:p>
        </w:tc>
        <w:tc>
          <w:tcPr>
            <w:tcW w:w="0" w:type="auto"/>
            <w:vAlign w:val="center"/>
            <w:hideMark/>
          </w:tcPr>
          <w:p w14:paraId="030331B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Control infrastructure utilization and provider pricing exposure</w:t>
            </w:r>
          </w:p>
        </w:tc>
        <w:tc>
          <w:tcPr>
            <w:tcW w:w="0" w:type="auto"/>
            <w:vAlign w:val="center"/>
            <w:hideMark/>
          </w:tcPr>
          <w:p w14:paraId="2C97159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Capacity planning, model routing strategies, hybrid deployments</w:t>
            </w:r>
          </w:p>
        </w:tc>
      </w:tr>
    </w:tbl>
    <w:p w14:paraId="5224C1F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relationship between requirements and technology selection also explains why there is rarely a universally "best" AI stack. A startup building an internal productivity assistant, a regulated financial institution, a government agency operating in isolated environments, and a global software company serving millions of users face fundamentally different constraints. Their platforms may therefore employ different combinations of models, deployment strategies, orchestration frameworks, and operational tooling while each representing a sound engineering solution.</w:t>
      </w:r>
    </w:p>
    <w:p w14:paraId="67328A94"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perspective encourages a healthy skepticism toward technology rankings and product comparisons. Benchmarks, feature matrices, and community popularity provide useful information, but they cannot determine architectural suitability in isolation. A model that performs exceptionally well on public benchmarks may be unsuitable because of licensing restrictions, operational costs, unavailable deployment options, or integration complexity. Conversely, a model with lower benchmark scores may provide the most appropriate balance of performance, privacy, reliability, and operational simplicity for a particular organization.</w:t>
      </w:r>
    </w:p>
    <w:p w14:paraId="18FB4C26"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Throughout the remainder of this book, technologies are therefore evaluated using a consistent set of engineering criteria rather than popularity or novelty. These criteria include architectural compatibility, operational maturity, deployment </w:t>
      </w:r>
      <w:r w:rsidRPr="00046211">
        <w:rPr>
          <w:rFonts w:ascii="Times New Roman" w:eastAsia="Times New Roman" w:hAnsi="Times New Roman" w:cs="Times New Roman"/>
          <w:sz w:val="28"/>
          <w:szCs w:val="24"/>
        </w:rPr>
        <w:lastRenderedPageBreak/>
        <w:t>flexibility, ecosystem support, interoperability, security posture, performance characteristics, total cost of ownership, and long-term maintainability. This framework provides a more durable basis for technology selection than chasing the latest benchmark leader or framework release.</w:t>
      </w:r>
    </w:p>
    <w:p w14:paraId="7BA5155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following sections build upon this philosophy by examining how evidence should be gathered, interpreted, and applied when evaluating rapidly evolving AI technologies.</w:t>
      </w:r>
    </w:p>
    <w:p w14:paraId="0731562C" w14:textId="77777777" w:rsidR="00D80B45" w:rsidRPr="00046211" w:rsidRDefault="00D80B45" w:rsidP="00D80B45">
      <w:pPr>
        <w:pStyle w:val="Heading1"/>
        <w:rPr>
          <w:sz w:val="52"/>
        </w:rPr>
      </w:pPr>
      <w:r w:rsidRPr="00046211">
        <w:rPr>
          <w:sz w:val="52"/>
        </w:rPr>
        <w:t>1.7 Understanding the AI Hype Cycle</w:t>
      </w:r>
    </w:p>
    <w:p w14:paraId="0AC39142" w14:textId="77777777" w:rsidR="00D80B45" w:rsidRPr="00046211" w:rsidRDefault="00D80B45" w:rsidP="00D80B45">
      <w:pPr>
        <w:pStyle w:val="NormalWeb"/>
        <w:rPr>
          <w:sz w:val="28"/>
        </w:rPr>
      </w:pPr>
      <w:r w:rsidRPr="00046211">
        <w:rPr>
          <w:sz w:val="28"/>
        </w:rPr>
        <w:t>Few areas of software engineering evolve as rapidly—or generate as much public attention—as generative artificial intelligence. New foundation models, benchmarks, inference techniques, and agent frameworks are announced at a pace that can make the ecosystem appear fundamentally different every few months. Marketing materials often describe each release as a major breakthrough, while social media amplifies benchmark improvements, demonstration videos, and anecdotal success stories. For engineers responsible for long-lived production systems, this environment creates a difficult challenge: distinguishing durable technological progress from short-term market excitement.</w:t>
      </w:r>
    </w:p>
    <w:p w14:paraId="0BA83818" w14:textId="77777777" w:rsidR="00D80B45" w:rsidRPr="00046211" w:rsidRDefault="00D80B45" w:rsidP="00D80B45">
      <w:pPr>
        <w:pStyle w:val="NormalWeb"/>
        <w:rPr>
          <w:sz w:val="28"/>
        </w:rPr>
      </w:pPr>
      <w:r w:rsidRPr="00046211">
        <w:rPr>
          <w:sz w:val="28"/>
        </w:rPr>
        <w:t xml:space="preserve">Every emerging technology </w:t>
      </w:r>
      <w:proofErr w:type="gramStart"/>
      <w:r w:rsidRPr="00046211">
        <w:rPr>
          <w:sz w:val="28"/>
        </w:rPr>
        <w:t>experiences</w:t>
      </w:r>
      <w:proofErr w:type="gramEnd"/>
      <w:r w:rsidRPr="00046211">
        <w:rPr>
          <w:sz w:val="28"/>
        </w:rPr>
        <w:t xml:space="preserve"> periods during which expectations temporarily exceed practical capabilities. Artificial intelligence is no exception. Many concepts that are now considered standard—including deep learning, cloud computing, containers, and Kubernetes—experienced cycles of intense enthusiasm followed by more measured adoption as engineering practice matured. Over time, successful technologies become integrated into broader software ecosystems, while others fail to achieve widespread operational use despite early attention.</w:t>
      </w:r>
    </w:p>
    <w:p w14:paraId="4F7C9D27" w14:textId="77777777" w:rsidR="00D80B45" w:rsidRPr="00046211" w:rsidRDefault="00D80B45" w:rsidP="00D80B45">
      <w:pPr>
        <w:pStyle w:val="NormalWeb"/>
        <w:rPr>
          <w:sz w:val="28"/>
        </w:rPr>
      </w:pPr>
      <w:r w:rsidRPr="00046211">
        <w:rPr>
          <w:sz w:val="28"/>
        </w:rPr>
        <w:t>The current AI ecosystem exhibits many characteristics of this maturation process. Foundation models continue to improve rapidly, but advances in model capability are only one dimension of platform evolution. Equally important developments have occurred in inference optimization, AI networking, retrieval systems, governance, evaluation methodologies, and operational tooling. Many of these improvements receive less public attention than new model releases, yet they often have greater impact on the reliability and maintainability of production systems.</w:t>
      </w:r>
    </w:p>
    <w:p w14:paraId="7AA5AFFD" w14:textId="77777777" w:rsidR="00D80B45" w:rsidRPr="00046211" w:rsidRDefault="00D80B45" w:rsidP="00D80B45">
      <w:pPr>
        <w:pStyle w:val="NormalWeb"/>
        <w:rPr>
          <w:sz w:val="28"/>
        </w:rPr>
      </w:pPr>
      <w:r w:rsidRPr="00046211">
        <w:rPr>
          <w:sz w:val="28"/>
        </w:rPr>
        <w:t xml:space="preserve">For this reason, engineers should avoid equating technological visibility with architectural importance. The components that receive the least attention in product announcements—deployment automation, observability, authentication, policy </w:t>
      </w:r>
      <w:r w:rsidRPr="00046211">
        <w:rPr>
          <w:sz w:val="28"/>
        </w:rPr>
        <w:lastRenderedPageBreak/>
        <w:t>enforcement, caching, version management, and operational governance—are frequently those that determine whether an AI capability can be operated successfully at enterprise scale.</w:t>
      </w:r>
    </w:p>
    <w:p w14:paraId="415D8069" w14:textId="77777777" w:rsidR="00D80B45" w:rsidRPr="00046211" w:rsidRDefault="00D80B45" w:rsidP="00D80B45">
      <w:pPr>
        <w:pStyle w:val="NormalWeb"/>
        <w:rPr>
          <w:sz w:val="28"/>
        </w:rPr>
      </w:pPr>
      <w:r w:rsidRPr="00046211">
        <w:rPr>
          <w:sz w:val="28"/>
        </w:rPr>
        <w:t>The rapid pace of announcements also creates an illusion that complete architectural redesign is constantly required. In reality, most production platforms evolve incrementally. Organizations rarely replace every component simultaneously. Instead, new models are introduced behind stable interfaces, inference engines are upgraded independently of application logic, evaluation frameworks evolve without changing deployment pipelines, and governance policies mature alongside regulatory requirements. Well-designed platforms intentionally isolate these changes through abstraction layers and modular architecture.</w:t>
      </w:r>
    </w:p>
    <w:p w14:paraId="3B140D98" w14:textId="77777777" w:rsidR="00D80B45" w:rsidRPr="00046211" w:rsidRDefault="00D80B45" w:rsidP="00D80B45">
      <w:pPr>
        <w:pStyle w:val="NormalWeb"/>
        <w:rPr>
          <w:sz w:val="28"/>
        </w:rPr>
      </w:pPr>
      <w:r w:rsidRPr="00046211">
        <w:rPr>
          <w:sz w:val="28"/>
        </w:rPr>
        <w:t>Another source of confusion arises from the different time horizons associated with AI technologies. Models may improve every few months, inference engines several times each year, and orchestration frameworks evolve rapidly as new programming paradigms emerge. By contrast, distributed systems principles, networking protocols, authentication standards, relational databases, container orchestration, and observability frameworks evolve much more gradually. Recognizing this distinction helps engineers invest their attention appropriately. Stable architectural principles deserve long-term commitment, whereas rapidly evolving technologies should be incorporated through interfaces that minimize future migration effort.</w:t>
      </w:r>
    </w:p>
    <w:p w14:paraId="0B5A44B5" w14:textId="77777777" w:rsidR="00D80B45" w:rsidRPr="00046211" w:rsidRDefault="00D80B45" w:rsidP="00D80B45">
      <w:pPr>
        <w:pStyle w:val="NormalWeb"/>
        <w:rPr>
          <w:sz w:val="28"/>
        </w:rPr>
      </w:pPr>
      <w:r w:rsidRPr="00046211">
        <w:rPr>
          <w:sz w:val="28"/>
        </w:rPr>
        <w:t>The visibility of AI announcements can also distort engineering priorities. Public discussion frequently centers on identifying the "best" model or the newest agent framework, even though these decisions rarely determine overall platform success. A production system with slightly lower benchmark performance but strong governance, predictable deployment processes, comprehensive observability, and efficient operational practices will often deliver greater long-term business value than a system built around the latest model but lacking operational maturity.</w:t>
      </w:r>
    </w:p>
    <w:p w14:paraId="210A87FB" w14:textId="77777777" w:rsidR="00D80B45" w:rsidRPr="00046211" w:rsidRDefault="00D80B45" w:rsidP="00D80B45">
      <w:pPr>
        <w:pStyle w:val="NormalWeb"/>
        <w:rPr>
          <w:sz w:val="28"/>
        </w:rPr>
      </w:pPr>
      <w:r w:rsidRPr="00046211">
        <w:rPr>
          <w:sz w:val="28"/>
        </w:rPr>
        <w:t>The objective of this chapter is therefore not to discourage adoption of new technologies, but to encourage disciplined evaluation. Innovation should be embraced when it addresses identifiable engineering problems and demonstrates measurable advantages under realistic production conditions. Novelty alone is not sufficient justification for architectural change.</w:t>
      </w:r>
    </w:p>
    <w:p w14:paraId="2C0F72D0" w14:textId="77777777" w:rsidR="00D80B45" w:rsidRPr="00046211" w:rsidRDefault="00D80B45" w:rsidP="00D80B45">
      <w:pPr>
        <w:pStyle w:val="NormalWeb"/>
        <w:rPr>
          <w:sz w:val="28"/>
        </w:rPr>
      </w:pPr>
      <w:r w:rsidRPr="00046211">
        <w:rPr>
          <w:sz w:val="28"/>
        </w:rPr>
        <w:lastRenderedPageBreak/>
        <w:t>Throughout this book, technologies are presented according to their engineering maturity rather than their popularity. Mature technologies represent established industry practice supported by operational experience and stable ecosystems. Emerging technologies may offer significant potential but often require additional evaluation before they become suitable for critical production workloads. Understanding this distinction allows organizations to innovate without exposing core business systems to unnecessary operational risk.</w:t>
      </w:r>
    </w:p>
    <w:p w14:paraId="67B46C1A" w14:textId="77777777" w:rsidR="00D80B45" w:rsidRPr="00046211" w:rsidRDefault="004F40AC" w:rsidP="00D80B45">
      <w:pPr>
        <w:rPr>
          <w:sz w:val="24"/>
        </w:rPr>
      </w:pPr>
      <w:r>
        <w:rPr>
          <w:sz w:val="24"/>
        </w:rPr>
        <w:pict w14:anchorId="5E875AC2">
          <v:rect id="_x0000_i1029" style="width:0;height:1.5pt" o:hralign="center" o:hrstd="t" o:hr="t" fillcolor="#a0a0a0" stroked="f"/>
        </w:pict>
      </w:r>
    </w:p>
    <w:p w14:paraId="0FA419C9" w14:textId="77777777" w:rsidR="00D80B45" w:rsidRPr="00046211" w:rsidRDefault="00D80B45" w:rsidP="00D80B45">
      <w:pPr>
        <w:pStyle w:val="Heading1"/>
        <w:rPr>
          <w:sz w:val="52"/>
        </w:rPr>
      </w:pPr>
      <w:r w:rsidRPr="00046211">
        <w:rPr>
          <w:sz w:val="52"/>
        </w:rPr>
        <w:t>1.8 Evidence-Based Technology Evaluation</w:t>
      </w:r>
    </w:p>
    <w:p w14:paraId="257DDC8F" w14:textId="77777777" w:rsidR="00D80B45" w:rsidRPr="00046211" w:rsidRDefault="00D80B45" w:rsidP="00D80B45">
      <w:pPr>
        <w:pStyle w:val="NormalWeb"/>
        <w:rPr>
          <w:sz w:val="28"/>
        </w:rPr>
      </w:pPr>
      <w:r w:rsidRPr="00046211">
        <w:rPr>
          <w:sz w:val="28"/>
        </w:rPr>
        <w:t>Given the speed at which AI technologies evolve, one of the most valuable skills for platform engineers is the ability to evaluate technical claims critically. Unlike mature engineering disciplines, where standards and best practices often emerge over decades, generative AI is characterized by continuous experimentation, rapid product releases, and highly competitive marketing. As a result, information varies considerably in quality, reproducibility, and long-term reliability.</w:t>
      </w:r>
    </w:p>
    <w:p w14:paraId="688317B0" w14:textId="77777777" w:rsidR="00D80B45" w:rsidRPr="00046211" w:rsidRDefault="00D80B45" w:rsidP="00D80B45">
      <w:pPr>
        <w:pStyle w:val="NormalWeb"/>
        <w:rPr>
          <w:sz w:val="28"/>
        </w:rPr>
      </w:pPr>
      <w:r w:rsidRPr="00046211">
        <w:rPr>
          <w:sz w:val="28"/>
        </w:rPr>
        <w:t>An evidence-based approach does not assume that every published benchmark, technical report, or product announcement represents objective truth. Instead, it recognizes that different sources provide different forms of evidence, each with distinct strengths and limitations. The role of the engineer is to combine these sources to build a balanced understanding of a technology's capabilities and operational implications.</w:t>
      </w:r>
    </w:p>
    <w:p w14:paraId="0830AE8E" w14:textId="77777777" w:rsidR="00D80B45" w:rsidRPr="00046211" w:rsidRDefault="00D80B45" w:rsidP="00D80B45">
      <w:pPr>
        <w:pStyle w:val="NormalWeb"/>
        <w:rPr>
          <w:sz w:val="28"/>
        </w:rPr>
      </w:pPr>
      <w:r w:rsidRPr="00046211">
        <w:rPr>
          <w:sz w:val="28"/>
        </w:rPr>
        <w:t>Official documentation is typically the primary source for understanding supported features, APIs, deployment requirements, configuration options, and operational recommendations. Documentation reflects the vendor's intended behavior and should generally be treated as authoritative for describing interfaces and supported functionality. However, documentation rarely provides objective comparisons with competing technologies and naturally emphasizes successful use cases over limitations.</w:t>
      </w:r>
    </w:p>
    <w:p w14:paraId="4EA53B7A" w14:textId="77777777" w:rsidR="00D80B45" w:rsidRPr="00046211" w:rsidRDefault="00D80B45" w:rsidP="00D80B45">
      <w:pPr>
        <w:pStyle w:val="NormalWeb"/>
        <w:rPr>
          <w:sz w:val="28"/>
        </w:rPr>
      </w:pPr>
      <w:r w:rsidRPr="00046211">
        <w:rPr>
          <w:sz w:val="28"/>
        </w:rPr>
        <w:t xml:space="preserve">Research papers serve a different purpose. Peer-reviewed publications and technical reports explain algorithms, system designs, architectural innovations, and experimental methodology in considerably greater detail than product documentation. Foundational papers often remain valuable long after specific </w:t>
      </w:r>
      <w:r w:rsidRPr="00046211">
        <w:rPr>
          <w:sz w:val="28"/>
        </w:rPr>
        <w:lastRenderedPageBreak/>
        <w:t>implementations have evolved because they explain the engineering rationale behind important techniques such as Transformer architectures, attention mechanisms, scaling laws, retrieval methods, or inference optimization.</w:t>
      </w:r>
    </w:p>
    <w:p w14:paraId="33E79282" w14:textId="77777777" w:rsidR="00D80B45" w:rsidRPr="00046211" w:rsidRDefault="00D80B45" w:rsidP="00D80B45">
      <w:pPr>
        <w:pStyle w:val="NormalWeb"/>
        <w:rPr>
          <w:sz w:val="28"/>
        </w:rPr>
      </w:pPr>
      <w:r w:rsidRPr="00046211">
        <w:rPr>
          <w:sz w:val="28"/>
        </w:rPr>
        <w:t>Engineering blogs occupy an intermediate position between research and documentation. Technical organizations increasingly publish detailed articles describing production architectures, infrastructure optimizations, operational challenges, and engineering trade-offs encountered while operating large-scale AI systems. Although these articles generally describe real production experience, they should still be interpreted within the context of the author's infrastructure, workload characteristics, and organizational priorities. An optimization that produces substantial improvements for a hyperscale cloud provider may offer limited benefits for a small enterprise deployment.</w:t>
      </w:r>
    </w:p>
    <w:p w14:paraId="55EC613D" w14:textId="77777777" w:rsidR="00D80B45" w:rsidRPr="00046211" w:rsidRDefault="00D80B45" w:rsidP="00D80B45">
      <w:pPr>
        <w:pStyle w:val="NormalWeb"/>
        <w:rPr>
          <w:sz w:val="28"/>
        </w:rPr>
      </w:pPr>
      <w:r w:rsidRPr="00046211">
        <w:rPr>
          <w:sz w:val="28"/>
        </w:rPr>
        <w:t xml:space="preserve">Independent benchmarks and community evaluations provide another valuable perspective because they attempt to compare technologies under common evaluation conditions. Organizations such as </w:t>
      </w:r>
      <w:proofErr w:type="spellStart"/>
      <w:r w:rsidRPr="00046211">
        <w:rPr>
          <w:sz w:val="28"/>
        </w:rPr>
        <w:t>MLCommons</w:t>
      </w:r>
      <w:proofErr w:type="spellEnd"/>
      <w:r w:rsidRPr="00046211">
        <w:rPr>
          <w:sz w:val="28"/>
        </w:rPr>
        <w:t xml:space="preserve"> have demonstrated the importance of standardized benchmarking methodology for inference performance, while independent evaluation frameworks increasingly assess language models using publicly documented procedures. These sources often provide more reproducible evidence than isolated vendor demonstrations because they define explicit testing methodologies and encourage comparable experimental conditions.</w:t>
      </w:r>
    </w:p>
    <w:p w14:paraId="685B3D18" w14:textId="77777777" w:rsidR="00D80B45" w:rsidRPr="00046211" w:rsidRDefault="00D80B45" w:rsidP="00D80B45">
      <w:pPr>
        <w:pStyle w:val="NormalWeb"/>
        <w:rPr>
          <w:sz w:val="28"/>
        </w:rPr>
      </w:pPr>
      <w:r w:rsidRPr="00046211">
        <w:rPr>
          <w:sz w:val="28"/>
        </w:rPr>
        <w:t>Operational experience provides an additional form of evidence that is frequently underrepresented in public discussions. Community reports, conference presentations, postmortems, and long-term deployment case studies often reveal operational challenges that are difficult to identify from benchmarks alone. Memory consumption, upgrade complexity, ecosystem maturity, documentation quality, failure recovery, and integration effort frequently become visible only after technologies have been deployed in production environments.</w:t>
      </w:r>
    </w:p>
    <w:p w14:paraId="0F43BD0E" w14:textId="77777777" w:rsidR="00D80B45" w:rsidRPr="00046211" w:rsidRDefault="00D80B45" w:rsidP="00D80B45">
      <w:pPr>
        <w:pStyle w:val="NormalWeb"/>
        <w:rPr>
          <w:sz w:val="28"/>
        </w:rPr>
      </w:pPr>
      <w:r w:rsidRPr="00046211">
        <w:rPr>
          <w:sz w:val="28"/>
        </w:rPr>
        <w:t>No single source should therefore dominate engineering decisions. Instead, architectural evaluation should synthesize multiple forms of evidence.</w:t>
      </w:r>
    </w:p>
    <w:p w14:paraId="34B874D0" w14:textId="77777777" w:rsidR="00D80B45" w:rsidRPr="00046211" w:rsidRDefault="00D80B45" w:rsidP="00D80B45">
      <w:pPr>
        <w:pStyle w:val="NormalWeb"/>
        <w:rPr>
          <w:sz w:val="28"/>
        </w:rPr>
      </w:pPr>
      <w:r w:rsidRPr="00046211">
        <w:rPr>
          <w:rStyle w:val="Strong"/>
          <w:sz w:val="28"/>
        </w:rPr>
        <w:t>Table 1-6. Common Sources of Engineering Evidence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2455"/>
        <w:gridCol w:w="2529"/>
        <w:gridCol w:w="2584"/>
      </w:tblGrid>
      <w:tr w:rsidR="00D80B45" w:rsidRPr="00BB10E7" w14:paraId="4657EE54" w14:textId="77777777" w:rsidTr="00BB10E7">
        <w:trPr>
          <w:tblHeader/>
          <w:tblCellSpacing w:w="15" w:type="dxa"/>
        </w:trPr>
        <w:tc>
          <w:tcPr>
            <w:tcW w:w="0" w:type="auto"/>
            <w:vAlign w:val="center"/>
            <w:hideMark/>
          </w:tcPr>
          <w:p w14:paraId="23662848" w14:textId="77777777" w:rsidR="00D80B45" w:rsidRPr="00BB10E7" w:rsidRDefault="00D80B45">
            <w:pPr>
              <w:jc w:val="center"/>
              <w:rPr>
                <w:b/>
                <w:bCs/>
                <w:szCs w:val="20"/>
              </w:rPr>
            </w:pPr>
            <w:r w:rsidRPr="00BB10E7">
              <w:rPr>
                <w:b/>
                <w:bCs/>
                <w:szCs w:val="20"/>
              </w:rPr>
              <w:lastRenderedPageBreak/>
              <w:t>Evidence Source</w:t>
            </w:r>
          </w:p>
        </w:tc>
        <w:tc>
          <w:tcPr>
            <w:tcW w:w="0" w:type="auto"/>
            <w:vAlign w:val="center"/>
            <w:hideMark/>
          </w:tcPr>
          <w:p w14:paraId="21240808" w14:textId="77777777" w:rsidR="00D80B45" w:rsidRPr="00BB10E7" w:rsidRDefault="00D80B45">
            <w:pPr>
              <w:jc w:val="center"/>
              <w:rPr>
                <w:b/>
                <w:bCs/>
                <w:szCs w:val="20"/>
              </w:rPr>
            </w:pPr>
            <w:r w:rsidRPr="00BB10E7">
              <w:rPr>
                <w:b/>
                <w:bCs/>
                <w:szCs w:val="20"/>
              </w:rPr>
              <w:t>Strengths</w:t>
            </w:r>
          </w:p>
        </w:tc>
        <w:tc>
          <w:tcPr>
            <w:tcW w:w="0" w:type="auto"/>
            <w:vAlign w:val="center"/>
            <w:hideMark/>
          </w:tcPr>
          <w:p w14:paraId="7E54E562" w14:textId="77777777" w:rsidR="00D80B45" w:rsidRPr="00BB10E7" w:rsidRDefault="00D80B45">
            <w:pPr>
              <w:jc w:val="center"/>
              <w:rPr>
                <w:b/>
                <w:bCs/>
                <w:szCs w:val="20"/>
              </w:rPr>
            </w:pPr>
            <w:r w:rsidRPr="00BB10E7">
              <w:rPr>
                <w:b/>
                <w:bCs/>
                <w:szCs w:val="20"/>
              </w:rPr>
              <w:t>Limitations</w:t>
            </w:r>
          </w:p>
        </w:tc>
        <w:tc>
          <w:tcPr>
            <w:tcW w:w="0" w:type="auto"/>
            <w:vAlign w:val="center"/>
            <w:hideMark/>
          </w:tcPr>
          <w:p w14:paraId="19F0CF93" w14:textId="77777777" w:rsidR="00D80B45" w:rsidRPr="00BB10E7" w:rsidRDefault="00D80B45">
            <w:pPr>
              <w:jc w:val="center"/>
              <w:rPr>
                <w:b/>
                <w:bCs/>
                <w:szCs w:val="20"/>
              </w:rPr>
            </w:pPr>
            <w:r w:rsidRPr="00BB10E7">
              <w:rPr>
                <w:b/>
                <w:bCs/>
                <w:szCs w:val="20"/>
              </w:rPr>
              <w:t>Appropriate Use</w:t>
            </w:r>
          </w:p>
        </w:tc>
      </w:tr>
      <w:tr w:rsidR="00D80B45" w:rsidRPr="00BB10E7" w14:paraId="11CDBB7D" w14:textId="77777777" w:rsidTr="00BB10E7">
        <w:trPr>
          <w:tblCellSpacing w:w="15" w:type="dxa"/>
        </w:trPr>
        <w:tc>
          <w:tcPr>
            <w:tcW w:w="0" w:type="auto"/>
            <w:vAlign w:val="center"/>
            <w:hideMark/>
          </w:tcPr>
          <w:p w14:paraId="365EE1A3" w14:textId="77777777" w:rsidR="00D80B45" w:rsidRPr="00BB10E7" w:rsidRDefault="00D80B45">
            <w:pPr>
              <w:rPr>
                <w:szCs w:val="20"/>
              </w:rPr>
            </w:pPr>
            <w:r w:rsidRPr="00BB10E7">
              <w:rPr>
                <w:szCs w:val="20"/>
              </w:rPr>
              <w:t>Official documentation</w:t>
            </w:r>
          </w:p>
        </w:tc>
        <w:tc>
          <w:tcPr>
            <w:tcW w:w="0" w:type="auto"/>
            <w:vAlign w:val="center"/>
            <w:hideMark/>
          </w:tcPr>
          <w:p w14:paraId="7102EAE0" w14:textId="77777777" w:rsidR="00D80B45" w:rsidRPr="00BB10E7" w:rsidRDefault="00D80B45">
            <w:pPr>
              <w:rPr>
                <w:szCs w:val="20"/>
              </w:rPr>
            </w:pPr>
            <w:r w:rsidRPr="00BB10E7">
              <w:rPr>
                <w:szCs w:val="20"/>
              </w:rPr>
              <w:t>Defines supported functionality, APIs, configuration, and operational guidance</w:t>
            </w:r>
          </w:p>
        </w:tc>
        <w:tc>
          <w:tcPr>
            <w:tcW w:w="0" w:type="auto"/>
            <w:vAlign w:val="center"/>
            <w:hideMark/>
          </w:tcPr>
          <w:p w14:paraId="17F98A37" w14:textId="77777777" w:rsidR="00D80B45" w:rsidRPr="00BB10E7" w:rsidRDefault="00D80B45">
            <w:pPr>
              <w:rPr>
                <w:szCs w:val="20"/>
              </w:rPr>
            </w:pPr>
            <w:r w:rsidRPr="00BB10E7">
              <w:rPr>
                <w:szCs w:val="20"/>
              </w:rPr>
              <w:t>Focuses on intended behavior rather than comparative evaluation</w:t>
            </w:r>
          </w:p>
        </w:tc>
        <w:tc>
          <w:tcPr>
            <w:tcW w:w="0" w:type="auto"/>
            <w:vAlign w:val="center"/>
            <w:hideMark/>
          </w:tcPr>
          <w:p w14:paraId="5B3816C0" w14:textId="77777777" w:rsidR="00D80B45" w:rsidRPr="00BB10E7" w:rsidRDefault="00D80B45">
            <w:pPr>
              <w:rPr>
                <w:szCs w:val="20"/>
              </w:rPr>
            </w:pPr>
            <w:r w:rsidRPr="00BB10E7">
              <w:rPr>
                <w:szCs w:val="20"/>
              </w:rPr>
              <w:t>Understanding capabilities, deployment requirements, and supported interfaces</w:t>
            </w:r>
          </w:p>
        </w:tc>
      </w:tr>
      <w:tr w:rsidR="00D80B45" w:rsidRPr="00BB10E7" w14:paraId="2376059F" w14:textId="77777777" w:rsidTr="00BB10E7">
        <w:trPr>
          <w:tblCellSpacing w:w="15" w:type="dxa"/>
        </w:trPr>
        <w:tc>
          <w:tcPr>
            <w:tcW w:w="0" w:type="auto"/>
            <w:vAlign w:val="center"/>
            <w:hideMark/>
          </w:tcPr>
          <w:p w14:paraId="1C9E67EE" w14:textId="77777777" w:rsidR="00D80B45" w:rsidRPr="00BB10E7" w:rsidRDefault="00D80B45">
            <w:pPr>
              <w:rPr>
                <w:szCs w:val="20"/>
              </w:rPr>
            </w:pPr>
            <w:r w:rsidRPr="00BB10E7">
              <w:rPr>
                <w:szCs w:val="20"/>
              </w:rPr>
              <w:t>Peer-reviewed research papers</w:t>
            </w:r>
          </w:p>
        </w:tc>
        <w:tc>
          <w:tcPr>
            <w:tcW w:w="0" w:type="auto"/>
            <w:vAlign w:val="center"/>
            <w:hideMark/>
          </w:tcPr>
          <w:p w14:paraId="0405CDD0" w14:textId="77777777" w:rsidR="00D80B45" w:rsidRPr="00BB10E7" w:rsidRDefault="00D80B45">
            <w:pPr>
              <w:rPr>
                <w:szCs w:val="20"/>
              </w:rPr>
            </w:pPr>
            <w:r w:rsidRPr="00BB10E7">
              <w:rPr>
                <w:szCs w:val="20"/>
              </w:rPr>
              <w:t>Explain algorithms, methodology, and theoretical foundations</w:t>
            </w:r>
          </w:p>
        </w:tc>
        <w:tc>
          <w:tcPr>
            <w:tcW w:w="0" w:type="auto"/>
            <w:vAlign w:val="center"/>
            <w:hideMark/>
          </w:tcPr>
          <w:p w14:paraId="6DB54873" w14:textId="77777777" w:rsidR="00D80B45" w:rsidRPr="00BB10E7" w:rsidRDefault="00D80B45">
            <w:pPr>
              <w:rPr>
                <w:szCs w:val="20"/>
              </w:rPr>
            </w:pPr>
            <w:r w:rsidRPr="00BB10E7">
              <w:rPr>
                <w:szCs w:val="20"/>
              </w:rPr>
              <w:t>May evaluate controlled experimental environments rather than production systems</w:t>
            </w:r>
          </w:p>
        </w:tc>
        <w:tc>
          <w:tcPr>
            <w:tcW w:w="0" w:type="auto"/>
            <w:vAlign w:val="center"/>
            <w:hideMark/>
          </w:tcPr>
          <w:p w14:paraId="5EA96434" w14:textId="77777777" w:rsidR="00D80B45" w:rsidRPr="00BB10E7" w:rsidRDefault="00D80B45">
            <w:pPr>
              <w:rPr>
                <w:szCs w:val="20"/>
              </w:rPr>
            </w:pPr>
            <w:r w:rsidRPr="00BB10E7">
              <w:rPr>
                <w:szCs w:val="20"/>
              </w:rPr>
              <w:t>Understanding why technologies work and how they evolved</w:t>
            </w:r>
          </w:p>
        </w:tc>
      </w:tr>
      <w:tr w:rsidR="00D80B45" w:rsidRPr="00BB10E7" w14:paraId="067DFA56" w14:textId="77777777" w:rsidTr="00BB10E7">
        <w:trPr>
          <w:tblCellSpacing w:w="15" w:type="dxa"/>
        </w:trPr>
        <w:tc>
          <w:tcPr>
            <w:tcW w:w="0" w:type="auto"/>
            <w:vAlign w:val="center"/>
            <w:hideMark/>
          </w:tcPr>
          <w:p w14:paraId="01C2595E" w14:textId="77777777" w:rsidR="00D80B45" w:rsidRPr="00BB10E7" w:rsidRDefault="00D80B45">
            <w:pPr>
              <w:rPr>
                <w:szCs w:val="20"/>
              </w:rPr>
            </w:pPr>
            <w:r w:rsidRPr="00BB10E7">
              <w:rPr>
                <w:szCs w:val="20"/>
              </w:rPr>
              <w:t>Technical reports and model papers</w:t>
            </w:r>
          </w:p>
        </w:tc>
        <w:tc>
          <w:tcPr>
            <w:tcW w:w="0" w:type="auto"/>
            <w:vAlign w:val="center"/>
            <w:hideMark/>
          </w:tcPr>
          <w:p w14:paraId="17EB0BE5" w14:textId="77777777" w:rsidR="00D80B45" w:rsidRPr="00BB10E7" w:rsidRDefault="00D80B45">
            <w:pPr>
              <w:rPr>
                <w:szCs w:val="20"/>
              </w:rPr>
            </w:pPr>
            <w:r w:rsidRPr="00BB10E7">
              <w:rPr>
                <w:szCs w:val="20"/>
              </w:rPr>
              <w:t>Describe system architecture and large-scale engineering decisions</w:t>
            </w:r>
          </w:p>
        </w:tc>
        <w:tc>
          <w:tcPr>
            <w:tcW w:w="0" w:type="auto"/>
            <w:vAlign w:val="center"/>
            <w:hideMark/>
          </w:tcPr>
          <w:p w14:paraId="2F341222" w14:textId="77777777" w:rsidR="00D80B45" w:rsidRPr="00BB10E7" w:rsidRDefault="00D80B45">
            <w:pPr>
              <w:rPr>
                <w:szCs w:val="20"/>
              </w:rPr>
            </w:pPr>
            <w:r w:rsidRPr="00BB10E7">
              <w:rPr>
                <w:szCs w:val="20"/>
              </w:rPr>
              <w:t>Often published by organizations developing the technology</w:t>
            </w:r>
          </w:p>
        </w:tc>
        <w:tc>
          <w:tcPr>
            <w:tcW w:w="0" w:type="auto"/>
            <w:vAlign w:val="center"/>
            <w:hideMark/>
          </w:tcPr>
          <w:p w14:paraId="7BA866D5" w14:textId="77777777" w:rsidR="00D80B45" w:rsidRPr="00BB10E7" w:rsidRDefault="00D80B45">
            <w:pPr>
              <w:rPr>
                <w:szCs w:val="20"/>
              </w:rPr>
            </w:pPr>
            <w:r w:rsidRPr="00BB10E7">
              <w:rPr>
                <w:szCs w:val="20"/>
              </w:rPr>
              <w:t>Understanding implementation approaches and design rationale</w:t>
            </w:r>
          </w:p>
        </w:tc>
      </w:tr>
      <w:tr w:rsidR="00D80B45" w:rsidRPr="00BB10E7" w14:paraId="362AE461" w14:textId="77777777" w:rsidTr="00BB10E7">
        <w:trPr>
          <w:tblCellSpacing w:w="15" w:type="dxa"/>
        </w:trPr>
        <w:tc>
          <w:tcPr>
            <w:tcW w:w="0" w:type="auto"/>
            <w:vAlign w:val="center"/>
            <w:hideMark/>
          </w:tcPr>
          <w:p w14:paraId="29F95996" w14:textId="77777777" w:rsidR="00D80B45" w:rsidRPr="00BB10E7" w:rsidRDefault="00D80B45">
            <w:pPr>
              <w:rPr>
                <w:szCs w:val="20"/>
              </w:rPr>
            </w:pPr>
            <w:r w:rsidRPr="00BB10E7">
              <w:rPr>
                <w:szCs w:val="20"/>
              </w:rPr>
              <w:t>Engineering blogs</w:t>
            </w:r>
          </w:p>
        </w:tc>
        <w:tc>
          <w:tcPr>
            <w:tcW w:w="0" w:type="auto"/>
            <w:vAlign w:val="center"/>
            <w:hideMark/>
          </w:tcPr>
          <w:p w14:paraId="5DEE86A3" w14:textId="77777777" w:rsidR="00D80B45" w:rsidRPr="00BB10E7" w:rsidRDefault="00D80B45">
            <w:pPr>
              <w:rPr>
                <w:szCs w:val="20"/>
              </w:rPr>
            </w:pPr>
            <w:r w:rsidRPr="00BB10E7">
              <w:rPr>
                <w:szCs w:val="20"/>
              </w:rPr>
              <w:t>Provide practical operational experience and production architecture insights</w:t>
            </w:r>
          </w:p>
        </w:tc>
        <w:tc>
          <w:tcPr>
            <w:tcW w:w="0" w:type="auto"/>
            <w:vAlign w:val="center"/>
            <w:hideMark/>
          </w:tcPr>
          <w:p w14:paraId="22B00F6E" w14:textId="77777777" w:rsidR="00D80B45" w:rsidRPr="00BB10E7" w:rsidRDefault="00D80B45">
            <w:pPr>
              <w:rPr>
                <w:szCs w:val="20"/>
              </w:rPr>
            </w:pPr>
            <w:r w:rsidRPr="00BB10E7">
              <w:rPr>
                <w:szCs w:val="20"/>
              </w:rPr>
              <w:t>Reflect organization-specific workloads and infrastructure</w:t>
            </w:r>
          </w:p>
        </w:tc>
        <w:tc>
          <w:tcPr>
            <w:tcW w:w="0" w:type="auto"/>
            <w:vAlign w:val="center"/>
            <w:hideMark/>
          </w:tcPr>
          <w:p w14:paraId="574CBE3C" w14:textId="77777777" w:rsidR="00D80B45" w:rsidRPr="00BB10E7" w:rsidRDefault="00D80B45">
            <w:pPr>
              <w:rPr>
                <w:szCs w:val="20"/>
              </w:rPr>
            </w:pPr>
            <w:r w:rsidRPr="00BB10E7">
              <w:rPr>
                <w:szCs w:val="20"/>
              </w:rPr>
              <w:t>Learning implementation patterns and operational trade-offs</w:t>
            </w:r>
          </w:p>
        </w:tc>
      </w:tr>
      <w:tr w:rsidR="00D80B45" w:rsidRPr="00BB10E7" w14:paraId="798C5E7C" w14:textId="77777777" w:rsidTr="00BB10E7">
        <w:trPr>
          <w:tblCellSpacing w:w="15" w:type="dxa"/>
        </w:trPr>
        <w:tc>
          <w:tcPr>
            <w:tcW w:w="0" w:type="auto"/>
            <w:vAlign w:val="center"/>
            <w:hideMark/>
          </w:tcPr>
          <w:p w14:paraId="26883C40" w14:textId="77777777" w:rsidR="00D80B45" w:rsidRPr="00BB10E7" w:rsidRDefault="00D80B45">
            <w:pPr>
              <w:rPr>
                <w:szCs w:val="20"/>
              </w:rPr>
            </w:pPr>
            <w:r w:rsidRPr="00BB10E7">
              <w:rPr>
                <w:szCs w:val="20"/>
              </w:rPr>
              <w:t>Standardized benchmarks</w:t>
            </w:r>
          </w:p>
        </w:tc>
        <w:tc>
          <w:tcPr>
            <w:tcW w:w="0" w:type="auto"/>
            <w:vAlign w:val="center"/>
            <w:hideMark/>
          </w:tcPr>
          <w:p w14:paraId="537C2303" w14:textId="77777777" w:rsidR="00D80B45" w:rsidRPr="00BB10E7" w:rsidRDefault="00D80B45">
            <w:pPr>
              <w:rPr>
                <w:szCs w:val="20"/>
              </w:rPr>
            </w:pPr>
            <w:r w:rsidRPr="00BB10E7">
              <w:rPr>
                <w:szCs w:val="20"/>
              </w:rPr>
              <w:t>Enable reproducible comparisons using documented methodologies</w:t>
            </w:r>
          </w:p>
        </w:tc>
        <w:tc>
          <w:tcPr>
            <w:tcW w:w="0" w:type="auto"/>
            <w:vAlign w:val="center"/>
            <w:hideMark/>
          </w:tcPr>
          <w:p w14:paraId="5C581A08" w14:textId="77777777" w:rsidR="00D80B45" w:rsidRPr="00BB10E7" w:rsidRDefault="00D80B45">
            <w:pPr>
              <w:rPr>
                <w:szCs w:val="20"/>
              </w:rPr>
            </w:pPr>
            <w:r w:rsidRPr="00BB10E7">
              <w:rPr>
                <w:szCs w:val="20"/>
              </w:rPr>
              <w:t>Measure only selected characteristics under predefined conditions</w:t>
            </w:r>
          </w:p>
        </w:tc>
        <w:tc>
          <w:tcPr>
            <w:tcW w:w="0" w:type="auto"/>
            <w:vAlign w:val="center"/>
            <w:hideMark/>
          </w:tcPr>
          <w:p w14:paraId="3AEB8CFB" w14:textId="77777777" w:rsidR="00D80B45" w:rsidRPr="00BB10E7" w:rsidRDefault="00D80B45">
            <w:pPr>
              <w:rPr>
                <w:szCs w:val="20"/>
              </w:rPr>
            </w:pPr>
            <w:r w:rsidRPr="00BB10E7">
              <w:rPr>
                <w:szCs w:val="20"/>
              </w:rPr>
              <w:t>Comparing performance, efficiency, or quality across systems</w:t>
            </w:r>
          </w:p>
        </w:tc>
      </w:tr>
      <w:tr w:rsidR="00D80B45" w:rsidRPr="00BB10E7" w14:paraId="2DBB8673" w14:textId="77777777" w:rsidTr="00BB10E7">
        <w:trPr>
          <w:tblCellSpacing w:w="15" w:type="dxa"/>
        </w:trPr>
        <w:tc>
          <w:tcPr>
            <w:tcW w:w="0" w:type="auto"/>
            <w:vAlign w:val="center"/>
            <w:hideMark/>
          </w:tcPr>
          <w:p w14:paraId="1911AB11" w14:textId="77777777" w:rsidR="00D80B45" w:rsidRPr="00BB10E7" w:rsidRDefault="00D80B45">
            <w:pPr>
              <w:rPr>
                <w:szCs w:val="20"/>
              </w:rPr>
            </w:pPr>
            <w:r w:rsidRPr="00BB10E7">
              <w:rPr>
                <w:szCs w:val="20"/>
              </w:rPr>
              <w:t>Community operational experience</w:t>
            </w:r>
          </w:p>
        </w:tc>
        <w:tc>
          <w:tcPr>
            <w:tcW w:w="0" w:type="auto"/>
            <w:vAlign w:val="center"/>
            <w:hideMark/>
          </w:tcPr>
          <w:p w14:paraId="55DC73EE" w14:textId="77777777" w:rsidR="00D80B45" w:rsidRPr="00BB10E7" w:rsidRDefault="00D80B45">
            <w:pPr>
              <w:rPr>
                <w:szCs w:val="20"/>
              </w:rPr>
            </w:pPr>
            <w:r w:rsidRPr="00BB10E7">
              <w:rPr>
                <w:szCs w:val="20"/>
              </w:rPr>
              <w:t>Reveals deployment challenges, ecosystem maturity, and practical limitations</w:t>
            </w:r>
          </w:p>
        </w:tc>
        <w:tc>
          <w:tcPr>
            <w:tcW w:w="0" w:type="auto"/>
            <w:vAlign w:val="center"/>
            <w:hideMark/>
          </w:tcPr>
          <w:p w14:paraId="0558599D" w14:textId="77777777" w:rsidR="00D80B45" w:rsidRPr="00BB10E7" w:rsidRDefault="00D80B45">
            <w:pPr>
              <w:rPr>
                <w:szCs w:val="20"/>
              </w:rPr>
            </w:pPr>
            <w:r w:rsidRPr="00BB10E7">
              <w:rPr>
                <w:szCs w:val="20"/>
              </w:rPr>
              <w:t>Can be anecdotal or difficult to verify independently</w:t>
            </w:r>
          </w:p>
        </w:tc>
        <w:tc>
          <w:tcPr>
            <w:tcW w:w="0" w:type="auto"/>
            <w:vAlign w:val="center"/>
            <w:hideMark/>
          </w:tcPr>
          <w:p w14:paraId="2972A1F2" w14:textId="77777777" w:rsidR="00D80B45" w:rsidRPr="00BB10E7" w:rsidRDefault="00D80B45">
            <w:pPr>
              <w:rPr>
                <w:szCs w:val="20"/>
              </w:rPr>
            </w:pPr>
            <w:r w:rsidRPr="00BB10E7">
              <w:rPr>
                <w:szCs w:val="20"/>
              </w:rPr>
              <w:t>Identifying operational risks and integration challenges</w:t>
            </w:r>
          </w:p>
        </w:tc>
      </w:tr>
    </w:tbl>
    <w:p w14:paraId="0E21B2D6" w14:textId="77777777" w:rsidR="00D80B45" w:rsidRPr="00046211" w:rsidRDefault="00D80B45" w:rsidP="00D80B45">
      <w:pPr>
        <w:pStyle w:val="NormalWeb"/>
        <w:rPr>
          <w:sz w:val="28"/>
        </w:rPr>
      </w:pPr>
      <w:r w:rsidRPr="00046211">
        <w:rPr>
          <w:sz w:val="28"/>
        </w:rPr>
        <w:t>Evidence-based engineering also requires distinguishing between observable facts and engineering conclusions. A benchmark showing lower inference latency under specific hardware conditions is an observable measurement. Concluding that one inference engine is universally superior for all production workloads is an engineering interpretation that may or may not be justified. Engineers should therefore separate measured results from broader architectural recommendations.</w:t>
      </w:r>
    </w:p>
    <w:p w14:paraId="3DD6730A" w14:textId="77777777" w:rsidR="00D80B45" w:rsidRPr="00046211" w:rsidRDefault="00D80B45" w:rsidP="00D80B45">
      <w:pPr>
        <w:pStyle w:val="NormalWeb"/>
        <w:rPr>
          <w:sz w:val="28"/>
        </w:rPr>
      </w:pPr>
      <w:r w:rsidRPr="00046211">
        <w:rPr>
          <w:sz w:val="28"/>
        </w:rPr>
        <w:t xml:space="preserve">Another important principle is reproducibility. Claims supported by publicly documented methodology, repeatable experiments, and independent verification generally deserve greater confidence than isolated demonstrations or unpublished internal testing. Technologies that consistently demonstrate similar behavior across </w:t>
      </w:r>
      <w:r w:rsidRPr="00046211">
        <w:rPr>
          <w:sz w:val="28"/>
        </w:rPr>
        <w:lastRenderedPageBreak/>
        <w:t>multiple independent evaluations inspire greater confidence than those supported primarily by vendor-generated evidence.</w:t>
      </w:r>
    </w:p>
    <w:p w14:paraId="6708226B" w14:textId="77777777" w:rsidR="00D80B45" w:rsidRPr="00046211" w:rsidRDefault="00D80B45" w:rsidP="00D80B45">
      <w:pPr>
        <w:pStyle w:val="NormalWeb"/>
        <w:rPr>
          <w:sz w:val="28"/>
        </w:rPr>
      </w:pPr>
      <w:r w:rsidRPr="00046211">
        <w:rPr>
          <w:sz w:val="28"/>
        </w:rPr>
        <w:t xml:space="preserve">Throughout this book, references are selected according to this philosophy. Preference is given to official documentation for supported functionality, peer-reviewed research for conceptual foundations, standardized benchmarks for comparative evaluation, and engineering publications describing production operational experience. Marketing materials and promotional content are used only when they contain technically relevant information unavailable elsewhere, and even </w:t>
      </w:r>
      <w:proofErr w:type="gramStart"/>
      <w:r w:rsidRPr="00046211">
        <w:rPr>
          <w:sz w:val="28"/>
        </w:rPr>
        <w:t>then</w:t>
      </w:r>
      <w:proofErr w:type="gramEnd"/>
      <w:r w:rsidRPr="00046211">
        <w:rPr>
          <w:sz w:val="28"/>
        </w:rPr>
        <w:t xml:space="preserve"> they are interpreted cautiously.</w:t>
      </w:r>
    </w:p>
    <w:p w14:paraId="3E1D5044" w14:textId="77777777" w:rsidR="00D80B45" w:rsidRPr="00046211" w:rsidRDefault="00D80B45" w:rsidP="00D80B45">
      <w:pPr>
        <w:pStyle w:val="NormalWeb"/>
        <w:rPr>
          <w:sz w:val="28"/>
        </w:rPr>
      </w:pPr>
      <w:r w:rsidRPr="00046211">
        <w:rPr>
          <w:sz w:val="28"/>
        </w:rPr>
        <w:t>Ultimately, evidence-based evaluation is not about identifying a single "correct" technology. Rather, it provides a structured methodology for making engineering decisions under conditions of continuous technological change.</w:t>
      </w:r>
    </w:p>
    <w:p w14:paraId="059D220A" w14:textId="77777777" w:rsidR="00D80B45" w:rsidRPr="00046211" w:rsidRDefault="004F40AC" w:rsidP="00D80B45">
      <w:pPr>
        <w:rPr>
          <w:sz w:val="24"/>
        </w:rPr>
      </w:pPr>
      <w:r>
        <w:rPr>
          <w:sz w:val="24"/>
        </w:rPr>
        <w:pict w14:anchorId="09B19B19">
          <v:rect id="_x0000_i1030" style="width:0;height:1.5pt" o:hralign="center" o:hrstd="t" o:hr="t" fillcolor="#a0a0a0" stroked="f"/>
        </w:pict>
      </w:r>
    </w:p>
    <w:p w14:paraId="782F8B3B" w14:textId="77777777" w:rsidR="00D80B45" w:rsidRPr="00046211" w:rsidRDefault="00D80B45" w:rsidP="00D80B45">
      <w:pPr>
        <w:pStyle w:val="Heading1"/>
        <w:rPr>
          <w:sz w:val="52"/>
        </w:rPr>
      </w:pPr>
      <w:r w:rsidRPr="00046211">
        <w:rPr>
          <w:sz w:val="52"/>
        </w:rPr>
        <w:t>1.9 Reading AI Benchmarks Correctly</w:t>
      </w:r>
    </w:p>
    <w:p w14:paraId="52FD6013" w14:textId="77777777" w:rsidR="00D80B45" w:rsidRPr="00046211" w:rsidRDefault="00D80B45" w:rsidP="00D80B45">
      <w:pPr>
        <w:pStyle w:val="NormalWeb"/>
        <w:rPr>
          <w:sz w:val="28"/>
        </w:rPr>
      </w:pPr>
      <w:r w:rsidRPr="00046211">
        <w:rPr>
          <w:sz w:val="28"/>
        </w:rPr>
        <w:t>Benchmarks play an essential role in the AI ecosystem. They provide common evaluation tasks, encourage reproducible experimentation, and make it possible to compare systems developed by different organizations. Without benchmarks, engineering discussions would rely primarily on anecdotal demonstrations or subjective impressions. Properly interpreted, benchmark results provide valuable evidence for technology evaluation.</w:t>
      </w:r>
    </w:p>
    <w:p w14:paraId="5D5BACAA" w14:textId="77777777" w:rsidR="00D80B45" w:rsidRPr="00046211" w:rsidRDefault="00D80B45" w:rsidP="00D80B45">
      <w:pPr>
        <w:pStyle w:val="NormalWeb"/>
        <w:rPr>
          <w:sz w:val="28"/>
        </w:rPr>
      </w:pPr>
      <w:r w:rsidRPr="00046211">
        <w:rPr>
          <w:sz w:val="28"/>
        </w:rPr>
        <w:t>However, benchmark results are frequently misunderstood or applied beyond the conditions under which they were produced. High benchmark scores do not automatically translate into superior production systems, just as high database throughput measured under laboratory conditions does not guarantee optimal performance for every enterprise workload. Understanding what a benchmark measures—and what it does not measure—is therefore an essential engineering skill.</w:t>
      </w:r>
    </w:p>
    <w:p w14:paraId="20FBE7F3" w14:textId="77777777" w:rsidR="00D80B45" w:rsidRPr="00046211" w:rsidRDefault="00D80B45" w:rsidP="00D80B45">
      <w:pPr>
        <w:pStyle w:val="NormalWeb"/>
        <w:rPr>
          <w:sz w:val="28"/>
        </w:rPr>
      </w:pPr>
      <w:r w:rsidRPr="00046211">
        <w:rPr>
          <w:sz w:val="28"/>
        </w:rPr>
        <w:t xml:space="preserve">Every benchmark is designed to evaluate specific characteristics. Some measure general language understanding, others assess mathematical reasoning, software engineering capability, factual knowledge, retrieval effectiveness, or multimodal performance. Infrastructure benchmarks evaluate different properties, including inference latency, throughput, accelerator utilization, memory efficiency, or energy </w:t>
      </w:r>
      <w:r w:rsidRPr="00046211">
        <w:rPr>
          <w:sz w:val="28"/>
        </w:rPr>
        <w:lastRenderedPageBreak/>
        <w:t>consumption. No single benchmark captures the full range of capabilities required by production AI systems.</w:t>
      </w:r>
    </w:p>
    <w:p w14:paraId="7AFE2838" w14:textId="77777777" w:rsidR="00D80B45" w:rsidRPr="00046211" w:rsidRDefault="00D80B45" w:rsidP="00D80B45">
      <w:pPr>
        <w:pStyle w:val="NormalWeb"/>
        <w:rPr>
          <w:sz w:val="28"/>
        </w:rPr>
      </w:pPr>
      <w:r w:rsidRPr="00046211">
        <w:rPr>
          <w:sz w:val="28"/>
        </w:rPr>
        <w:t>This distinction becomes particularly important when comparing language models. A model achieving state-of-the-art performance on mathematical reasoning may provide limited advantages for document summarization or customer support. Similarly, a model optimized for long-context processing may exhibit higher inference costs or latency than smaller alternatives better suited to interactive applications. Benchmark results should therefore always be interpreted within the context of the intended workload.</w:t>
      </w:r>
    </w:p>
    <w:p w14:paraId="0359EF79" w14:textId="77777777" w:rsidR="00D80B45" w:rsidRPr="00046211" w:rsidRDefault="00D80B45" w:rsidP="00D80B45">
      <w:pPr>
        <w:pStyle w:val="NormalWeb"/>
        <w:rPr>
          <w:sz w:val="28"/>
        </w:rPr>
      </w:pPr>
      <w:r w:rsidRPr="00046211">
        <w:rPr>
          <w:sz w:val="28"/>
        </w:rPr>
        <w:t>The methodology underlying a benchmark is equally important. Engineers should understand questions such as:</w:t>
      </w:r>
    </w:p>
    <w:p w14:paraId="2C44A3A4"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Were evaluation datasets publicly available before model training? </w:t>
      </w:r>
    </w:p>
    <w:p w14:paraId="60468445"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Can experiments be reproduced independently? </w:t>
      </w:r>
    </w:p>
    <w:p w14:paraId="0C4D4607"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Are prompts standardized across evaluated systems? </w:t>
      </w:r>
    </w:p>
    <w:p w14:paraId="0B8430CB"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Does the benchmark measure first-attempt accuracy, </w:t>
      </w:r>
      <w:proofErr w:type="spellStart"/>
      <w:r w:rsidRPr="00BB10E7">
        <w:rPr>
          <w:rFonts w:ascii="Times New Roman" w:hAnsi="Times New Roman" w:cs="Times New Roman"/>
          <w:sz w:val="28"/>
          <w:szCs w:val="24"/>
        </w:rPr>
        <w:t>pass@k</w:t>
      </w:r>
      <w:proofErr w:type="spellEnd"/>
      <w:r w:rsidRPr="00BB10E7">
        <w:rPr>
          <w:rFonts w:ascii="Times New Roman" w:hAnsi="Times New Roman" w:cs="Times New Roman"/>
          <w:sz w:val="28"/>
          <w:szCs w:val="24"/>
        </w:rPr>
        <w:t xml:space="preserve"> performance, or human preference? </w:t>
      </w:r>
    </w:p>
    <w:p w14:paraId="6950A2B3"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Are latency and hardware configurations documented? </w:t>
      </w:r>
    </w:p>
    <w:p w14:paraId="557EADC1"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Were safety mechanisms enabled during evaluation? </w:t>
      </w:r>
    </w:p>
    <w:p w14:paraId="77DCA132"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How large is the evaluation dataset? </w:t>
      </w:r>
    </w:p>
    <w:p w14:paraId="6621046E" w14:textId="77777777" w:rsidR="00D80B45" w:rsidRPr="00046211" w:rsidRDefault="00D80B45" w:rsidP="00D80B45">
      <w:pPr>
        <w:pStyle w:val="NormalWeb"/>
        <w:rPr>
          <w:sz w:val="28"/>
        </w:rPr>
      </w:pPr>
      <w:r w:rsidRPr="00046211">
        <w:rPr>
          <w:sz w:val="28"/>
        </w:rPr>
        <w:t>Answers to these questions often influence the significance of reported results as much as the reported scores themselves.</w:t>
      </w:r>
    </w:p>
    <w:p w14:paraId="1BB3E72D" w14:textId="77777777" w:rsidR="00D80B45" w:rsidRPr="00046211" w:rsidRDefault="00D80B45" w:rsidP="00D80B45">
      <w:pPr>
        <w:pStyle w:val="NormalWeb"/>
        <w:rPr>
          <w:sz w:val="28"/>
        </w:rPr>
      </w:pPr>
      <w:r w:rsidRPr="00046211">
        <w:rPr>
          <w:sz w:val="28"/>
        </w:rPr>
        <w:t>Benchmark contamination represents another important consideration. As evaluation datasets become widely known, newer models may indirectly incorporate benchmark content during training or optimization. High benchmark scores can therefore reflect familiarity with evaluation material rather than genuine improvements in general reasoning ability. For this reason, the AI community increasingly develops new evaluation datasets and continuously updates existing benchmarks to maintain their usefulness.</w:t>
      </w:r>
    </w:p>
    <w:p w14:paraId="5FB85C72" w14:textId="77777777" w:rsidR="00D80B45" w:rsidRPr="00046211" w:rsidRDefault="00D80B45" w:rsidP="00D80B45">
      <w:pPr>
        <w:pStyle w:val="NormalWeb"/>
        <w:rPr>
          <w:sz w:val="28"/>
        </w:rPr>
      </w:pPr>
      <w:r w:rsidRPr="00046211">
        <w:rPr>
          <w:sz w:val="28"/>
        </w:rPr>
        <w:t xml:space="preserve">The growing diversity of benchmarks also reflects the increasing specialization of AI systems. General-purpose language understanding benchmarks remain valuable, but production platforms increasingly rely on domain-specific evaluations. Coding assistants are commonly assessed using software engineering benchmarks. Retrieval systems require retrieval-specific evaluation datasets. Agent frameworks increasingly measure task completion across multi-step workflows rather than isolated prompt-response interactions. Infrastructure teams focus on latency, </w:t>
      </w:r>
      <w:r w:rsidRPr="00046211">
        <w:rPr>
          <w:sz w:val="28"/>
        </w:rPr>
        <w:lastRenderedPageBreak/>
        <w:t>throughput, reliability, and operational efficiency rather than language quality alone.</w:t>
      </w:r>
    </w:p>
    <w:p w14:paraId="3EBF7CF9" w14:textId="77777777" w:rsidR="00D80B45" w:rsidRPr="00046211" w:rsidRDefault="00D80B45" w:rsidP="00D80B45">
      <w:pPr>
        <w:pStyle w:val="NormalWeb"/>
        <w:rPr>
          <w:sz w:val="28"/>
        </w:rPr>
      </w:pPr>
      <w:r w:rsidRPr="00046211">
        <w:rPr>
          <w:rStyle w:val="Strong"/>
          <w:sz w:val="28"/>
        </w:rPr>
        <w:t>Table 1-7. Representative Benchmark Categories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356"/>
        <w:gridCol w:w="2016"/>
        <w:gridCol w:w="3114"/>
      </w:tblGrid>
      <w:tr w:rsidR="00D80B45" w:rsidRPr="00BB10E7" w14:paraId="4676C814" w14:textId="77777777" w:rsidTr="00BB10E7">
        <w:trPr>
          <w:tblHeader/>
          <w:tblCellSpacing w:w="15" w:type="dxa"/>
        </w:trPr>
        <w:tc>
          <w:tcPr>
            <w:tcW w:w="0" w:type="auto"/>
            <w:vAlign w:val="center"/>
            <w:hideMark/>
          </w:tcPr>
          <w:p w14:paraId="532A2416" w14:textId="77777777" w:rsidR="00D80B45" w:rsidRPr="00BB10E7" w:rsidRDefault="00D80B45">
            <w:pPr>
              <w:jc w:val="center"/>
              <w:rPr>
                <w:b/>
                <w:bCs/>
                <w:szCs w:val="20"/>
              </w:rPr>
            </w:pPr>
            <w:r w:rsidRPr="00BB10E7">
              <w:rPr>
                <w:b/>
                <w:bCs/>
                <w:szCs w:val="20"/>
              </w:rPr>
              <w:t>Benchmark Category</w:t>
            </w:r>
          </w:p>
        </w:tc>
        <w:tc>
          <w:tcPr>
            <w:tcW w:w="0" w:type="auto"/>
            <w:vAlign w:val="center"/>
            <w:hideMark/>
          </w:tcPr>
          <w:p w14:paraId="12B752B6" w14:textId="77777777" w:rsidR="00D80B45" w:rsidRPr="00BB10E7" w:rsidRDefault="00D80B45">
            <w:pPr>
              <w:jc w:val="center"/>
              <w:rPr>
                <w:b/>
                <w:bCs/>
                <w:szCs w:val="20"/>
              </w:rPr>
            </w:pPr>
            <w:r w:rsidRPr="00BB10E7">
              <w:rPr>
                <w:b/>
                <w:bCs/>
                <w:szCs w:val="20"/>
              </w:rPr>
              <w:t>Primary Purpose</w:t>
            </w:r>
          </w:p>
        </w:tc>
        <w:tc>
          <w:tcPr>
            <w:tcW w:w="0" w:type="auto"/>
            <w:vAlign w:val="center"/>
            <w:hideMark/>
          </w:tcPr>
          <w:p w14:paraId="1DECC71E" w14:textId="77777777" w:rsidR="00D80B45" w:rsidRPr="00BB10E7" w:rsidRDefault="00D80B45">
            <w:pPr>
              <w:jc w:val="center"/>
              <w:rPr>
                <w:b/>
                <w:bCs/>
                <w:szCs w:val="20"/>
              </w:rPr>
            </w:pPr>
            <w:r w:rsidRPr="00BB10E7">
              <w:rPr>
                <w:b/>
                <w:bCs/>
                <w:szCs w:val="20"/>
              </w:rPr>
              <w:t>Typical Examples</w:t>
            </w:r>
          </w:p>
        </w:tc>
        <w:tc>
          <w:tcPr>
            <w:tcW w:w="0" w:type="auto"/>
            <w:vAlign w:val="center"/>
            <w:hideMark/>
          </w:tcPr>
          <w:p w14:paraId="1F9F89D1" w14:textId="77777777" w:rsidR="00D80B45" w:rsidRPr="00BB10E7" w:rsidRDefault="00D80B45">
            <w:pPr>
              <w:jc w:val="center"/>
              <w:rPr>
                <w:b/>
                <w:bCs/>
                <w:szCs w:val="20"/>
              </w:rPr>
            </w:pPr>
            <w:r w:rsidRPr="00BB10E7">
              <w:rPr>
                <w:b/>
                <w:bCs/>
                <w:szCs w:val="20"/>
              </w:rPr>
              <w:t>Engineering Interpretation</w:t>
            </w:r>
          </w:p>
        </w:tc>
      </w:tr>
      <w:tr w:rsidR="00D80B45" w:rsidRPr="00BB10E7" w14:paraId="4A98E043" w14:textId="77777777" w:rsidTr="00BB10E7">
        <w:trPr>
          <w:tblCellSpacing w:w="15" w:type="dxa"/>
        </w:trPr>
        <w:tc>
          <w:tcPr>
            <w:tcW w:w="0" w:type="auto"/>
            <w:vAlign w:val="center"/>
            <w:hideMark/>
          </w:tcPr>
          <w:p w14:paraId="55E68719" w14:textId="77777777" w:rsidR="00D80B45" w:rsidRPr="00BB10E7" w:rsidRDefault="00D80B45">
            <w:pPr>
              <w:rPr>
                <w:szCs w:val="20"/>
              </w:rPr>
            </w:pPr>
            <w:r w:rsidRPr="00BB10E7">
              <w:rPr>
                <w:szCs w:val="20"/>
              </w:rPr>
              <w:t>General language understanding</w:t>
            </w:r>
          </w:p>
        </w:tc>
        <w:tc>
          <w:tcPr>
            <w:tcW w:w="0" w:type="auto"/>
            <w:vAlign w:val="center"/>
            <w:hideMark/>
          </w:tcPr>
          <w:p w14:paraId="07D9B023" w14:textId="77777777" w:rsidR="00D80B45" w:rsidRPr="00BB10E7" w:rsidRDefault="00D80B45">
            <w:pPr>
              <w:rPr>
                <w:szCs w:val="20"/>
              </w:rPr>
            </w:pPr>
            <w:r w:rsidRPr="00BB10E7">
              <w:rPr>
                <w:szCs w:val="20"/>
              </w:rPr>
              <w:t>Evaluate broad reasoning and knowledge capabilities</w:t>
            </w:r>
          </w:p>
        </w:tc>
        <w:tc>
          <w:tcPr>
            <w:tcW w:w="0" w:type="auto"/>
            <w:vAlign w:val="center"/>
            <w:hideMark/>
          </w:tcPr>
          <w:p w14:paraId="4546F153" w14:textId="77777777" w:rsidR="00D80B45" w:rsidRPr="00BB10E7" w:rsidRDefault="00D80B45">
            <w:pPr>
              <w:rPr>
                <w:szCs w:val="20"/>
              </w:rPr>
            </w:pPr>
            <w:r w:rsidRPr="00BB10E7">
              <w:rPr>
                <w:szCs w:val="20"/>
              </w:rPr>
              <w:t>MMLU, MMLU-Pro</w:t>
            </w:r>
          </w:p>
        </w:tc>
        <w:tc>
          <w:tcPr>
            <w:tcW w:w="0" w:type="auto"/>
            <w:vAlign w:val="center"/>
            <w:hideMark/>
          </w:tcPr>
          <w:p w14:paraId="4DA4E959" w14:textId="77777777" w:rsidR="00D80B45" w:rsidRPr="00BB10E7" w:rsidRDefault="00D80B45">
            <w:pPr>
              <w:rPr>
                <w:szCs w:val="20"/>
              </w:rPr>
            </w:pPr>
            <w:r w:rsidRPr="00BB10E7">
              <w:rPr>
                <w:szCs w:val="20"/>
              </w:rPr>
              <w:t>Useful for comparing overall model capability but not sufficient for application-specific decisions</w:t>
            </w:r>
          </w:p>
        </w:tc>
      </w:tr>
      <w:tr w:rsidR="00D80B45" w:rsidRPr="00BB10E7" w14:paraId="146C4CE5" w14:textId="77777777" w:rsidTr="00BB10E7">
        <w:trPr>
          <w:tblCellSpacing w:w="15" w:type="dxa"/>
        </w:trPr>
        <w:tc>
          <w:tcPr>
            <w:tcW w:w="0" w:type="auto"/>
            <w:vAlign w:val="center"/>
            <w:hideMark/>
          </w:tcPr>
          <w:p w14:paraId="65E03784" w14:textId="77777777" w:rsidR="00D80B45" w:rsidRPr="00BB10E7" w:rsidRDefault="00D80B45">
            <w:pPr>
              <w:rPr>
                <w:szCs w:val="20"/>
              </w:rPr>
            </w:pPr>
            <w:r w:rsidRPr="00BB10E7">
              <w:rPr>
                <w:szCs w:val="20"/>
              </w:rPr>
              <w:t>Mathematical and scientific reasoning</w:t>
            </w:r>
          </w:p>
        </w:tc>
        <w:tc>
          <w:tcPr>
            <w:tcW w:w="0" w:type="auto"/>
            <w:vAlign w:val="center"/>
            <w:hideMark/>
          </w:tcPr>
          <w:p w14:paraId="65BEA03D" w14:textId="77777777" w:rsidR="00D80B45" w:rsidRPr="00BB10E7" w:rsidRDefault="00D80B45">
            <w:pPr>
              <w:rPr>
                <w:szCs w:val="20"/>
              </w:rPr>
            </w:pPr>
            <w:r w:rsidRPr="00BB10E7">
              <w:rPr>
                <w:szCs w:val="20"/>
              </w:rPr>
              <w:t>Assess structured reasoning accuracy</w:t>
            </w:r>
          </w:p>
        </w:tc>
        <w:tc>
          <w:tcPr>
            <w:tcW w:w="0" w:type="auto"/>
            <w:vAlign w:val="center"/>
            <w:hideMark/>
          </w:tcPr>
          <w:p w14:paraId="5D162378" w14:textId="77777777" w:rsidR="00D80B45" w:rsidRPr="00BB10E7" w:rsidRDefault="00D80B45">
            <w:pPr>
              <w:rPr>
                <w:szCs w:val="20"/>
              </w:rPr>
            </w:pPr>
            <w:r w:rsidRPr="00BB10E7">
              <w:rPr>
                <w:szCs w:val="20"/>
              </w:rPr>
              <w:t>GPQA, AIME-based evaluations</w:t>
            </w:r>
          </w:p>
        </w:tc>
        <w:tc>
          <w:tcPr>
            <w:tcW w:w="0" w:type="auto"/>
            <w:vAlign w:val="center"/>
            <w:hideMark/>
          </w:tcPr>
          <w:p w14:paraId="355B8E3B" w14:textId="77777777" w:rsidR="00D80B45" w:rsidRPr="00BB10E7" w:rsidRDefault="00D80B45">
            <w:pPr>
              <w:rPr>
                <w:szCs w:val="20"/>
              </w:rPr>
            </w:pPr>
            <w:r w:rsidRPr="00BB10E7">
              <w:rPr>
                <w:szCs w:val="20"/>
              </w:rPr>
              <w:t>Relevant for scientific, engineering, and analytical applications</w:t>
            </w:r>
          </w:p>
        </w:tc>
      </w:tr>
      <w:tr w:rsidR="00D80B45" w:rsidRPr="00BB10E7" w14:paraId="377AF2CB" w14:textId="77777777" w:rsidTr="00BB10E7">
        <w:trPr>
          <w:tblCellSpacing w:w="15" w:type="dxa"/>
        </w:trPr>
        <w:tc>
          <w:tcPr>
            <w:tcW w:w="0" w:type="auto"/>
            <w:vAlign w:val="center"/>
            <w:hideMark/>
          </w:tcPr>
          <w:p w14:paraId="19CEB068" w14:textId="77777777" w:rsidR="00D80B45" w:rsidRPr="00BB10E7" w:rsidRDefault="00D80B45">
            <w:pPr>
              <w:rPr>
                <w:szCs w:val="20"/>
              </w:rPr>
            </w:pPr>
            <w:r w:rsidRPr="00BB10E7">
              <w:rPr>
                <w:szCs w:val="20"/>
              </w:rPr>
              <w:t>Software engineering</w:t>
            </w:r>
          </w:p>
        </w:tc>
        <w:tc>
          <w:tcPr>
            <w:tcW w:w="0" w:type="auto"/>
            <w:vAlign w:val="center"/>
            <w:hideMark/>
          </w:tcPr>
          <w:p w14:paraId="295236A3" w14:textId="77777777" w:rsidR="00D80B45" w:rsidRPr="00BB10E7" w:rsidRDefault="00D80B45">
            <w:pPr>
              <w:rPr>
                <w:szCs w:val="20"/>
              </w:rPr>
            </w:pPr>
            <w:r w:rsidRPr="00BB10E7">
              <w:rPr>
                <w:szCs w:val="20"/>
              </w:rPr>
              <w:t>Evaluate code generation and software development tasks</w:t>
            </w:r>
          </w:p>
        </w:tc>
        <w:tc>
          <w:tcPr>
            <w:tcW w:w="0" w:type="auto"/>
            <w:vAlign w:val="center"/>
            <w:hideMark/>
          </w:tcPr>
          <w:p w14:paraId="5206CF2D" w14:textId="77777777" w:rsidR="00D80B45" w:rsidRPr="00BB10E7" w:rsidRDefault="00D80B45">
            <w:pPr>
              <w:rPr>
                <w:szCs w:val="20"/>
              </w:rPr>
            </w:pPr>
            <w:proofErr w:type="spellStart"/>
            <w:r w:rsidRPr="00BB10E7">
              <w:rPr>
                <w:szCs w:val="20"/>
              </w:rPr>
              <w:t>HumanEval</w:t>
            </w:r>
            <w:proofErr w:type="spellEnd"/>
            <w:r w:rsidRPr="00BB10E7">
              <w:rPr>
                <w:szCs w:val="20"/>
              </w:rPr>
              <w:t xml:space="preserve">, SWE-bench, </w:t>
            </w:r>
            <w:proofErr w:type="spellStart"/>
            <w:r w:rsidRPr="00BB10E7">
              <w:rPr>
                <w:szCs w:val="20"/>
              </w:rPr>
              <w:t>LiveCodeBench</w:t>
            </w:r>
            <w:proofErr w:type="spellEnd"/>
          </w:p>
        </w:tc>
        <w:tc>
          <w:tcPr>
            <w:tcW w:w="0" w:type="auto"/>
            <w:vAlign w:val="center"/>
            <w:hideMark/>
          </w:tcPr>
          <w:p w14:paraId="6A46C185" w14:textId="77777777" w:rsidR="00D80B45" w:rsidRPr="00BB10E7" w:rsidRDefault="00D80B45">
            <w:pPr>
              <w:rPr>
                <w:szCs w:val="20"/>
              </w:rPr>
            </w:pPr>
            <w:r w:rsidRPr="00BB10E7">
              <w:rPr>
                <w:szCs w:val="20"/>
              </w:rPr>
              <w:t>Particularly valuable when selecting models for developer tooling</w:t>
            </w:r>
          </w:p>
        </w:tc>
      </w:tr>
      <w:tr w:rsidR="00D80B45" w:rsidRPr="00BB10E7" w14:paraId="5FC1844E" w14:textId="77777777" w:rsidTr="00BB10E7">
        <w:trPr>
          <w:tblCellSpacing w:w="15" w:type="dxa"/>
        </w:trPr>
        <w:tc>
          <w:tcPr>
            <w:tcW w:w="0" w:type="auto"/>
            <w:vAlign w:val="center"/>
            <w:hideMark/>
          </w:tcPr>
          <w:p w14:paraId="02C129AB" w14:textId="77777777" w:rsidR="00D80B45" w:rsidRPr="00BB10E7" w:rsidRDefault="00D80B45">
            <w:pPr>
              <w:rPr>
                <w:szCs w:val="20"/>
              </w:rPr>
            </w:pPr>
            <w:r w:rsidRPr="00BB10E7">
              <w:rPr>
                <w:szCs w:val="20"/>
              </w:rPr>
              <w:t>Human preference evaluation</w:t>
            </w:r>
          </w:p>
        </w:tc>
        <w:tc>
          <w:tcPr>
            <w:tcW w:w="0" w:type="auto"/>
            <w:vAlign w:val="center"/>
            <w:hideMark/>
          </w:tcPr>
          <w:p w14:paraId="47684961" w14:textId="77777777" w:rsidR="00D80B45" w:rsidRPr="00BB10E7" w:rsidRDefault="00D80B45">
            <w:pPr>
              <w:rPr>
                <w:szCs w:val="20"/>
              </w:rPr>
            </w:pPr>
            <w:r w:rsidRPr="00BB10E7">
              <w:rPr>
                <w:szCs w:val="20"/>
              </w:rPr>
              <w:t>Measure perceived response quality</w:t>
            </w:r>
          </w:p>
        </w:tc>
        <w:tc>
          <w:tcPr>
            <w:tcW w:w="0" w:type="auto"/>
            <w:vAlign w:val="center"/>
            <w:hideMark/>
          </w:tcPr>
          <w:p w14:paraId="06D3FA4B" w14:textId="77777777" w:rsidR="00D80B45" w:rsidRPr="00BB10E7" w:rsidRDefault="00D80B45">
            <w:pPr>
              <w:rPr>
                <w:szCs w:val="20"/>
              </w:rPr>
            </w:pPr>
            <w:r w:rsidRPr="00BB10E7">
              <w:rPr>
                <w:szCs w:val="20"/>
              </w:rPr>
              <w:t>Arena-style evaluations</w:t>
            </w:r>
          </w:p>
        </w:tc>
        <w:tc>
          <w:tcPr>
            <w:tcW w:w="0" w:type="auto"/>
            <w:vAlign w:val="center"/>
            <w:hideMark/>
          </w:tcPr>
          <w:p w14:paraId="0D35B085" w14:textId="77777777" w:rsidR="00D80B45" w:rsidRPr="00BB10E7" w:rsidRDefault="00D80B45">
            <w:pPr>
              <w:rPr>
                <w:szCs w:val="20"/>
              </w:rPr>
            </w:pPr>
            <w:r w:rsidRPr="00BB10E7">
              <w:rPr>
                <w:szCs w:val="20"/>
              </w:rPr>
              <w:t>Reflect user preferences but may not measure factual correctness or operational suitability</w:t>
            </w:r>
          </w:p>
        </w:tc>
      </w:tr>
      <w:tr w:rsidR="00D80B45" w:rsidRPr="00BB10E7" w14:paraId="65B3F6C7" w14:textId="77777777" w:rsidTr="00BB10E7">
        <w:trPr>
          <w:tblCellSpacing w:w="15" w:type="dxa"/>
        </w:trPr>
        <w:tc>
          <w:tcPr>
            <w:tcW w:w="0" w:type="auto"/>
            <w:vAlign w:val="center"/>
            <w:hideMark/>
          </w:tcPr>
          <w:p w14:paraId="1DFD81B3" w14:textId="77777777" w:rsidR="00D80B45" w:rsidRPr="00BB10E7" w:rsidRDefault="00D80B45">
            <w:pPr>
              <w:rPr>
                <w:szCs w:val="20"/>
              </w:rPr>
            </w:pPr>
            <w:r w:rsidRPr="00BB10E7">
              <w:rPr>
                <w:szCs w:val="20"/>
              </w:rPr>
              <w:t>Retrieval evaluation</w:t>
            </w:r>
          </w:p>
        </w:tc>
        <w:tc>
          <w:tcPr>
            <w:tcW w:w="0" w:type="auto"/>
            <w:vAlign w:val="center"/>
            <w:hideMark/>
          </w:tcPr>
          <w:p w14:paraId="21656FF2" w14:textId="77777777" w:rsidR="00D80B45" w:rsidRPr="00BB10E7" w:rsidRDefault="00D80B45">
            <w:pPr>
              <w:rPr>
                <w:szCs w:val="20"/>
              </w:rPr>
            </w:pPr>
            <w:r w:rsidRPr="00BB10E7">
              <w:rPr>
                <w:szCs w:val="20"/>
              </w:rPr>
              <w:t>Measure search and retrieval effectiveness</w:t>
            </w:r>
          </w:p>
        </w:tc>
        <w:tc>
          <w:tcPr>
            <w:tcW w:w="0" w:type="auto"/>
            <w:vAlign w:val="center"/>
            <w:hideMark/>
          </w:tcPr>
          <w:p w14:paraId="4B844811" w14:textId="77777777" w:rsidR="00D80B45" w:rsidRPr="00BB10E7" w:rsidRDefault="00D80B45">
            <w:pPr>
              <w:rPr>
                <w:szCs w:val="20"/>
              </w:rPr>
            </w:pPr>
            <w:r w:rsidRPr="00BB10E7">
              <w:rPr>
                <w:szCs w:val="20"/>
              </w:rPr>
              <w:t>BEIR and domain-specific retrieval datasets</w:t>
            </w:r>
          </w:p>
        </w:tc>
        <w:tc>
          <w:tcPr>
            <w:tcW w:w="0" w:type="auto"/>
            <w:vAlign w:val="center"/>
            <w:hideMark/>
          </w:tcPr>
          <w:p w14:paraId="2CCD9403" w14:textId="77777777" w:rsidR="00D80B45" w:rsidRPr="00BB10E7" w:rsidRDefault="00D80B45">
            <w:pPr>
              <w:rPr>
                <w:szCs w:val="20"/>
              </w:rPr>
            </w:pPr>
            <w:r w:rsidRPr="00BB10E7">
              <w:rPr>
                <w:szCs w:val="20"/>
              </w:rPr>
              <w:t>Important for retrieval-augmented generation rather than standalone language models</w:t>
            </w:r>
          </w:p>
        </w:tc>
      </w:tr>
      <w:tr w:rsidR="00D80B45" w:rsidRPr="00BB10E7" w14:paraId="7DD932FD" w14:textId="77777777" w:rsidTr="00BB10E7">
        <w:trPr>
          <w:tblCellSpacing w:w="15" w:type="dxa"/>
        </w:trPr>
        <w:tc>
          <w:tcPr>
            <w:tcW w:w="0" w:type="auto"/>
            <w:vAlign w:val="center"/>
            <w:hideMark/>
          </w:tcPr>
          <w:p w14:paraId="440F1945" w14:textId="77777777" w:rsidR="00D80B45" w:rsidRPr="00BB10E7" w:rsidRDefault="00D80B45">
            <w:pPr>
              <w:rPr>
                <w:szCs w:val="20"/>
              </w:rPr>
            </w:pPr>
            <w:r w:rsidRPr="00BB10E7">
              <w:rPr>
                <w:szCs w:val="20"/>
              </w:rPr>
              <w:t>Infrastructure performance</w:t>
            </w:r>
          </w:p>
        </w:tc>
        <w:tc>
          <w:tcPr>
            <w:tcW w:w="0" w:type="auto"/>
            <w:vAlign w:val="center"/>
            <w:hideMark/>
          </w:tcPr>
          <w:p w14:paraId="124931E7" w14:textId="77777777" w:rsidR="00D80B45" w:rsidRPr="00BB10E7" w:rsidRDefault="00D80B45">
            <w:pPr>
              <w:rPr>
                <w:szCs w:val="20"/>
              </w:rPr>
            </w:pPr>
            <w:r w:rsidRPr="00BB10E7">
              <w:rPr>
                <w:szCs w:val="20"/>
              </w:rPr>
              <w:t>Evaluate latency, throughput, efficiency, and hardware utilization</w:t>
            </w:r>
          </w:p>
        </w:tc>
        <w:tc>
          <w:tcPr>
            <w:tcW w:w="0" w:type="auto"/>
            <w:vAlign w:val="center"/>
            <w:hideMark/>
          </w:tcPr>
          <w:p w14:paraId="1D0C297C" w14:textId="77777777" w:rsidR="00D80B45" w:rsidRPr="00BB10E7" w:rsidRDefault="00D80B45">
            <w:pPr>
              <w:rPr>
                <w:szCs w:val="20"/>
              </w:rPr>
            </w:pPr>
            <w:proofErr w:type="spellStart"/>
            <w:r w:rsidRPr="00BB10E7">
              <w:rPr>
                <w:szCs w:val="20"/>
              </w:rPr>
              <w:t>MLPerf</w:t>
            </w:r>
            <w:proofErr w:type="spellEnd"/>
            <w:r w:rsidRPr="00BB10E7">
              <w:rPr>
                <w:szCs w:val="20"/>
              </w:rPr>
              <w:t xml:space="preserve"> Inference</w:t>
            </w:r>
          </w:p>
        </w:tc>
        <w:tc>
          <w:tcPr>
            <w:tcW w:w="0" w:type="auto"/>
            <w:vAlign w:val="center"/>
            <w:hideMark/>
          </w:tcPr>
          <w:p w14:paraId="76A04738" w14:textId="77777777" w:rsidR="00D80B45" w:rsidRPr="00BB10E7" w:rsidRDefault="00D80B45">
            <w:pPr>
              <w:rPr>
                <w:szCs w:val="20"/>
              </w:rPr>
            </w:pPr>
            <w:r w:rsidRPr="00BB10E7">
              <w:rPr>
                <w:szCs w:val="20"/>
              </w:rPr>
              <w:t>Primarily useful for infrastructure planning and inference optimization rather than model quality</w:t>
            </w:r>
          </w:p>
        </w:tc>
      </w:tr>
    </w:tbl>
    <w:p w14:paraId="108619A9" w14:textId="77777777" w:rsidR="00D80B45" w:rsidRPr="00046211" w:rsidRDefault="00D80B45" w:rsidP="00D80B45">
      <w:pPr>
        <w:pStyle w:val="NormalWeb"/>
        <w:rPr>
          <w:sz w:val="28"/>
        </w:rPr>
      </w:pPr>
      <w:r w:rsidRPr="00046211">
        <w:rPr>
          <w:sz w:val="28"/>
        </w:rPr>
        <w:t>An equally important limitation is that benchmarks generally evaluate individual components rather than complete systems. Production AI platforms combine inference engines, retrieval pipelines, orchestration frameworks, external tools, governance mechanisms, caching strategies, and deployment infrastructure. Overall system quality therefore depends on interactions between these components as much as on benchmark scores for individual models.</w:t>
      </w:r>
    </w:p>
    <w:p w14:paraId="039324B7" w14:textId="77777777" w:rsidR="00D80B45" w:rsidRPr="00046211" w:rsidRDefault="00D80B45" w:rsidP="00D80B45">
      <w:pPr>
        <w:pStyle w:val="NormalWeb"/>
        <w:rPr>
          <w:sz w:val="28"/>
        </w:rPr>
      </w:pPr>
      <w:r w:rsidRPr="00046211">
        <w:rPr>
          <w:sz w:val="28"/>
        </w:rPr>
        <w:t xml:space="preserve">For this reason, mature organizations supplement public benchmarks with internal evaluation datasets representing their own business requirements. Customer </w:t>
      </w:r>
      <w:r w:rsidRPr="00046211">
        <w:rPr>
          <w:sz w:val="28"/>
        </w:rPr>
        <w:lastRenderedPageBreak/>
        <w:t>support systems evaluate real support conversations. Document processing platforms assess representative enterprise documents. Software engineering assistants test against internal codebases. These evaluations often provide more actionable information than generic public benchmarks because they directly reflect production workloads.</w:t>
      </w:r>
    </w:p>
    <w:p w14:paraId="3EF43C6C" w14:textId="77777777" w:rsidR="00D80B45" w:rsidRPr="00046211" w:rsidRDefault="00D80B45" w:rsidP="00D80B45">
      <w:pPr>
        <w:pStyle w:val="NormalWeb"/>
        <w:rPr>
          <w:sz w:val="28"/>
        </w:rPr>
      </w:pPr>
      <w:r w:rsidRPr="00046211">
        <w:rPr>
          <w:sz w:val="28"/>
        </w:rPr>
        <w:t>Finally, benchmark rankings should be interpreted as snapshots rather than permanent truths. The rapid pace of model development means that leaderboard positions can change within weeks or months. Engineering decisions, however, often remain in place for years. Consequently, benchmark results should inform architectural decisions but rarely determine them in isolation. Long-term considerations such as deployment flexibility, operational maturity, security, governance, ecosystem support, and total cost of ownership frequently exert greater influence on production success than marginal improvements in benchmark performance.</w:t>
      </w:r>
    </w:p>
    <w:p w14:paraId="3ABEE110" w14:textId="77777777" w:rsidR="00D80B45" w:rsidRPr="00046211" w:rsidRDefault="00D80B45" w:rsidP="00D80B45">
      <w:pPr>
        <w:pStyle w:val="NormalWeb"/>
        <w:rPr>
          <w:sz w:val="28"/>
        </w:rPr>
      </w:pPr>
      <w:r w:rsidRPr="00046211">
        <w:rPr>
          <w:sz w:val="28"/>
        </w:rPr>
        <w:t>The following section builds on these principles by examining how technology maturity should be evaluated and why stable engineering practices often outlast rapidly changing products.</w:t>
      </w:r>
    </w:p>
    <w:p w14:paraId="47CCF6E2" w14:textId="77777777" w:rsidR="00F918B2" w:rsidRPr="00046211" w:rsidRDefault="00F918B2" w:rsidP="00F918B2">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1.10 Technology Maturity</w:t>
      </w:r>
    </w:p>
    <w:p w14:paraId="1D280E4D"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AI ecosystem is characterized not only by rapid innovation but also by significant variation in the maturity of individual technologies. Mature components coexist with experimental research prototypes, early-stage open-source projects, commercial products in active development, and evolving industry standards. Engineers designing production platforms must therefore evaluate not only whether a technology is technically impressive, but also whether it is sufficiently mature for its intended operational role.</w:t>
      </w:r>
    </w:p>
    <w:p w14:paraId="24B95D6A"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Maturity should not be confused with age. A technology that has existed for many years may remain unsuitable for production if it lacks operational experience, stable interfaces, or an active maintenance community. Conversely, a relatively new technology may reach production readiness quickly if it demonstrates robust engineering practices, comprehensive documentation, predictable release management, and successful adoption across multiple organizations.</w:t>
      </w:r>
    </w:p>
    <w:p w14:paraId="7641833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For this reason, technology maturity is best understood as a multidimensional engineering characteristic rather than a simple measure of popularity or longevity.</w:t>
      </w:r>
    </w:p>
    <w:p w14:paraId="4A54FCA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 xml:space="preserve">One important dimension is </w:t>
      </w:r>
      <w:r w:rsidRPr="00046211">
        <w:rPr>
          <w:rFonts w:ascii="Times New Roman" w:eastAsia="Times New Roman" w:hAnsi="Times New Roman" w:cs="Times New Roman"/>
          <w:b/>
          <w:bCs/>
          <w:sz w:val="28"/>
          <w:szCs w:val="24"/>
        </w:rPr>
        <w:t>interface stability</w:t>
      </w:r>
      <w:r w:rsidRPr="00046211">
        <w:rPr>
          <w:rFonts w:ascii="Times New Roman" w:eastAsia="Times New Roman" w:hAnsi="Times New Roman" w:cs="Times New Roman"/>
          <w:sz w:val="28"/>
          <w:szCs w:val="24"/>
        </w:rPr>
        <w:t>. Production systems frequently remain in service for many years, making stable APIs and predictable upgrade paths essential. Technologies that introduce incompatible changes with every release increase operational costs, complicate automation, and discourage platform standardization. Stable interfaces enable organizations to improve underlying implementations while minimizing disruption to dependent applications.</w:t>
      </w:r>
    </w:p>
    <w:p w14:paraId="396C5FF7"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A second dimension is </w:t>
      </w:r>
      <w:r w:rsidRPr="00046211">
        <w:rPr>
          <w:rFonts w:ascii="Times New Roman" w:eastAsia="Times New Roman" w:hAnsi="Times New Roman" w:cs="Times New Roman"/>
          <w:b/>
          <w:bCs/>
          <w:sz w:val="28"/>
          <w:szCs w:val="24"/>
        </w:rPr>
        <w:t>operational experience</w:t>
      </w:r>
      <w:r w:rsidRPr="00046211">
        <w:rPr>
          <w:rFonts w:ascii="Times New Roman" w:eastAsia="Times New Roman" w:hAnsi="Times New Roman" w:cs="Times New Roman"/>
          <w:sz w:val="28"/>
          <w:szCs w:val="24"/>
        </w:rPr>
        <w:t>. Many architectural challenges become apparent only after software has been deployed under realistic production conditions. Long-running services expose issues involving resource management, failure recovery, scaling behavior, upgrade procedures, observability, and operational tooling that may not be visible during laboratory testing. Technologies that have accumulated production experience across diverse environments generally present fewer operational surprises.</w:t>
      </w:r>
    </w:p>
    <w:p w14:paraId="0DAA5868"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surrounding ecosystem provides another important indicator. Mature technologies are typically supported by comprehensive documentation, active communities, monitoring integrations, deployment tooling, educational resources, and third-party extensions. These complementary resources reduce implementation effort and lower operational risk. By contrast, technically capable projects with limited ecosystems often require organizations to develop significant internal expertise before they can be adopted confidently.</w:t>
      </w:r>
    </w:p>
    <w:p w14:paraId="5B0E40CE"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Governance and maintenance practices also contribute to maturity. Transparent release processes, documented compatibility policies, responsive issue management, security disclosure procedures, and long-term maintenance commitments provide confidence that a technology will remain viable throughout the lifecycle of a production platform. Organizations investing in AI infrastructure frequently make architectural decisions expected to remain operational for several years. Consequently, predictable project governance often carries greater practical value than rapid feature development.</w:t>
      </w:r>
    </w:p>
    <w:p w14:paraId="4CD9136D"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Performance should likewise be interpreted within the context of maturity. Experimental systems frequently demonstrate exceptional benchmark results by optimizing for narrowly defined workloads. Mature systems, however, must balance performance with reliability, compatibility, operational visibility, security, maintainability, and supportability. In production environments, a technology that is slightly less efficient but substantially easier to operate may provide greater overall value.</w:t>
      </w:r>
    </w:p>
    <w:p w14:paraId="3ECB085A"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lastRenderedPageBreak/>
        <w:t>Table 1-8. Common Indicators of Technology Maturity</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3743"/>
        <w:gridCol w:w="3668"/>
      </w:tblGrid>
      <w:tr w:rsidR="00F918B2" w:rsidRPr="00BB10E7" w14:paraId="420A86C4" w14:textId="77777777" w:rsidTr="00BB10E7">
        <w:trPr>
          <w:tblHeader/>
          <w:tblCellSpacing w:w="15" w:type="dxa"/>
        </w:trPr>
        <w:tc>
          <w:tcPr>
            <w:tcW w:w="0" w:type="auto"/>
            <w:vAlign w:val="center"/>
            <w:hideMark/>
          </w:tcPr>
          <w:p w14:paraId="0E0C30AD"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Maturity Dimension</w:t>
            </w:r>
          </w:p>
        </w:tc>
        <w:tc>
          <w:tcPr>
            <w:tcW w:w="0" w:type="auto"/>
            <w:vAlign w:val="center"/>
            <w:hideMark/>
          </w:tcPr>
          <w:p w14:paraId="04B4175F"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Questions to Consider</w:t>
            </w:r>
          </w:p>
        </w:tc>
        <w:tc>
          <w:tcPr>
            <w:tcW w:w="0" w:type="auto"/>
            <w:vAlign w:val="center"/>
            <w:hideMark/>
          </w:tcPr>
          <w:p w14:paraId="0BF145AC"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Engineering Significance</w:t>
            </w:r>
          </w:p>
        </w:tc>
      </w:tr>
      <w:tr w:rsidR="00F918B2" w:rsidRPr="00BB10E7" w14:paraId="3F699EDF" w14:textId="77777777" w:rsidTr="00BB10E7">
        <w:trPr>
          <w:tblCellSpacing w:w="15" w:type="dxa"/>
        </w:trPr>
        <w:tc>
          <w:tcPr>
            <w:tcW w:w="0" w:type="auto"/>
            <w:vAlign w:val="center"/>
            <w:hideMark/>
          </w:tcPr>
          <w:p w14:paraId="28E0D848"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API and interface stability</w:t>
            </w:r>
          </w:p>
        </w:tc>
        <w:tc>
          <w:tcPr>
            <w:tcW w:w="0" w:type="auto"/>
            <w:vAlign w:val="center"/>
            <w:hideMark/>
          </w:tcPr>
          <w:p w14:paraId="54D61C2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Are interfaces stable across releases? Is backward compatibility documented?</w:t>
            </w:r>
          </w:p>
        </w:tc>
        <w:tc>
          <w:tcPr>
            <w:tcW w:w="0" w:type="auto"/>
            <w:vAlign w:val="center"/>
            <w:hideMark/>
          </w:tcPr>
          <w:p w14:paraId="3502970D"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Stable interfaces reduce migration effort and simplify long-term maintenance.</w:t>
            </w:r>
          </w:p>
        </w:tc>
      </w:tr>
      <w:tr w:rsidR="00F918B2" w:rsidRPr="00BB10E7" w14:paraId="211F7476" w14:textId="77777777" w:rsidTr="00BB10E7">
        <w:trPr>
          <w:tblCellSpacing w:w="15" w:type="dxa"/>
        </w:trPr>
        <w:tc>
          <w:tcPr>
            <w:tcW w:w="0" w:type="auto"/>
            <w:vAlign w:val="center"/>
            <w:hideMark/>
          </w:tcPr>
          <w:p w14:paraId="52009FFC"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Operational experience</w:t>
            </w:r>
          </w:p>
        </w:tc>
        <w:tc>
          <w:tcPr>
            <w:tcW w:w="0" w:type="auto"/>
            <w:vAlign w:val="center"/>
            <w:hideMark/>
          </w:tcPr>
          <w:p w14:paraId="7D06719E"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Has the technology been deployed successfully in diverse production environments?</w:t>
            </w:r>
          </w:p>
        </w:tc>
        <w:tc>
          <w:tcPr>
            <w:tcW w:w="0" w:type="auto"/>
            <w:vAlign w:val="center"/>
            <w:hideMark/>
          </w:tcPr>
          <w:p w14:paraId="7B41A9E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Real-world experience exposes reliability characteristics that benchmarks cannot measure.</w:t>
            </w:r>
          </w:p>
        </w:tc>
      </w:tr>
      <w:tr w:rsidR="00F918B2" w:rsidRPr="00BB10E7" w14:paraId="1F22D5A5" w14:textId="77777777" w:rsidTr="00BB10E7">
        <w:trPr>
          <w:tblCellSpacing w:w="15" w:type="dxa"/>
        </w:trPr>
        <w:tc>
          <w:tcPr>
            <w:tcW w:w="0" w:type="auto"/>
            <w:vAlign w:val="center"/>
            <w:hideMark/>
          </w:tcPr>
          <w:p w14:paraId="4EC3843F"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Documentation quality</w:t>
            </w:r>
          </w:p>
        </w:tc>
        <w:tc>
          <w:tcPr>
            <w:tcW w:w="0" w:type="auto"/>
            <w:vAlign w:val="center"/>
            <w:hideMark/>
          </w:tcPr>
          <w:p w14:paraId="3DB5334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Is documentation comprehensive, current, and technically accurate?</w:t>
            </w:r>
          </w:p>
        </w:tc>
        <w:tc>
          <w:tcPr>
            <w:tcW w:w="0" w:type="auto"/>
            <w:vAlign w:val="center"/>
            <w:hideMark/>
          </w:tcPr>
          <w:p w14:paraId="6B7C6B07"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Good documentation lowers operational risk and accelerates adoption.</w:t>
            </w:r>
          </w:p>
        </w:tc>
      </w:tr>
      <w:tr w:rsidR="00F918B2" w:rsidRPr="00BB10E7" w14:paraId="34B870C7" w14:textId="77777777" w:rsidTr="00BB10E7">
        <w:trPr>
          <w:tblCellSpacing w:w="15" w:type="dxa"/>
        </w:trPr>
        <w:tc>
          <w:tcPr>
            <w:tcW w:w="0" w:type="auto"/>
            <w:vAlign w:val="center"/>
            <w:hideMark/>
          </w:tcPr>
          <w:p w14:paraId="166AD636"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Ecosystem maturity</w:t>
            </w:r>
          </w:p>
        </w:tc>
        <w:tc>
          <w:tcPr>
            <w:tcW w:w="0" w:type="auto"/>
            <w:vAlign w:val="center"/>
            <w:hideMark/>
          </w:tcPr>
          <w:p w14:paraId="1BA8A318"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Are deployment tools, integrations, monitoring solutions, and community resources available?</w:t>
            </w:r>
          </w:p>
        </w:tc>
        <w:tc>
          <w:tcPr>
            <w:tcW w:w="0" w:type="auto"/>
            <w:vAlign w:val="center"/>
            <w:hideMark/>
          </w:tcPr>
          <w:p w14:paraId="2F85A284"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 mature ecosystem reduces implementation effort and encourages interoperability.</w:t>
            </w:r>
          </w:p>
        </w:tc>
      </w:tr>
      <w:tr w:rsidR="00F918B2" w:rsidRPr="00BB10E7" w14:paraId="7D446142" w14:textId="77777777" w:rsidTr="00BB10E7">
        <w:trPr>
          <w:tblCellSpacing w:w="15" w:type="dxa"/>
        </w:trPr>
        <w:tc>
          <w:tcPr>
            <w:tcW w:w="0" w:type="auto"/>
            <w:vAlign w:val="center"/>
            <w:hideMark/>
          </w:tcPr>
          <w:p w14:paraId="22CB5F6E"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Governance and maintenance</w:t>
            </w:r>
          </w:p>
        </w:tc>
        <w:tc>
          <w:tcPr>
            <w:tcW w:w="0" w:type="auto"/>
            <w:vAlign w:val="center"/>
            <w:hideMark/>
          </w:tcPr>
          <w:p w14:paraId="6F18D05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Is the project actively maintained with transparent release and security processes?</w:t>
            </w:r>
          </w:p>
        </w:tc>
        <w:tc>
          <w:tcPr>
            <w:tcW w:w="0" w:type="auto"/>
            <w:vAlign w:val="center"/>
            <w:hideMark/>
          </w:tcPr>
          <w:p w14:paraId="25FD30C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Predictable governance supports long-term platform planning.</w:t>
            </w:r>
          </w:p>
        </w:tc>
      </w:tr>
      <w:tr w:rsidR="00F918B2" w:rsidRPr="00BB10E7" w14:paraId="665FCA2E" w14:textId="77777777" w:rsidTr="00BB10E7">
        <w:trPr>
          <w:tblCellSpacing w:w="15" w:type="dxa"/>
        </w:trPr>
        <w:tc>
          <w:tcPr>
            <w:tcW w:w="0" w:type="auto"/>
            <w:vAlign w:val="center"/>
            <w:hideMark/>
          </w:tcPr>
          <w:p w14:paraId="43541890"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Security posture</w:t>
            </w:r>
          </w:p>
        </w:tc>
        <w:tc>
          <w:tcPr>
            <w:tcW w:w="0" w:type="auto"/>
            <w:vAlign w:val="center"/>
            <w:hideMark/>
          </w:tcPr>
          <w:p w14:paraId="0C3F2242"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Are vulnerabilities managed responsibly? Are security practices documented?</w:t>
            </w:r>
          </w:p>
        </w:tc>
        <w:tc>
          <w:tcPr>
            <w:tcW w:w="0" w:type="auto"/>
            <w:vAlign w:val="center"/>
            <w:hideMark/>
          </w:tcPr>
          <w:p w14:paraId="6D11FE90"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Security maturity is essential for enterprise production environments.</w:t>
            </w:r>
          </w:p>
        </w:tc>
      </w:tr>
      <w:tr w:rsidR="00F918B2" w:rsidRPr="00BB10E7" w14:paraId="1655BA3A" w14:textId="77777777" w:rsidTr="00BB10E7">
        <w:trPr>
          <w:tblCellSpacing w:w="15" w:type="dxa"/>
        </w:trPr>
        <w:tc>
          <w:tcPr>
            <w:tcW w:w="0" w:type="auto"/>
            <w:vAlign w:val="center"/>
            <w:hideMark/>
          </w:tcPr>
          <w:p w14:paraId="03DC27E6"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Adoption and interoperability</w:t>
            </w:r>
          </w:p>
        </w:tc>
        <w:tc>
          <w:tcPr>
            <w:tcW w:w="0" w:type="auto"/>
            <w:vAlign w:val="center"/>
            <w:hideMark/>
          </w:tcPr>
          <w:p w14:paraId="2FF34639"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Is the technology widely integrated with related infrastructure?</w:t>
            </w:r>
          </w:p>
        </w:tc>
        <w:tc>
          <w:tcPr>
            <w:tcW w:w="0" w:type="auto"/>
            <w:vAlign w:val="center"/>
            <w:hideMark/>
          </w:tcPr>
          <w:p w14:paraId="22D9BDDE"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Broad adoption often indicates practical usability and ecosystem compatibility.</w:t>
            </w:r>
          </w:p>
        </w:tc>
      </w:tr>
    </w:tbl>
    <w:p w14:paraId="71D60EF8"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Technology maturity should also be evaluated relative to architectural importance. Experimental components may be entirely appropriate for isolated internal tools or research environments, while core platform infrastructure supporting business-critical workloads generally demands higher standards of operational maturity. The acceptable level of risk depends on the consequences of failure.</w:t>
      </w:r>
    </w:p>
    <w:p w14:paraId="3C09405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For example, experimenting with a newly released orchestration framework for an internal prototype may be entirely reasonable. Adopting the same framework as the foundation for a regulated production platform before its interfaces stabilize may introduce unnecessary operational risk. Similarly, replacing a mature observability platform with an experimental alternative solely because it introduces AI-specific features may reduce overall reliability despite improving functionality in one area.</w:t>
      </w:r>
    </w:p>
    <w:p w14:paraId="49F75527"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This principle extends beyond software. Emerging hardware architectures, accelerator technologies, networking standards, and deployment models should be evaluated according to the same engineering criteria. Novel capabilities become </w:t>
      </w:r>
      <w:r w:rsidRPr="00046211">
        <w:rPr>
          <w:rFonts w:ascii="Times New Roman" w:eastAsia="Times New Roman" w:hAnsi="Times New Roman" w:cs="Times New Roman"/>
          <w:sz w:val="28"/>
          <w:szCs w:val="24"/>
        </w:rPr>
        <w:lastRenderedPageBreak/>
        <w:t>valuable only when they can be integrated into operational systems with acceptable levels of reliability, maintainability, and support.</w:t>
      </w:r>
    </w:p>
    <w:p w14:paraId="308A8E7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Throughout this book, technologies are therefore discussed within the context of their current engineering maturity. Established industry practices are distinguished from rapidly evolving techniques, and experimental approaches are clearly identified where appropriate. This distinction enables readers to make informed architectural decisions based not only on technical capability but also on operational readiness.</w:t>
      </w:r>
    </w:p>
    <w:p w14:paraId="4E872D49" w14:textId="77777777" w:rsidR="00F918B2" w:rsidRPr="00046211" w:rsidRDefault="004F40AC" w:rsidP="00F918B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7D97C0A8">
          <v:rect id="_x0000_i1031" style="width:0;height:1.5pt" o:hralign="center" o:hrstd="t" o:hr="t" fillcolor="#a0a0a0" stroked="f"/>
        </w:pict>
      </w:r>
    </w:p>
    <w:p w14:paraId="32E1381D" w14:textId="77777777" w:rsidR="00F918B2" w:rsidRPr="00046211" w:rsidRDefault="00F918B2" w:rsidP="00F918B2">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1.11 Stable Principles Versus Rapidly Changing Technologies</w:t>
      </w:r>
    </w:p>
    <w:p w14:paraId="05328E46"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One reason many engineers find the AI ecosystem difficult to navigate is that discussions often treat every component as though it evolves at the same rate. In reality, modern AI platforms consist of technologies with dramatically different lifecycles. Some foundational principles have remained largely unchanged for decades, while others may evolve several times within a single year.</w:t>
      </w:r>
    </w:p>
    <w:p w14:paraId="7F88CFD1"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Recognizing this distinction is essential for making durable architectural decisions.</w:t>
      </w:r>
    </w:p>
    <w:p w14:paraId="3E99949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Software engineering has repeatedly demonstrated that stable abstractions outlive individual implementations. Relational databases have evolved considerably since their introduction, yet the principles of transactional consistency, indexing, query optimization, and normalization remain fundamental. Networking protocols continue to improve, but concepts such as routing, authentication, fault tolerance, and distributed communication remain central to modern systems regardless of implementation details.</w:t>
      </w:r>
    </w:p>
    <w:p w14:paraId="24E53A1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AI platforms exhibit the same pattern.</w:t>
      </w:r>
    </w:p>
    <w:p w14:paraId="08F28623"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Distributed systems principles continue to govern service communication. Authentication and authorization remain essential regardless of the selected model provider. Deployment automation, infrastructure as code, observability, version control, continuous integration, and operational governance remain indispensable for production environments. These principles were established before the </w:t>
      </w:r>
      <w:r w:rsidRPr="00046211">
        <w:rPr>
          <w:rFonts w:ascii="Times New Roman" w:eastAsia="Times New Roman" w:hAnsi="Times New Roman" w:cs="Times New Roman"/>
          <w:sz w:val="28"/>
          <w:szCs w:val="24"/>
        </w:rPr>
        <w:lastRenderedPageBreak/>
        <w:t>emergence of generative AI and continue to provide the foundation upon which AI platforms are built.</w:t>
      </w:r>
    </w:p>
    <w:p w14:paraId="5B1090E7"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By contrast, many AI-specific technologies remain in periods of rapid evolution. Foundation models continue to improve in capability and efficiency. Inference engines regularly introduce new scheduling algorithms and optimization techniques. Agent frameworks compete to define programming abstractions for autonomous workflows. Evaluation methodologies evolve alongside increasingly capable reasoning models. Context engineering, prompt optimization, and retrieval strategies continue to mature as operational experience grows.</w:t>
      </w:r>
    </w:p>
    <w:p w14:paraId="2593E3D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coexistence of stable and rapidly changing technologies has important architectural implications.</w:t>
      </w:r>
    </w:p>
    <w:p w14:paraId="35991EA7"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Components expected to evolve quickly should be isolated behind well-defined interfaces whenever possible. Applications should depend upon stable APIs rather than provider-specific implementations. Business logic should remain independent of individual models. Infrastructure automation should accommodate deployment of multiple inference backends without requiring application redesign. Architectural modularity allows organizations to adopt technological improvements incrementally rather than through disruptive platform-wide migrations.</w:t>
      </w:r>
    </w:p>
    <w:p w14:paraId="4E39BB31"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Conversely, organizations should hesitate before replacing mature infrastructure solely because a newer alternative has become available. Established technologies often provide years of accumulated operational knowledge, extensive ecosystem support, predictable maintenance practices, and robust integration capabilities. These characteristics frequently outweigh modest improvements in benchmark performance or feature availability.</w:t>
      </w:r>
    </w:p>
    <w:p w14:paraId="17CF2E6E"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1-9. Relative Stability of Common AI Platform Components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600"/>
        <w:gridCol w:w="1684"/>
        <w:gridCol w:w="5076"/>
      </w:tblGrid>
      <w:tr w:rsidR="00F918B2" w:rsidRPr="00BB10E7" w14:paraId="70AAD37C" w14:textId="77777777" w:rsidTr="00BB10E7">
        <w:trPr>
          <w:tblHeader/>
          <w:tblCellSpacing w:w="15" w:type="dxa"/>
        </w:trPr>
        <w:tc>
          <w:tcPr>
            <w:tcW w:w="0" w:type="auto"/>
            <w:vAlign w:val="center"/>
            <w:hideMark/>
          </w:tcPr>
          <w:p w14:paraId="0234ED75"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Component</w:t>
            </w:r>
          </w:p>
        </w:tc>
        <w:tc>
          <w:tcPr>
            <w:tcW w:w="0" w:type="auto"/>
            <w:vAlign w:val="center"/>
            <w:hideMark/>
          </w:tcPr>
          <w:p w14:paraId="43865D86"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Typical Rate of Change</w:t>
            </w:r>
          </w:p>
        </w:tc>
        <w:tc>
          <w:tcPr>
            <w:tcW w:w="0" w:type="auto"/>
            <w:vAlign w:val="center"/>
            <w:hideMark/>
          </w:tcPr>
          <w:p w14:paraId="14BEA41E"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Architectural Guidance</w:t>
            </w:r>
          </w:p>
        </w:tc>
      </w:tr>
      <w:tr w:rsidR="00F918B2" w:rsidRPr="00BB10E7" w14:paraId="43CA868A" w14:textId="77777777" w:rsidTr="00BB10E7">
        <w:trPr>
          <w:tblCellSpacing w:w="15" w:type="dxa"/>
        </w:trPr>
        <w:tc>
          <w:tcPr>
            <w:tcW w:w="0" w:type="auto"/>
            <w:vAlign w:val="center"/>
            <w:hideMark/>
          </w:tcPr>
          <w:p w14:paraId="64802BEA"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Networking protocols</w:t>
            </w:r>
          </w:p>
        </w:tc>
        <w:tc>
          <w:tcPr>
            <w:tcW w:w="0" w:type="auto"/>
            <w:vAlign w:val="center"/>
            <w:hideMark/>
          </w:tcPr>
          <w:p w14:paraId="24219131"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Slow</w:t>
            </w:r>
          </w:p>
        </w:tc>
        <w:tc>
          <w:tcPr>
            <w:tcW w:w="0" w:type="auto"/>
            <w:vAlign w:val="center"/>
            <w:hideMark/>
          </w:tcPr>
          <w:p w14:paraId="36CBCED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Build upon established standards rather than proprietary communication mechanisms.</w:t>
            </w:r>
          </w:p>
        </w:tc>
      </w:tr>
      <w:tr w:rsidR="00F918B2" w:rsidRPr="00BB10E7" w14:paraId="1AC85D94" w14:textId="77777777" w:rsidTr="00BB10E7">
        <w:trPr>
          <w:tblCellSpacing w:w="15" w:type="dxa"/>
        </w:trPr>
        <w:tc>
          <w:tcPr>
            <w:tcW w:w="0" w:type="auto"/>
            <w:vAlign w:val="center"/>
            <w:hideMark/>
          </w:tcPr>
          <w:p w14:paraId="4B9828B6"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Authentication and authorization</w:t>
            </w:r>
          </w:p>
        </w:tc>
        <w:tc>
          <w:tcPr>
            <w:tcW w:w="0" w:type="auto"/>
            <w:vAlign w:val="center"/>
            <w:hideMark/>
          </w:tcPr>
          <w:p w14:paraId="275E9A0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Slow</w:t>
            </w:r>
          </w:p>
        </w:tc>
        <w:tc>
          <w:tcPr>
            <w:tcW w:w="0" w:type="auto"/>
            <w:vAlign w:val="center"/>
            <w:hideMark/>
          </w:tcPr>
          <w:p w14:paraId="73478BBA"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Adopt widely accepted security standards that remain stable across technology generations.</w:t>
            </w:r>
          </w:p>
        </w:tc>
      </w:tr>
      <w:tr w:rsidR="00F918B2" w:rsidRPr="00BB10E7" w14:paraId="010A32B9" w14:textId="77777777" w:rsidTr="00BB10E7">
        <w:trPr>
          <w:tblCellSpacing w:w="15" w:type="dxa"/>
        </w:trPr>
        <w:tc>
          <w:tcPr>
            <w:tcW w:w="0" w:type="auto"/>
            <w:vAlign w:val="center"/>
            <w:hideMark/>
          </w:tcPr>
          <w:p w14:paraId="13BAA5C0"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Kubernetes and container orchestration</w:t>
            </w:r>
          </w:p>
        </w:tc>
        <w:tc>
          <w:tcPr>
            <w:tcW w:w="0" w:type="auto"/>
            <w:vAlign w:val="center"/>
            <w:hideMark/>
          </w:tcPr>
          <w:p w14:paraId="7A7565F4"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Moderate</w:t>
            </w:r>
          </w:p>
        </w:tc>
        <w:tc>
          <w:tcPr>
            <w:tcW w:w="0" w:type="auto"/>
            <w:vAlign w:val="center"/>
            <w:hideMark/>
          </w:tcPr>
          <w:p w14:paraId="04D52C1E"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Expect incremental evolution rather than fundamental redesign.</w:t>
            </w:r>
          </w:p>
        </w:tc>
      </w:tr>
      <w:tr w:rsidR="00F918B2" w:rsidRPr="00BB10E7" w14:paraId="107B226F" w14:textId="77777777" w:rsidTr="00BB10E7">
        <w:trPr>
          <w:tblCellSpacing w:w="15" w:type="dxa"/>
        </w:trPr>
        <w:tc>
          <w:tcPr>
            <w:tcW w:w="0" w:type="auto"/>
            <w:vAlign w:val="center"/>
            <w:hideMark/>
          </w:tcPr>
          <w:p w14:paraId="7F48A30B"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lastRenderedPageBreak/>
              <w:t>Observability frameworks</w:t>
            </w:r>
          </w:p>
        </w:tc>
        <w:tc>
          <w:tcPr>
            <w:tcW w:w="0" w:type="auto"/>
            <w:vAlign w:val="center"/>
            <w:hideMark/>
          </w:tcPr>
          <w:p w14:paraId="20A3D3E9"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Moderate</w:t>
            </w:r>
          </w:p>
        </w:tc>
        <w:tc>
          <w:tcPr>
            <w:tcW w:w="0" w:type="auto"/>
            <w:vAlign w:val="center"/>
            <w:hideMark/>
          </w:tcPr>
          <w:p w14:paraId="48055AD9"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Invest in standardized telemetry rather than provider-specific monitoring solutions.</w:t>
            </w:r>
          </w:p>
        </w:tc>
      </w:tr>
      <w:tr w:rsidR="00F918B2" w:rsidRPr="00BB10E7" w14:paraId="46E98192" w14:textId="77777777" w:rsidTr="00BB10E7">
        <w:trPr>
          <w:tblCellSpacing w:w="15" w:type="dxa"/>
        </w:trPr>
        <w:tc>
          <w:tcPr>
            <w:tcW w:w="0" w:type="auto"/>
            <w:vAlign w:val="center"/>
            <w:hideMark/>
          </w:tcPr>
          <w:p w14:paraId="5EE4A981"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Foundation models</w:t>
            </w:r>
          </w:p>
        </w:tc>
        <w:tc>
          <w:tcPr>
            <w:tcW w:w="0" w:type="auto"/>
            <w:vAlign w:val="center"/>
            <w:hideMark/>
          </w:tcPr>
          <w:p w14:paraId="0547A80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Rapid</w:t>
            </w:r>
          </w:p>
        </w:tc>
        <w:tc>
          <w:tcPr>
            <w:tcW w:w="0" w:type="auto"/>
            <w:vAlign w:val="center"/>
            <w:hideMark/>
          </w:tcPr>
          <w:p w14:paraId="29052F04"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Design abstraction layers that allow models to be replaced with minimal application changes.</w:t>
            </w:r>
          </w:p>
        </w:tc>
      </w:tr>
      <w:tr w:rsidR="00F918B2" w:rsidRPr="00BB10E7" w14:paraId="4F4E1EC2" w14:textId="77777777" w:rsidTr="00BB10E7">
        <w:trPr>
          <w:tblCellSpacing w:w="15" w:type="dxa"/>
        </w:trPr>
        <w:tc>
          <w:tcPr>
            <w:tcW w:w="0" w:type="auto"/>
            <w:vAlign w:val="center"/>
            <w:hideMark/>
          </w:tcPr>
          <w:p w14:paraId="071CA512"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Inference engines</w:t>
            </w:r>
          </w:p>
        </w:tc>
        <w:tc>
          <w:tcPr>
            <w:tcW w:w="0" w:type="auto"/>
            <w:vAlign w:val="center"/>
            <w:hideMark/>
          </w:tcPr>
          <w:p w14:paraId="70F54DA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Rapid</w:t>
            </w:r>
          </w:p>
        </w:tc>
        <w:tc>
          <w:tcPr>
            <w:tcW w:w="0" w:type="auto"/>
            <w:vAlign w:val="center"/>
            <w:hideMark/>
          </w:tcPr>
          <w:p w14:paraId="0DB0B64B"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Expect frequent performance improvements and deployment optimizations.</w:t>
            </w:r>
          </w:p>
        </w:tc>
      </w:tr>
      <w:tr w:rsidR="00F918B2" w:rsidRPr="00BB10E7" w14:paraId="5D0EE2B2" w14:textId="77777777" w:rsidTr="00BB10E7">
        <w:trPr>
          <w:tblCellSpacing w:w="15" w:type="dxa"/>
        </w:trPr>
        <w:tc>
          <w:tcPr>
            <w:tcW w:w="0" w:type="auto"/>
            <w:vAlign w:val="center"/>
            <w:hideMark/>
          </w:tcPr>
          <w:p w14:paraId="02FEC53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Agent frameworks</w:t>
            </w:r>
          </w:p>
        </w:tc>
        <w:tc>
          <w:tcPr>
            <w:tcW w:w="0" w:type="auto"/>
            <w:vAlign w:val="center"/>
            <w:hideMark/>
          </w:tcPr>
          <w:p w14:paraId="02E035BC"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Rapid</w:t>
            </w:r>
          </w:p>
        </w:tc>
        <w:tc>
          <w:tcPr>
            <w:tcW w:w="0" w:type="auto"/>
            <w:vAlign w:val="center"/>
            <w:hideMark/>
          </w:tcPr>
          <w:p w14:paraId="6E7A189B"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Evaluate carefully before introducing dependencies into core production systems.</w:t>
            </w:r>
          </w:p>
        </w:tc>
      </w:tr>
      <w:tr w:rsidR="00F918B2" w:rsidRPr="00BB10E7" w14:paraId="1DF9C1B3" w14:textId="77777777" w:rsidTr="00BB10E7">
        <w:trPr>
          <w:tblCellSpacing w:w="15" w:type="dxa"/>
        </w:trPr>
        <w:tc>
          <w:tcPr>
            <w:tcW w:w="0" w:type="auto"/>
            <w:vAlign w:val="center"/>
            <w:hideMark/>
          </w:tcPr>
          <w:p w14:paraId="1F1BAAB2"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Benchmark leaders</w:t>
            </w:r>
          </w:p>
        </w:tc>
        <w:tc>
          <w:tcPr>
            <w:tcW w:w="0" w:type="auto"/>
            <w:vAlign w:val="center"/>
            <w:hideMark/>
          </w:tcPr>
          <w:p w14:paraId="037034F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Very rapid</w:t>
            </w:r>
          </w:p>
        </w:tc>
        <w:tc>
          <w:tcPr>
            <w:tcW w:w="0" w:type="auto"/>
            <w:vAlign w:val="center"/>
            <w:hideMark/>
          </w:tcPr>
          <w:p w14:paraId="02AC104B"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Treat rankings as temporary measurements rather than architectural guidance.</w:t>
            </w:r>
          </w:p>
        </w:tc>
      </w:tr>
    </w:tbl>
    <w:p w14:paraId="1188A934"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distinction also influences engineering education. Learning a specific framework may provide immediate productivity benefits, but understanding distributed systems, networking, cloud architecture, security, and operational engineering provides knowledge that remains applicable despite changing tools. Engineers who master enduring principles generally adapt more quickly as individual technologies evolve.</w:t>
      </w:r>
    </w:p>
    <w:p w14:paraId="42CFEAB6"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organization of this book reflects the same philosophy. Although individual products and frameworks are discussed throughout subsequent chapters, emphasis is placed on architectural concepts that remain valuable regardless of future changes in the technology landscape. Products inevitably change. Engineering principles generally endure.</w:t>
      </w:r>
    </w:p>
    <w:p w14:paraId="3D6C1226" w14:textId="77777777" w:rsidR="00F918B2" w:rsidRPr="00046211" w:rsidRDefault="004F40AC" w:rsidP="00F918B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41C6DE2C">
          <v:rect id="_x0000_i1032" style="width:0;height:1.5pt" o:hralign="center" o:hrstd="t" o:hr="t" fillcolor="#a0a0a0" stroked="f"/>
        </w:pict>
      </w:r>
    </w:p>
    <w:p w14:paraId="760100F6" w14:textId="77777777" w:rsidR="00F918B2" w:rsidRPr="00046211" w:rsidRDefault="00F918B2" w:rsidP="00F918B2">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1.12 How This Book Is Organized</w:t>
      </w:r>
    </w:p>
    <w:p w14:paraId="1F8ED04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preceding sections have introduced the conceptual scope of AI Platform Engineering and established the principles that guide technology evaluation throughout this book. The remaining chapters progressively examine the major architectural layers introduced earlier, moving from strategic technology selection through production operations and long-term platform evolution.</w:t>
      </w:r>
    </w:p>
    <w:p w14:paraId="44DA32C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book is organized into eight parts, each focusing on a distinct aspect of modern AI platforms while building upon concepts established in previous chapters.</w:t>
      </w:r>
    </w:p>
    <w:p w14:paraId="01D9D79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lastRenderedPageBreak/>
        <w:t>Part I, Foundations and Platform Strategy</w:t>
      </w:r>
      <w:r w:rsidRPr="00046211">
        <w:rPr>
          <w:rFonts w:ascii="Times New Roman" w:eastAsia="Times New Roman" w:hAnsi="Times New Roman" w:cs="Times New Roman"/>
          <w:sz w:val="28"/>
          <w:szCs w:val="24"/>
        </w:rPr>
        <w:t>, establishes the architectural perspective adopted throughout the book. In addition to defining the scope of AI Platform Engineering, it examines technology selection, reference architectures, and the engineering trade-offs involved in designing AI platforms under different organizational constraints.</w:t>
      </w:r>
    </w:p>
    <w:p w14:paraId="1D30FF5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II, Models and Inference</w:t>
      </w:r>
      <w:r w:rsidRPr="00046211">
        <w:rPr>
          <w:rFonts w:ascii="Times New Roman" w:eastAsia="Times New Roman" w:hAnsi="Times New Roman" w:cs="Times New Roman"/>
          <w:sz w:val="28"/>
          <w:szCs w:val="24"/>
        </w:rPr>
        <w:t>, explores the technologies responsible for executing modern AI workloads. Commercial AI services, open-weight models, licensing considerations, model selection, inference engines, serving architectures, and deployment strategies are examined from the perspective of production platform design rather than model development.</w:t>
      </w:r>
    </w:p>
    <w:p w14:paraId="7BC0A8FC"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III, AI Platform Runtime</w:t>
      </w:r>
      <w:r w:rsidRPr="00046211">
        <w:rPr>
          <w:rFonts w:ascii="Times New Roman" w:eastAsia="Times New Roman" w:hAnsi="Times New Roman" w:cs="Times New Roman"/>
          <w:sz w:val="28"/>
          <w:szCs w:val="24"/>
        </w:rPr>
        <w:t>, focuses on the control plane responsible for coordinating AI services. Topics include AI gateways, provider abstraction, traffic management, tool execution, Model Context Protocol (MCP), orchestration frameworks, durable workflows, and the architectural relationships between agent systems and traditional workflow engines.</w:t>
      </w:r>
    </w:p>
    <w:p w14:paraId="291FD07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IV, Knowledge and Data Systems</w:t>
      </w:r>
      <w:r w:rsidRPr="00046211">
        <w:rPr>
          <w:rFonts w:ascii="Times New Roman" w:eastAsia="Times New Roman" w:hAnsi="Times New Roman" w:cs="Times New Roman"/>
          <w:sz w:val="28"/>
          <w:szCs w:val="24"/>
        </w:rPr>
        <w:t>, examines how production platforms manage enterprise knowledge beyond model parameters. Storage systems, ingestion pipelines, retrieval architectures, vector search, embedding workflows, and retrieval-augmented generation are presented as components of broader information systems rather than isolated AI techniques.</w:t>
      </w:r>
    </w:p>
    <w:p w14:paraId="448D6E6D"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V, Reliability, Security, and Governance</w:t>
      </w:r>
      <w:r w:rsidRPr="00046211">
        <w:rPr>
          <w:rFonts w:ascii="Times New Roman" w:eastAsia="Times New Roman" w:hAnsi="Times New Roman" w:cs="Times New Roman"/>
          <w:sz w:val="28"/>
          <w:szCs w:val="24"/>
        </w:rPr>
        <w:t>, addresses mechanisms for evaluating, securing, and governing AI systems. Evaluation methodologies, regression testing, policy enforcement, guardrails, governance frameworks, and security considerations are treated as integral components of production engineering rather than optional enhancements.</w:t>
      </w:r>
    </w:p>
    <w:p w14:paraId="00D2157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VI, Production Platform Operations</w:t>
      </w:r>
      <w:r w:rsidRPr="00046211">
        <w:rPr>
          <w:rFonts w:ascii="Times New Roman" w:eastAsia="Times New Roman" w:hAnsi="Times New Roman" w:cs="Times New Roman"/>
          <w:sz w:val="28"/>
          <w:szCs w:val="24"/>
        </w:rPr>
        <w:t>, examines the operational lifecycle of AI services. Deployment strategies, registries, continuous integration and delivery, observability, incident investigation, capacity planning, infrastructure utilization, and cost engineering are discussed within the broader context of platform operations.</w:t>
      </w:r>
    </w:p>
    <w:p w14:paraId="168EC6E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VII, Engineering Practice</w:t>
      </w:r>
      <w:r w:rsidRPr="00046211">
        <w:rPr>
          <w:rFonts w:ascii="Times New Roman" w:eastAsia="Times New Roman" w:hAnsi="Times New Roman" w:cs="Times New Roman"/>
          <w:sz w:val="28"/>
          <w:szCs w:val="24"/>
        </w:rPr>
        <w:t>, synthesizes concepts introduced throughout the book by examining architectural decision frameworks, comparative reference architectures, engineering trade-offs, and real-world production case studies illustrating how complete AI platforms are assembled.</w:t>
      </w:r>
    </w:p>
    <w:p w14:paraId="7E71871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lastRenderedPageBreak/>
        <w:t>Part VIII, Platform Evolution</w:t>
      </w:r>
      <w:r w:rsidRPr="00046211">
        <w:rPr>
          <w:rFonts w:ascii="Times New Roman" w:eastAsia="Times New Roman" w:hAnsi="Times New Roman" w:cs="Times New Roman"/>
          <w:sz w:val="28"/>
          <w:szCs w:val="24"/>
        </w:rPr>
        <w:t>, concludes the book by examining how AI platforms remain sustainable as technologies evolve. Topics include technology lifecycle management, migration planning, architectural modernization, dependency management, and maintaining a long-term technology radar for rapidly changing ecosystems.</w:t>
      </w:r>
    </w:p>
    <w:p w14:paraId="6458C71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Although each chapter can be read independently for reference purposes, the material is organized progressively. Concepts introduced in earlier chapters provide the architectural context necessary for understanding the implementation and operational considerations explored later in the book.</w:t>
      </w:r>
    </w:p>
    <w:p w14:paraId="3CDAF9CD" w14:textId="77777777" w:rsidR="00F918B2" w:rsidRPr="00046211" w:rsidRDefault="004F40AC" w:rsidP="00F918B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0546229E">
          <v:rect id="_x0000_i1033" style="width:0;height:1.5pt" o:hralign="center" o:hrstd="t" o:hr="t" fillcolor="#a0a0a0" stroked="f"/>
        </w:pict>
      </w:r>
    </w:p>
    <w:p w14:paraId="37AE00A5" w14:textId="77777777" w:rsidR="00F918B2" w:rsidRPr="00046211" w:rsidRDefault="00F918B2" w:rsidP="00F918B2">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1.13 What This Chapter Intentionally Does Not Explain</w:t>
      </w:r>
    </w:p>
    <w:p w14:paraId="295B853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introductory chapter establishes the conceptual landscape of AI Platform Engineering rather than providing detailed implementation guidance. Many topics introduced briefly in preceding sections require considerably deeper discussion than would be appropriate in a foundational chapter. Attempting to explain every component at this stage would obscure the broader architectural perspective and result in unnecessary repetition throughout the remainder of the book.</w:t>
      </w:r>
    </w:p>
    <w:p w14:paraId="37138A6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Accordingly, the following chapters examine each architectural layer independently.</w:t>
      </w:r>
    </w:p>
    <w:p w14:paraId="03B1FE1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Detailed discussion of </w:t>
      </w:r>
      <w:r w:rsidRPr="00046211">
        <w:rPr>
          <w:rFonts w:ascii="Times New Roman" w:eastAsia="Times New Roman" w:hAnsi="Times New Roman" w:cs="Times New Roman"/>
          <w:b/>
          <w:bCs/>
          <w:sz w:val="28"/>
          <w:szCs w:val="24"/>
        </w:rPr>
        <w:t>commercial AI services, managed model catalogs, provider APIs, and model selection</w:t>
      </w:r>
      <w:r w:rsidRPr="00046211">
        <w:rPr>
          <w:rFonts w:ascii="Times New Roman" w:eastAsia="Times New Roman" w:hAnsi="Times New Roman" w:cs="Times New Roman"/>
          <w:sz w:val="28"/>
          <w:szCs w:val="24"/>
        </w:rPr>
        <w:t xml:space="preserve"> begins in </w:t>
      </w:r>
      <w:r w:rsidRPr="00046211">
        <w:rPr>
          <w:rFonts w:ascii="Times New Roman" w:eastAsia="Times New Roman" w:hAnsi="Times New Roman" w:cs="Times New Roman"/>
          <w:b/>
          <w:bCs/>
          <w:sz w:val="28"/>
          <w:szCs w:val="24"/>
        </w:rPr>
        <w:t>Chapter 3</w:t>
      </w:r>
      <w:r w:rsidRPr="00046211">
        <w:rPr>
          <w:rFonts w:ascii="Times New Roman" w:eastAsia="Times New Roman" w:hAnsi="Times New Roman" w:cs="Times New Roman"/>
          <w:sz w:val="28"/>
          <w:szCs w:val="24"/>
        </w:rPr>
        <w:t xml:space="preserve">, while </w:t>
      </w:r>
      <w:r w:rsidRPr="00046211">
        <w:rPr>
          <w:rFonts w:ascii="Times New Roman" w:eastAsia="Times New Roman" w:hAnsi="Times New Roman" w:cs="Times New Roman"/>
          <w:b/>
          <w:bCs/>
          <w:sz w:val="28"/>
          <w:szCs w:val="24"/>
        </w:rPr>
        <w:t>Chapter 4</w:t>
      </w:r>
      <w:r w:rsidRPr="00046211">
        <w:rPr>
          <w:rFonts w:ascii="Times New Roman" w:eastAsia="Times New Roman" w:hAnsi="Times New Roman" w:cs="Times New Roman"/>
          <w:sz w:val="28"/>
          <w:szCs w:val="24"/>
        </w:rPr>
        <w:t xml:space="preserve"> examines open-weight models, licensing considerations, deployment implications, and the evolving open-model ecosystem. </w:t>
      </w:r>
      <w:r w:rsidRPr="00046211">
        <w:rPr>
          <w:rFonts w:ascii="Times New Roman" w:eastAsia="Times New Roman" w:hAnsi="Times New Roman" w:cs="Times New Roman"/>
          <w:b/>
          <w:bCs/>
          <w:sz w:val="28"/>
          <w:szCs w:val="24"/>
        </w:rPr>
        <w:t>Chapter 5</w:t>
      </w:r>
      <w:r w:rsidRPr="00046211">
        <w:rPr>
          <w:rFonts w:ascii="Times New Roman" w:eastAsia="Times New Roman" w:hAnsi="Times New Roman" w:cs="Times New Roman"/>
          <w:sz w:val="28"/>
          <w:szCs w:val="24"/>
        </w:rPr>
        <w:t xml:space="preserve"> explores inference engines, serving architectures, batching strategies, scheduling algorithms, and hardware utilization, topics that intentionally remain outside the scope of this introductory overview.</w:t>
      </w:r>
    </w:p>
    <w:p w14:paraId="5E6E972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The runtime components introduced conceptually in this chapter are examined in greater depth throughout </w:t>
      </w:r>
      <w:r w:rsidRPr="00046211">
        <w:rPr>
          <w:rFonts w:ascii="Times New Roman" w:eastAsia="Times New Roman" w:hAnsi="Times New Roman" w:cs="Times New Roman"/>
          <w:b/>
          <w:bCs/>
          <w:sz w:val="28"/>
          <w:szCs w:val="24"/>
        </w:rPr>
        <w:t>Part III</w:t>
      </w:r>
      <w:r w:rsidRPr="00046211">
        <w:rPr>
          <w:rFonts w:ascii="Times New Roman" w:eastAsia="Times New Roman" w:hAnsi="Times New Roman" w:cs="Times New Roman"/>
          <w:sz w:val="28"/>
          <w:szCs w:val="24"/>
        </w:rPr>
        <w:t xml:space="preserve">. </w:t>
      </w:r>
      <w:r w:rsidRPr="00046211">
        <w:rPr>
          <w:rFonts w:ascii="Times New Roman" w:eastAsia="Times New Roman" w:hAnsi="Times New Roman" w:cs="Times New Roman"/>
          <w:b/>
          <w:bCs/>
          <w:sz w:val="28"/>
          <w:szCs w:val="24"/>
        </w:rPr>
        <w:t>Chapter 6</w:t>
      </w:r>
      <w:r w:rsidRPr="00046211">
        <w:rPr>
          <w:rFonts w:ascii="Times New Roman" w:eastAsia="Times New Roman" w:hAnsi="Times New Roman" w:cs="Times New Roman"/>
          <w:sz w:val="28"/>
          <w:szCs w:val="24"/>
        </w:rPr>
        <w:t xml:space="preserve"> focuses on AI gateways, traffic management, authentication, provider abstraction, and routing policies. </w:t>
      </w:r>
      <w:r w:rsidRPr="00046211">
        <w:rPr>
          <w:rFonts w:ascii="Times New Roman" w:eastAsia="Times New Roman" w:hAnsi="Times New Roman" w:cs="Times New Roman"/>
          <w:b/>
          <w:bCs/>
          <w:sz w:val="28"/>
          <w:szCs w:val="24"/>
        </w:rPr>
        <w:t>Chapter 7</w:t>
      </w:r>
      <w:r w:rsidRPr="00046211">
        <w:rPr>
          <w:rFonts w:ascii="Times New Roman" w:eastAsia="Times New Roman" w:hAnsi="Times New Roman" w:cs="Times New Roman"/>
          <w:sz w:val="28"/>
          <w:szCs w:val="24"/>
        </w:rPr>
        <w:t xml:space="preserve"> explains tool calling and the Model Context Protocol, while </w:t>
      </w:r>
      <w:r w:rsidRPr="00046211">
        <w:rPr>
          <w:rFonts w:ascii="Times New Roman" w:eastAsia="Times New Roman" w:hAnsi="Times New Roman" w:cs="Times New Roman"/>
          <w:b/>
          <w:bCs/>
          <w:sz w:val="28"/>
          <w:szCs w:val="24"/>
        </w:rPr>
        <w:t>Chapters 8 and 9</w:t>
      </w:r>
      <w:r w:rsidRPr="00046211">
        <w:rPr>
          <w:rFonts w:ascii="Times New Roman" w:eastAsia="Times New Roman" w:hAnsi="Times New Roman" w:cs="Times New Roman"/>
          <w:sz w:val="28"/>
          <w:szCs w:val="24"/>
        </w:rPr>
        <w:t xml:space="preserve"> </w:t>
      </w:r>
      <w:r w:rsidRPr="00046211">
        <w:rPr>
          <w:rFonts w:ascii="Times New Roman" w:eastAsia="Times New Roman" w:hAnsi="Times New Roman" w:cs="Times New Roman"/>
          <w:sz w:val="28"/>
          <w:szCs w:val="24"/>
        </w:rPr>
        <w:lastRenderedPageBreak/>
        <w:t>examine orchestration frameworks, agent systems, durable workflows, and execution models for complex AI applications.</w:t>
      </w:r>
    </w:p>
    <w:p w14:paraId="53AA3765"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The information layer supporting enterprise AI applications forms the subject of </w:t>
      </w:r>
      <w:r w:rsidRPr="00046211">
        <w:rPr>
          <w:rFonts w:ascii="Times New Roman" w:eastAsia="Times New Roman" w:hAnsi="Times New Roman" w:cs="Times New Roman"/>
          <w:b/>
          <w:bCs/>
          <w:sz w:val="28"/>
          <w:szCs w:val="24"/>
        </w:rPr>
        <w:t>Part IV</w:t>
      </w:r>
      <w:r w:rsidRPr="00046211">
        <w:rPr>
          <w:rFonts w:ascii="Times New Roman" w:eastAsia="Times New Roman" w:hAnsi="Times New Roman" w:cs="Times New Roman"/>
          <w:sz w:val="28"/>
          <w:szCs w:val="24"/>
        </w:rPr>
        <w:t>. Storage systems, ingestion pipelines, retrieval architectures, vector databases, embedding workflows, and retrieval-augmented generation require dedicated treatment because they involve established data engineering principles extending beyond language models themselves.</w:t>
      </w:r>
    </w:p>
    <w:p w14:paraId="441BF15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Similarly, this chapter deliberately avoids detailed discussion of evaluation methodologies, security controls, governance mechanisms, deployment pipelines, observability, and cost optimization. These topics represent substantial engineering disciplines in their own right. They are addressed comprehensively in </w:t>
      </w:r>
      <w:r w:rsidRPr="00046211">
        <w:rPr>
          <w:rFonts w:ascii="Times New Roman" w:eastAsia="Times New Roman" w:hAnsi="Times New Roman" w:cs="Times New Roman"/>
          <w:b/>
          <w:bCs/>
          <w:sz w:val="28"/>
          <w:szCs w:val="24"/>
        </w:rPr>
        <w:t>Chapters 13 through 17</w:t>
      </w:r>
      <w:r w:rsidRPr="00046211">
        <w:rPr>
          <w:rFonts w:ascii="Times New Roman" w:eastAsia="Times New Roman" w:hAnsi="Times New Roman" w:cs="Times New Roman"/>
          <w:sz w:val="28"/>
          <w:szCs w:val="24"/>
        </w:rPr>
        <w:t>, where they can be discussed within the operational context necessary for production systems.</w:t>
      </w:r>
    </w:p>
    <w:p w14:paraId="7F0558C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Finally, architectural decision frameworks, comparative reference architectures, engineering case studies, and long-term platform evolution are intentionally reserved for the concluding chapters of the book. These subjects integrate concepts from every preceding chapter and therefore benefit from readers having first developed a comprehensive understanding of the individual platform components.</w:t>
      </w:r>
    </w:p>
    <w:p w14:paraId="57755093" w14:textId="77D9E5B7" w:rsidR="008E12D7" w:rsidRPr="00736868" w:rsidRDefault="00F918B2" w:rsidP="00736868">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objective of this chapter has been to establish a common vocabulary, define the scope of AI Platform Engineering, and present the conceptual structure of a modern AI platform. The chapters that follow progressively transform this conceptual framework into detailed engineering guidance suitable for designing, deploying, and operating production AI systems.</w:t>
      </w:r>
    </w:p>
    <w:sectPr w:rsidR="008E12D7" w:rsidRPr="00736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04998"/>
    <w:multiLevelType w:val="multilevel"/>
    <w:tmpl w:val="1B20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CC4"/>
    <w:multiLevelType w:val="multilevel"/>
    <w:tmpl w:val="7C3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613D7"/>
    <w:multiLevelType w:val="multilevel"/>
    <w:tmpl w:val="813A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76845"/>
    <w:multiLevelType w:val="multilevel"/>
    <w:tmpl w:val="E36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52FF5"/>
    <w:multiLevelType w:val="multilevel"/>
    <w:tmpl w:val="1B8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C2C4D"/>
    <w:multiLevelType w:val="multilevel"/>
    <w:tmpl w:val="9C7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60A73"/>
    <w:multiLevelType w:val="multilevel"/>
    <w:tmpl w:val="374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64DA7"/>
    <w:multiLevelType w:val="multilevel"/>
    <w:tmpl w:val="693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D0BFB"/>
    <w:multiLevelType w:val="hybridMultilevel"/>
    <w:tmpl w:val="9FFC07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69778B"/>
    <w:multiLevelType w:val="multilevel"/>
    <w:tmpl w:val="DD2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117E7"/>
    <w:multiLevelType w:val="multilevel"/>
    <w:tmpl w:val="610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81F28"/>
    <w:multiLevelType w:val="multilevel"/>
    <w:tmpl w:val="FEF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8432D"/>
    <w:multiLevelType w:val="multilevel"/>
    <w:tmpl w:val="BCB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44EAB"/>
    <w:multiLevelType w:val="multilevel"/>
    <w:tmpl w:val="9C6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C466F"/>
    <w:multiLevelType w:val="hybridMultilevel"/>
    <w:tmpl w:val="98E40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4"/>
  </w:num>
  <w:num w:numId="4">
    <w:abstractNumId w:val="5"/>
  </w:num>
  <w:num w:numId="5">
    <w:abstractNumId w:val="7"/>
  </w:num>
  <w:num w:numId="6">
    <w:abstractNumId w:val="2"/>
  </w:num>
  <w:num w:numId="7">
    <w:abstractNumId w:val="6"/>
  </w:num>
  <w:num w:numId="8">
    <w:abstractNumId w:val="12"/>
  </w:num>
  <w:num w:numId="9">
    <w:abstractNumId w:val="11"/>
  </w:num>
  <w:num w:numId="10">
    <w:abstractNumId w:val="3"/>
  </w:num>
  <w:num w:numId="11">
    <w:abstractNumId w:val="0"/>
  </w:num>
  <w:num w:numId="12">
    <w:abstractNumId w:val="13"/>
  </w:num>
  <w:num w:numId="13">
    <w:abstractNumId w:val="10"/>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B45"/>
    <w:rsid w:val="00046211"/>
    <w:rsid w:val="001857BC"/>
    <w:rsid w:val="00312B5F"/>
    <w:rsid w:val="003A47D2"/>
    <w:rsid w:val="004F40AC"/>
    <w:rsid w:val="0064290B"/>
    <w:rsid w:val="00736868"/>
    <w:rsid w:val="008E12D7"/>
    <w:rsid w:val="009C4782"/>
    <w:rsid w:val="00B312E4"/>
    <w:rsid w:val="00BB10E7"/>
    <w:rsid w:val="00BC763C"/>
    <w:rsid w:val="00D80B45"/>
    <w:rsid w:val="00E3782E"/>
    <w:rsid w:val="00F91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ED88C"/>
  <w15:chartTrackingRefBased/>
  <w15:docId w15:val="{E348E3B9-7E9E-4481-89D8-7A6DD816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80B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E12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29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B4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80B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0B45"/>
    <w:rPr>
      <w:b/>
      <w:bCs/>
    </w:rPr>
  </w:style>
  <w:style w:type="character" w:customStyle="1" w:styleId="Heading2Char">
    <w:name w:val="Heading 2 Char"/>
    <w:basedOn w:val="DefaultParagraphFont"/>
    <w:link w:val="Heading2"/>
    <w:uiPriority w:val="9"/>
    <w:semiHidden/>
    <w:rsid w:val="008E12D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8E12D7"/>
    <w:rPr>
      <w:i/>
      <w:iCs/>
    </w:rPr>
  </w:style>
  <w:style w:type="paragraph" w:styleId="NoSpacing">
    <w:name w:val="No Spacing"/>
    <w:uiPriority w:val="1"/>
    <w:qFormat/>
    <w:rsid w:val="003A47D2"/>
    <w:pPr>
      <w:spacing w:after="0" w:line="240" w:lineRule="auto"/>
    </w:pPr>
  </w:style>
  <w:style w:type="character" w:customStyle="1" w:styleId="whitespace-normal">
    <w:name w:val="whitespace-normal"/>
    <w:basedOn w:val="DefaultParagraphFont"/>
    <w:rsid w:val="001857BC"/>
  </w:style>
  <w:style w:type="character" w:styleId="Hyperlink">
    <w:name w:val="Hyperlink"/>
    <w:basedOn w:val="DefaultParagraphFont"/>
    <w:uiPriority w:val="99"/>
    <w:semiHidden/>
    <w:unhideWhenUsed/>
    <w:rsid w:val="00E3782E"/>
    <w:rPr>
      <w:color w:val="0000FF"/>
      <w:u w:val="single"/>
    </w:rPr>
  </w:style>
  <w:style w:type="character" w:customStyle="1" w:styleId="Heading3Char">
    <w:name w:val="Heading 3 Char"/>
    <w:basedOn w:val="DefaultParagraphFont"/>
    <w:link w:val="Heading3"/>
    <w:uiPriority w:val="9"/>
    <w:semiHidden/>
    <w:rsid w:val="0064290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B10E7"/>
    <w:pPr>
      <w:ind w:left="720"/>
      <w:contextualSpacing/>
    </w:pPr>
  </w:style>
  <w:style w:type="paragraph" w:styleId="Title">
    <w:name w:val="Title"/>
    <w:basedOn w:val="Normal"/>
    <w:next w:val="Normal"/>
    <w:link w:val="TitleChar"/>
    <w:uiPriority w:val="10"/>
    <w:qFormat/>
    <w:rsid w:val="004F40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0A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58628">
      <w:bodyDiv w:val="1"/>
      <w:marLeft w:val="0"/>
      <w:marRight w:val="0"/>
      <w:marTop w:val="0"/>
      <w:marBottom w:val="0"/>
      <w:divBdr>
        <w:top w:val="none" w:sz="0" w:space="0" w:color="auto"/>
        <w:left w:val="none" w:sz="0" w:space="0" w:color="auto"/>
        <w:bottom w:val="none" w:sz="0" w:space="0" w:color="auto"/>
        <w:right w:val="none" w:sz="0" w:space="0" w:color="auto"/>
      </w:divBdr>
      <w:divsChild>
        <w:div w:id="286276084">
          <w:marLeft w:val="0"/>
          <w:marRight w:val="0"/>
          <w:marTop w:val="0"/>
          <w:marBottom w:val="0"/>
          <w:divBdr>
            <w:top w:val="none" w:sz="0" w:space="0" w:color="auto"/>
            <w:left w:val="none" w:sz="0" w:space="0" w:color="auto"/>
            <w:bottom w:val="none" w:sz="0" w:space="0" w:color="auto"/>
            <w:right w:val="none" w:sz="0" w:space="0" w:color="auto"/>
          </w:divBdr>
          <w:divsChild>
            <w:div w:id="1602490903">
              <w:marLeft w:val="0"/>
              <w:marRight w:val="0"/>
              <w:marTop w:val="0"/>
              <w:marBottom w:val="0"/>
              <w:divBdr>
                <w:top w:val="none" w:sz="0" w:space="0" w:color="auto"/>
                <w:left w:val="none" w:sz="0" w:space="0" w:color="auto"/>
                <w:bottom w:val="none" w:sz="0" w:space="0" w:color="auto"/>
                <w:right w:val="none" w:sz="0" w:space="0" w:color="auto"/>
              </w:divBdr>
            </w:div>
          </w:divsChild>
        </w:div>
        <w:div w:id="1293364429">
          <w:marLeft w:val="0"/>
          <w:marRight w:val="0"/>
          <w:marTop w:val="0"/>
          <w:marBottom w:val="0"/>
          <w:divBdr>
            <w:top w:val="none" w:sz="0" w:space="0" w:color="auto"/>
            <w:left w:val="none" w:sz="0" w:space="0" w:color="auto"/>
            <w:bottom w:val="none" w:sz="0" w:space="0" w:color="auto"/>
            <w:right w:val="none" w:sz="0" w:space="0" w:color="auto"/>
          </w:divBdr>
          <w:divsChild>
            <w:div w:id="1640453415">
              <w:marLeft w:val="0"/>
              <w:marRight w:val="0"/>
              <w:marTop w:val="0"/>
              <w:marBottom w:val="0"/>
              <w:divBdr>
                <w:top w:val="none" w:sz="0" w:space="0" w:color="auto"/>
                <w:left w:val="none" w:sz="0" w:space="0" w:color="auto"/>
                <w:bottom w:val="none" w:sz="0" w:space="0" w:color="auto"/>
                <w:right w:val="none" w:sz="0" w:space="0" w:color="auto"/>
              </w:divBdr>
            </w:div>
          </w:divsChild>
        </w:div>
        <w:div w:id="2015064789">
          <w:marLeft w:val="0"/>
          <w:marRight w:val="0"/>
          <w:marTop w:val="0"/>
          <w:marBottom w:val="0"/>
          <w:divBdr>
            <w:top w:val="none" w:sz="0" w:space="0" w:color="auto"/>
            <w:left w:val="none" w:sz="0" w:space="0" w:color="auto"/>
            <w:bottom w:val="none" w:sz="0" w:space="0" w:color="auto"/>
            <w:right w:val="none" w:sz="0" w:space="0" w:color="auto"/>
          </w:divBdr>
          <w:divsChild>
            <w:div w:id="14570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7622">
      <w:bodyDiv w:val="1"/>
      <w:marLeft w:val="0"/>
      <w:marRight w:val="0"/>
      <w:marTop w:val="0"/>
      <w:marBottom w:val="0"/>
      <w:divBdr>
        <w:top w:val="none" w:sz="0" w:space="0" w:color="auto"/>
        <w:left w:val="none" w:sz="0" w:space="0" w:color="auto"/>
        <w:bottom w:val="none" w:sz="0" w:space="0" w:color="auto"/>
        <w:right w:val="none" w:sz="0" w:space="0" w:color="auto"/>
      </w:divBdr>
      <w:divsChild>
        <w:div w:id="1638996109">
          <w:marLeft w:val="0"/>
          <w:marRight w:val="0"/>
          <w:marTop w:val="0"/>
          <w:marBottom w:val="0"/>
          <w:divBdr>
            <w:top w:val="none" w:sz="0" w:space="0" w:color="auto"/>
            <w:left w:val="none" w:sz="0" w:space="0" w:color="auto"/>
            <w:bottom w:val="none" w:sz="0" w:space="0" w:color="auto"/>
            <w:right w:val="none" w:sz="0" w:space="0" w:color="auto"/>
          </w:divBdr>
          <w:divsChild>
            <w:div w:id="1921527530">
              <w:marLeft w:val="0"/>
              <w:marRight w:val="0"/>
              <w:marTop w:val="0"/>
              <w:marBottom w:val="0"/>
              <w:divBdr>
                <w:top w:val="none" w:sz="0" w:space="0" w:color="auto"/>
                <w:left w:val="none" w:sz="0" w:space="0" w:color="auto"/>
                <w:bottom w:val="none" w:sz="0" w:space="0" w:color="auto"/>
                <w:right w:val="none" w:sz="0" w:space="0" w:color="auto"/>
              </w:divBdr>
            </w:div>
          </w:divsChild>
        </w:div>
        <w:div w:id="325549000">
          <w:marLeft w:val="0"/>
          <w:marRight w:val="0"/>
          <w:marTop w:val="0"/>
          <w:marBottom w:val="0"/>
          <w:divBdr>
            <w:top w:val="none" w:sz="0" w:space="0" w:color="auto"/>
            <w:left w:val="none" w:sz="0" w:space="0" w:color="auto"/>
            <w:bottom w:val="none" w:sz="0" w:space="0" w:color="auto"/>
            <w:right w:val="none" w:sz="0" w:space="0" w:color="auto"/>
          </w:divBdr>
          <w:divsChild>
            <w:div w:id="1649628517">
              <w:marLeft w:val="0"/>
              <w:marRight w:val="0"/>
              <w:marTop w:val="0"/>
              <w:marBottom w:val="0"/>
              <w:divBdr>
                <w:top w:val="none" w:sz="0" w:space="0" w:color="auto"/>
                <w:left w:val="none" w:sz="0" w:space="0" w:color="auto"/>
                <w:bottom w:val="none" w:sz="0" w:space="0" w:color="auto"/>
                <w:right w:val="none" w:sz="0" w:space="0" w:color="auto"/>
              </w:divBdr>
            </w:div>
          </w:divsChild>
        </w:div>
        <w:div w:id="1722901031">
          <w:marLeft w:val="0"/>
          <w:marRight w:val="0"/>
          <w:marTop w:val="0"/>
          <w:marBottom w:val="0"/>
          <w:divBdr>
            <w:top w:val="none" w:sz="0" w:space="0" w:color="auto"/>
            <w:left w:val="none" w:sz="0" w:space="0" w:color="auto"/>
            <w:bottom w:val="none" w:sz="0" w:space="0" w:color="auto"/>
            <w:right w:val="none" w:sz="0" w:space="0" w:color="auto"/>
          </w:divBdr>
          <w:divsChild>
            <w:div w:id="8994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5265">
      <w:bodyDiv w:val="1"/>
      <w:marLeft w:val="0"/>
      <w:marRight w:val="0"/>
      <w:marTop w:val="0"/>
      <w:marBottom w:val="0"/>
      <w:divBdr>
        <w:top w:val="none" w:sz="0" w:space="0" w:color="auto"/>
        <w:left w:val="none" w:sz="0" w:space="0" w:color="auto"/>
        <w:bottom w:val="none" w:sz="0" w:space="0" w:color="auto"/>
        <w:right w:val="none" w:sz="0" w:space="0" w:color="auto"/>
      </w:divBdr>
      <w:divsChild>
        <w:div w:id="529874952">
          <w:marLeft w:val="0"/>
          <w:marRight w:val="0"/>
          <w:marTop w:val="0"/>
          <w:marBottom w:val="0"/>
          <w:divBdr>
            <w:top w:val="none" w:sz="0" w:space="0" w:color="auto"/>
            <w:left w:val="none" w:sz="0" w:space="0" w:color="auto"/>
            <w:bottom w:val="none" w:sz="0" w:space="0" w:color="auto"/>
            <w:right w:val="none" w:sz="0" w:space="0" w:color="auto"/>
          </w:divBdr>
          <w:divsChild>
            <w:div w:id="418527330">
              <w:marLeft w:val="0"/>
              <w:marRight w:val="0"/>
              <w:marTop w:val="0"/>
              <w:marBottom w:val="0"/>
              <w:divBdr>
                <w:top w:val="none" w:sz="0" w:space="0" w:color="auto"/>
                <w:left w:val="none" w:sz="0" w:space="0" w:color="auto"/>
                <w:bottom w:val="none" w:sz="0" w:space="0" w:color="auto"/>
                <w:right w:val="none" w:sz="0" w:space="0" w:color="auto"/>
              </w:divBdr>
            </w:div>
          </w:divsChild>
        </w:div>
        <w:div w:id="1329164955">
          <w:marLeft w:val="0"/>
          <w:marRight w:val="0"/>
          <w:marTop w:val="0"/>
          <w:marBottom w:val="0"/>
          <w:divBdr>
            <w:top w:val="none" w:sz="0" w:space="0" w:color="auto"/>
            <w:left w:val="none" w:sz="0" w:space="0" w:color="auto"/>
            <w:bottom w:val="none" w:sz="0" w:space="0" w:color="auto"/>
            <w:right w:val="none" w:sz="0" w:space="0" w:color="auto"/>
          </w:divBdr>
          <w:divsChild>
            <w:div w:id="1530952648">
              <w:marLeft w:val="0"/>
              <w:marRight w:val="0"/>
              <w:marTop w:val="0"/>
              <w:marBottom w:val="0"/>
              <w:divBdr>
                <w:top w:val="none" w:sz="0" w:space="0" w:color="auto"/>
                <w:left w:val="none" w:sz="0" w:space="0" w:color="auto"/>
                <w:bottom w:val="none" w:sz="0" w:space="0" w:color="auto"/>
                <w:right w:val="none" w:sz="0" w:space="0" w:color="auto"/>
              </w:divBdr>
            </w:div>
          </w:divsChild>
        </w:div>
        <w:div w:id="1332872596">
          <w:marLeft w:val="0"/>
          <w:marRight w:val="0"/>
          <w:marTop w:val="0"/>
          <w:marBottom w:val="0"/>
          <w:divBdr>
            <w:top w:val="none" w:sz="0" w:space="0" w:color="auto"/>
            <w:left w:val="none" w:sz="0" w:space="0" w:color="auto"/>
            <w:bottom w:val="none" w:sz="0" w:space="0" w:color="auto"/>
            <w:right w:val="none" w:sz="0" w:space="0" w:color="auto"/>
          </w:divBdr>
          <w:divsChild>
            <w:div w:id="18029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5516">
      <w:bodyDiv w:val="1"/>
      <w:marLeft w:val="0"/>
      <w:marRight w:val="0"/>
      <w:marTop w:val="0"/>
      <w:marBottom w:val="0"/>
      <w:divBdr>
        <w:top w:val="none" w:sz="0" w:space="0" w:color="auto"/>
        <w:left w:val="none" w:sz="0" w:space="0" w:color="auto"/>
        <w:bottom w:val="none" w:sz="0" w:space="0" w:color="auto"/>
        <w:right w:val="none" w:sz="0" w:space="0" w:color="auto"/>
      </w:divBdr>
      <w:divsChild>
        <w:div w:id="1873837207">
          <w:marLeft w:val="0"/>
          <w:marRight w:val="0"/>
          <w:marTop w:val="0"/>
          <w:marBottom w:val="0"/>
          <w:divBdr>
            <w:top w:val="none" w:sz="0" w:space="0" w:color="auto"/>
            <w:left w:val="none" w:sz="0" w:space="0" w:color="auto"/>
            <w:bottom w:val="none" w:sz="0" w:space="0" w:color="auto"/>
            <w:right w:val="none" w:sz="0" w:space="0" w:color="auto"/>
          </w:divBdr>
          <w:divsChild>
            <w:div w:id="1216620456">
              <w:marLeft w:val="0"/>
              <w:marRight w:val="0"/>
              <w:marTop w:val="0"/>
              <w:marBottom w:val="0"/>
              <w:divBdr>
                <w:top w:val="none" w:sz="0" w:space="0" w:color="auto"/>
                <w:left w:val="none" w:sz="0" w:space="0" w:color="auto"/>
                <w:bottom w:val="none" w:sz="0" w:space="0" w:color="auto"/>
                <w:right w:val="none" w:sz="0" w:space="0" w:color="auto"/>
              </w:divBdr>
            </w:div>
          </w:divsChild>
        </w:div>
        <w:div w:id="1902397872">
          <w:marLeft w:val="0"/>
          <w:marRight w:val="0"/>
          <w:marTop w:val="0"/>
          <w:marBottom w:val="0"/>
          <w:divBdr>
            <w:top w:val="none" w:sz="0" w:space="0" w:color="auto"/>
            <w:left w:val="none" w:sz="0" w:space="0" w:color="auto"/>
            <w:bottom w:val="none" w:sz="0" w:space="0" w:color="auto"/>
            <w:right w:val="none" w:sz="0" w:space="0" w:color="auto"/>
          </w:divBdr>
          <w:divsChild>
            <w:div w:id="1745225271">
              <w:marLeft w:val="0"/>
              <w:marRight w:val="0"/>
              <w:marTop w:val="0"/>
              <w:marBottom w:val="0"/>
              <w:divBdr>
                <w:top w:val="none" w:sz="0" w:space="0" w:color="auto"/>
                <w:left w:val="none" w:sz="0" w:space="0" w:color="auto"/>
                <w:bottom w:val="none" w:sz="0" w:space="0" w:color="auto"/>
                <w:right w:val="none" w:sz="0" w:space="0" w:color="auto"/>
              </w:divBdr>
            </w:div>
          </w:divsChild>
        </w:div>
        <w:div w:id="1642229121">
          <w:marLeft w:val="0"/>
          <w:marRight w:val="0"/>
          <w:marTop w:val="0"/>
          <w:marBottom w:val="0"/>
          <w:divBdr>
            <w:top w:val="none" w:sz="0" w:space="0" w:color="auto"/>
            <w:left w:val="none" w:sz="0" w:space="0" w:color="auto"/>
            <w:bottom w:val="none" w:sz="0" w:space="0" w:color="auto"/>
            <w:right w:val="none" w:sz="0" w:space="0" w:color="auto"/>
          </w:divBdr>
          <w:divsChild>
            <w:div w:id="13182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00276">
      <w:bodyDiv w:val="1"/>
      <w:marLeft w:val="0"/>
      <w:marRight w:val="0"/>
      <w:marTop w:val="0"/>
      <w:marBottom w:val="0"/>
      <w:divBdr>
        <w:top w:val="none" w:sz="0" w:space="0" w:color="auto"/>
        <w:left w:val="none" w:sz="0" w:space="0" w:color="auto"/>
        <w:bottom w:val="none" w:sz="0" w:space="0" w:color="auto"/>
        <w:right w:val="none" w:sz="0" w:space="0" w:color="auto"/>
      </w:divBdr>
      <w:divsChild>
        <w:div w:id="727922590">
          <w:marLeft w:val="0"/>
          <w:marRight w:val="0"/>
          <w:marTop w:val="0"/>
          <w:marBottom w:val="0"/>
          <w:divBdr>
            <w:top w:val="none" w:sz="0" w:space="0" w:color="auto"/>
            <w:left w:val="none" w:sz="0" w:space="0" w:color="auto"/>
            <w:bottom w:val="none" w:sz="0" w:space="0" w:color="auto"/>
            <w:right w:val="none" w:sz="0" w:space="0" w:color="auto"/>
          </w:divBdr>
          <w:divsChild>
            <w:div w:id="990526309">
              <w:marLeft w:val="0"/>
              <w:marRight w:val="0"/>
              <w:marTop w:val="0"/>
              <w:marBottom w:val="0"/>
              <w:divBdr>
                <w:top w:val="none" w:sz="0" w:space="0" w:color="auto"/>
                <w:left w:val="none" w:sz="0" w:space="0" w:color="auto"/>
                <w:bottom w:val="none" w:sz="0" w:space="0" w:color="auto"/>
                <w:right w:val="none" w:sz="0" w:space="0" w:color="auto"/>
              </w:divBdr>
            </w:div>
          </w:divsChild>
        </w:div>
        <w:div w:id="369766892">
          <w:marLeft w:val="0"/>
          <w:marRight w:val="0"/>
          <w:marTop w:val="0"/>
          <w:marBottom w:val="0"/>
          <w:divBdr>
            <w:top w:val="none" w:sz="0" w:space="0" w:color="auto"/>
            <w:left w:val="none" w:sz="0" w:space="0" w:color="auto"/>
            <w:bottom w:val="none" w:sz="0" w:space="0" w:color="auto"/>
            <w:right w:val="none" w:sz="0" w:space="0" w:color="auto"/>
          </w:divBdr>
          <w:divsChild>
            <w:div w:id="1989287361">
              <w:marLeft w:val="0"/>
              <w:marRight w:val="0"/>
              <w:marTop w:val="0"/>
              <w:marBottom w:val="0"/>
              <w:divBdr>
                <w:top w:val="none" w:sz="0" w:space="0" w:color="auto"/>
                <w:left w:val="none" w:sz="0" w:space="0" w:color="auto"/>
                <w:bottom w:val="none" w:sz="0" w:space="0" w:color="auto"/>
                <w:right w:val="none" w:sz="0" w:space="0" w:color="auto"/>
              </w:divBdr>
            </w:div>
          </w:divsChild>
        </w:div>
        <w:div w:id="1359701513">
          <w:marLeft w:val="0"/>
          <w:marRight w:val="0"/>
          <w:marTop w:val="0"/>
          <w:marBottom w:val="0"/>
          <w:divBdr>
            <w:top w:val="none" w:sz="0" w:space="0" w:color="auto"/>
            <w:left w:val="none" w:sz="0" w:space="0" w:color="auto"/>
            <w:bottom w:val="none" w:sz="0" w:space="0" w:color="auto"/>
            <w:right w:val="none" w:sz="0" w:space="0" w:color="auto"/>
          </w:divBdr>
          <w:divsChild>
            <w:div w:id="20800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66434">
      <w:bodyDiv w:val="1"/>
      <w:marLeft w:val="0"/>
      <w:marRight w:val="0"/>
      <w:marTop w:val="0"/>
      <w:marBottom w:val="0"/>
      <w:divBdr>
        <w:top w:val="none" w:sz="0" w:space="0" w:color="auto"/>
        <w:left w:val="none" w:sz="0" w:space="0" w:color="auto"/>
        <w:bottom w:val="none" w:sz="0" w:space="0" w:color="auto"/>
        <w:right w:val="none" w:sz="0" w:space="0" w:color="auto"/>
      </w:divBdr>
      <w:divsChild>
        <w:div w:id="973144720">
          <w:marLeft w:val="0"/>
          <w:marRight w:val="0"/>
          <w:marTop w:val="0"/>
          <w:marBottom w:val="0"/>
          <w:divBdr>
            <w:top w:val="none" w:sz="0" w:space="0" w:color="auto"/>
            <w:left w:val="none" w:sz="0" w:space="0" w:color="auto"/>
            <w:bottom w:val="none" w:sz="0" w:space="0" w:color="auto"/>
            <w:right w:val="none" w:sz="0" w:space="0" w:color="auto"/>
          </w:divBdr>
          <w:divsChild>
            <w:div w:id="41637939">
              <w:marLeft w:val="0"/>
              <w:marRight w:val="0"/>
              <w:marTop w:val="0"/>
              <w:marBottom w:val="0"/>
              <w:divBdr>
                <w:top w:val="none" w:sz="0" w:space="0" w:color="auto"/>
                <w:left w:val="none" w:sz="0" w:space="0" w:color="auto"/>
                <w:bottom w:val="none" w:sz="0" w:space="0" w:color="auto"/>
                <w:right w:val="none" w:sz="0" w:space="0" w:color="auto"/>
              </w:divBdr>
            </w:div>
          </w:divsChild>
        </w:div>
        <w:div w:id="164789679">
          <w:marLeft w:val="0"/>
          <w:marRight w:val="0"/>
          <w:marTop w:val="0"/>
          <w:marBottom w:val="0"/>
          <w:divBdr>
            <w:top w:val="none" w:sz="0" w:space="0" w:color="auto"/>
            <w:left w:val="none" w:sz="0" w:space="0" w:color="auto"/>
            <w:bottom w:val="none" w:sz="0" w:space="0" w:color="auto"/>
            <w:right w:val="none" w:sz="0" w:space="0" w:color="auto"/>
          </w:divBdr>
          <w:divsChild>
            <w:div w:id="522211854">
              <w:marLeft w:val="0"/>
              <w:marRight w:val="0"/>
              <w:marTop w:val="0"/>
              <w:marBottom w:val="0"/>
              <w:divBdr>
                <w:top w:val="none" w:sz="0" w:space="0" w:color="auto"/>
                <w:left w:val="none" w:sz="0" w:space="0" w:color="auto"/>
                <w:bottom w:val="none" w:sz="0" w:space="0" w:color="auto"/>
                <w:right w:val="none" w:sz="0" w:space="0" w:color="auto"/>
              </w:divBdr>
            </w:div>
          </w:divsChild>
        </w:div>
        <w:div w:id="1099836046">
          <w:marLeft w:val="0"/>
          <w:marRight w:val="0"/>
          <w:marTop w:val="0"/>
          <w:marBottom w:val="0"/>
          <w:divBdr>
            <w:top w:val="none" w:sz="0" w:space="0" w:color="auto"/>
            <w:left w:val="none" w:sz="0" w:space="0" w:color="auto"/>
            <w:bottom w:val="none" w:sz="0" w:space="0" w:color="auto"/>
            <w:right w:val="none" w:sz="0" w:space="0" w:color="auto"/>
          </w:divBdr>
          <w:divsChild>
            <w:div w:id="13777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01048">
      <w:bodyDiv w:val="1"/>
      <w:marLeft w:val="0"/>
      <w:marRight w:val="0"/>
      <w:marTop w:val="0"/>
      <w:marBottom w:val="0"/>
      <w:divBdr>
        <w:top w:val="none" w:sz="0" w:space="0" w:color="auto"/>
        <w:left w:val="none" w:sz="0" w:space="0" w:color="auto"/>
        <w:bottom w:val="none" w:sz="0" w:space="0" w:color="auto"/>
        <w:right w:val="none" w:sz="0" w:space="0" w:color="auto"/>
      </w:divBdr>
      <w:divsChild>
        <w:div w:id="1750536675">
          <w:marLeft w:val="0"/>
          <w:marRight w:val="0"/>
          <w:marTop w:val="0"/>
          <w:marBottom w:val="0"/>
          <w:divBdr>
            <w:top w:val="none" w:sz="0" w:space="0" w:color="auto"/>
            <w:left w:val="none" w:sz="0" w:space="0" w:color="auto"/>
            <w:bottom w:val="none" w:sz="0" w:space="0" w:color="auto"/>
            <w:right w:val="none" w:sz="0" w:space="0" w:color="auto"/>
          </w:divBdr>
          <w:divsChild>
            <w:div w:id="1125778902">
              <w:marLeft w:val="0"/>
              <w:marRight w:val="0"/>
              <w:marTop w:val="0"/>
              <w:marBottom w:val="0"/>
              <w:divBdr>
                <w:top w:val="none" w:sz="0" w:space="0" w:color="auto"/>
                <w:left w:val="none" w:sz="0" w:space="0" w:color="auto"/>
                <w:bottom w:val="none" w:sz="0" w:space="0" w:color="auto"/>
                <w:right w:val="none" w:sz="0" w:space="0" w:color="auto"/>
              </w:divBdr>
            </w:div>
          </w:divsChild>
        </w:div>
        <w:div w:id="926158710">
          <w:marLeft w:val="0"/>
          <w:marRight w:val="0"/>
          <w:marTop w:val="0"/>
          <w:marBottom w:val="0"/>
          <w:divBdr>
            <w:top w:val="none" w:sz="0" w:space="0" w:color="auto"/>
            <w:left w:val="none" w:sz="0" w:space="0" w:color="auto"/>
            <w:bottom w:val="none" w:sz="0" w:space="0" w:color="auto"/>
            <w:right w:val="none" w:sz="0" w:space="0" w:color="auto"/>
          </w:divBdr>
          <w:divsChild>
            <w:div w:id="1529366151">
              <w:marLeft w:val="0"/>
              <w:marRight w:val="0"/>
              <w:marTop w:val="0"/>
              <w:marBottom w:val="0"/>
              <w:divBdr>
                <w:top w:val="none" w:sz="0" w:space="0" w:color="auto"/>
                <w:left w:val="none" w:sz="0" w:space="0" w:color="auto"/>
                <w:bottom w:val="none" w:sz="0" w:space="0" w:color="auto"/>
                <w:right w:val="none" w:sz="0" w:space="0" w:color="auto"/>
              </w:divBdr>
            </w:div>
          </w:divsChild>
        </w:div>
        <w:div w:id="1959024500">
          <w:marLeft w:val="0"/>
          <w:marRight w:val="0"/>
          <w:marTop w:val="0"/>
          <w:marBottom w:val="0"/>
          <w:divBdr>
            <w:top w:val="none" w:sz="0" w:space="0" w:color="auto"/>
            <w:left w:val="none" w:sz="0" w:space="0" w:color="auto"/>
            <w:bottom w:val="none" w:sz="0" w:space="0" w:color="auto"/>
            <w:right w:val="none" w:sz="0" w:space="0" w:color="auto"/>
          </w:divBdr>
          <w:divsChild>
            <w:div w:id="21283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4366">
      <w:bodyDiv w:val="1"/>
      <w:marLeft w:val="0"/>
      <w:marRight w:val="0"/>
      <w:marTop w:val="0"/>
      <w:marBottom w:val="0"/>
      <w:divBdr>
        <w:top w:val="none" w:sz="0" w:space="0" w:color="auto"/>
        <w:left w:val="none" w:sz="0" w:space="0" w:color="auto"/>
        <w:bottom w:val="none" w:sz="0" w:space="0" w:color="auto"/>
        <w:right w:val="none" w:sz="0" w:space="0" w:color="auto"/>
      </w:divBdr>
      <w:divsChild>
        <w:div w:id="1594819878">
          <w:marLeft w:val="0"/>
          <w:marRight w:val="0"/>
          <w:marTop w:val="0"/>
          <w:marBottom w:val="0"/>
          <w:divBdr>
            <w:top w:val="none" w:sz="0" w:space="0" w:color="auto"/>
            <w:left w:val="none" w:sz="0" w:space="0" w:color="auto"/>
            <w:bottom w:val="none" w:sz="0" w:space="0" w:color="auto"/>
            <w:right w:val="none" w:sz="0" w:space="0" w:color="auto"/>
          </w:divBdr>
          <w:divsChild>
            <w:div w:id="1156843483">
              <w:marLeft w:val="0"/>
              <w:marRight w:val="0"/>
              <w:marTop w:val="0"/>
              <w:marBottom w:val="0"/>
              <w:divBdr>
                <w:top w:val="none" w:sz="0" w:space="0" w:color="auto"/>
                <w:left w:val="none" w:sz="0" w:space="0" w:color="auto"/>
                <w:bottom w:val="none" w:sz="0" w:space="0" w:color="auto"/>
                <w:right w:val="none" w:sz="0" w:space="0" w:color="auto"/>
              </w:divBdr>
            </w:div>
          </w:divsChild>
        </w:div>
        <w:div w:id="88892219">
          <w:marLeft w:val="0"/>
          <w:marRight w:val="0"/>
          <w:marTop w:val="0"/>
          <w:marBottom w:val="0"/>
          <w:divBdr>
            <w:top w:val="none" w:sz="0" w:space="0" w:color="auto"/>
            <w:left w:val="none" w:sz="0" w:space="0" w:color="auto"/>
            <w:bottom w:val="none" w:sz="0" w:space="0" w:color="auto"/>
            <w:right w:val="none" w:sz="0" w:space="0" w:color="auto"/>
          </w:divBdr>
          <w:divsChild>
            <w:div w:id="1538737560">
              <w:marLeft w:val="0"/>
              <w:marRight w:val="0"/>
              <w:marTop w:val="0"/>
              <w:marBottom w:val="0"/>
              <w:divBdr>
                <w:top w:val="none" w:sz="0" w:space="0" w:color="auto"/>
                <w:left w:val="none" w:sz="0" w:space="0" w:color="auto"/>
                <w:bottom w:val="none" w:sz="0" w:space="0" w:color="auto"/>
                <w:right w:val="none" w:sz="0" w:space="0" w:color="auto"/>
              </w:divBdr>
            </w:div>
          </w:divsChild>
        </w:div>
        <w:div w:id="20206782">
          <w:marLeft w:val="0"/>
          <w:marRight w:val="0"/>
          <w:marTop w:val="0"/>
          <w:marBottom w:val="0"/>
          <w:divBdr>
            <w:top w:val="none" w:sz="0" w:space="0" w:color="auto"/>
            <w:left w:val="none" w:sz="0" w:space="0" w:color="auto"/>
            <w:bottom w:val="none" w:sz="0" w:space="0" w:color="auto"/>
            <w:right w:val="none" w:sz="0" w:space="0" w:color="auto"/>
          </w:divBdr>
          <w:divsChild>
            <w:div w:id="74267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34495">
      <w:bodyDiv w:val="1"/>
      <w:marLeft w:val="0"/>
      <w:marRight w:val="0"/>
      <w:marTop w:val="0"/>
      <w:marBottom w:val="0"/>
      <w:divBdr>
        <w:top w:val="none" w:sz="0" w:space="0" w:color="auto"/>
        <w:left w:val="none" w:sz="0" w:space="0" w:color="auto"/>
        <w:bottom w:val="none" w:sz="0" w:space="0" w:color="auto"/>
        <w:right w:val="none" w:sz="0" w:space="0" w:color="auto"/>
      </w:divBdr>
      <w:divsChild>
        <w:div w:id="1894387249">
          <w:marLeft w:val="0"/>
          <w:marRight w:val="0"/>
          <w:marTop w:val="0"/>
          <w:marBottom w:val="0"/>
          <w:divBdr>
            <w:top w:val="none" w:sz="0" w:space="0" w:color="auto"/>
            <w:left w:val="none" w:sz="0" w:space="0" w:color="auto"/>
            <w:bottom w:val="none" w:sz="0" w:space="0" w:color="auto"/>
            <w:right w:val="none" w:sz="0" w:space="0" w:color="auto"/>
          </w:divBdr>
          <w:divsChild>
            <w:div w:id="2073306014">
              <w:marLeft w:val="0"/>
              <w:marRight w:val="0"/>
              <w:marTop w:val="0"/>
              <w:marBottom w:val="0"/>
              <w:divBdr>
                <w:top w:val="none" w:sz="0" w:space="0" w:color="auto"/>
                <w:left w:val="none" w:sz="0" w:space="0" w:color="auto"/>
                <w:bottom w:val="none" w:sz="0" w:space="0" w:color="auto"/>
                <w:right w:val="none" w:sz="0" w:space="0" w:color="auto"/>
              </w:divBdr>
            </w:div>
          </w:divsChild>
        </w:div>
        <w:div w:id="1073894073">
          <w:marLeft w:val="0"/>
          <w:marRight w:val="0"/>
          <w:marTop w:val="0"/>
          <w:marBottom w:val="0"/>
          <w:divBdr>
            <w:top w:val="none" w:sz="0" w:space="0" w:color="auto"/>
            <w:left w:val="none" w:sz="0" w:space="0" w:color="auto"/>
            <w:bottom w:val="none" w:sz="0" w:space="0" w:color="auto"/>
            <w:right w:val="none" w:sz="0" w:space="0" w:color="auto"/>
          </w:divBdr>
          <w:divsChild>
            <w:div w:id="7693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8614">
      <w:bodyDiv w:val="1"/>
      <w:marLeft w:val="0"/>
      <w:marRight w:val="0"/>
      <w:marTop w:val="0"/>
      <w:marBottom w:val="0"/>
      <w:divBdr>
        <w:top w:val="none" w:sz="0" w:space="0" w:color="auto"/>
        <w:left w:val="none" w:sz="0" w:space="0" w:color="auto"/>
        <w:bottom w:val="none" w:sz="0" w:space="0" w:color="auto"/>
        <w:right w:val="none" w:sz="0" w:space="0" w:color="auto"/>
      </w:divBdr>
      <w:divsChild>
        <w:div w:id="474876934">
          <w:marLeft w:val="0"/>
          <w:marRight w:val="0"/>
          <w:marTop w:val="0"/>
          <w:marBottom w:val="0"/>
          <w:divBdr>
            <w:top w:val="none" w:sz="0" w:space="0" w:color="auto"/>
            <w:left w:val="none" w:sz="0" w:space="0" w:color="auto"/>
            <w:bottom w:val="none" w:sz="0" w:space="0" w:color="auto"/>
            <w:right w:val="none" w:sz="0" w:space="0" w:color="auto"/>
          </w:divBdr>
          <w:divsChild>
            <w:div w:id="20252226">
              <w:marLeft w:val="0"/>
              <w:marRight w:val="0"/>
              <w:marTop w:val="0"/>
              <w:marBottom w:val="0"/>
              <w:divBdr>
                <w:top w:val="none" w:sz="0" w:space="0" w:color="auto"/>
                <w:left w:val="none" w:sz="0" w:space="0" w:color="auto"/>
                <w:bottom w:val="none" w:sz="0" w:space="0" w:color="auto"/>
                <w:right w:val="none" w:sz="0" w:space="0" w:color="auto"/>
              </w:divBdr>
            </w:div>
          </w:divsChild>
        </w:div>
        <w:div w:id="450436107">
          <w:marLeft w:val="0"/>
          <w:marRight w:val="0"/>
          <w:marTop w:val="0"/>
          <w:marBottom w:val="0"/>
          <w:divBdr>
            <w:top w:val="none" w:sz="0" w:space="0" w:color="auto"/>
            <w:left w:val="none" w:sz="0" w:space="0" w:color="auto"/>
            <w:bottom w:val="none" w:sz="0" w:space="0" w:color="auto"/>
            <w:right w:val="none" w:sz="0" w:space="0" w:color="auto"/>
          </w:divBdr>
          <w:divsChild>
            <w:div w:id="1070421612">
              <w:marLeft w:val="0"/>
              <w:marRight w:val="0"/>
              <w:marTop w:val="0"/>
              <w:marBottom w:val="0"/>
              <w:divBdr>
                <w:top w:val="none" w:sz="0" w:space="0" w:color="auto"/>
                <w:left w:val="none" w:sz="0" w:space="0" w:color="auto"/>
                <w:bottom w:val="none" w:sz="0" w:space="0" w:color="auto"/>
                <w:right w:val="none" w:sz="0" w:space="0" w:color="auto"/>
              </w:divBdr>
            </w:div>
          </w:divsChild>
        </w:div>
        <w:div w:id="45960702">
          <w:marLeft w:val="0"/>
          <w:marRight w:val="0"/>
          <w:marTop w:val="0"/>
          <w:marBottom w:val="0"/>
          <w:divBdr>
            <w:top w:val="none" w:sz="0" w:space="0" w:color="auto"/>
            <w:left w:val="none" w:sz="0" w:space="0" w:color="auto"/>
            <w:bottom w:val="none" w:sz="0" w:space="0" w:color="auto"/>
            <w:right w:val="none" w:sz="0" w:space="0" w:color="auto"/>
          </w:divBdr>
          <w:divsChild>
            <w:div w:id="3303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2815">
      <w:bodyDiv w:val="1"/>
      <w:marLeft w:val="0"/>
      <w:marRight w:val="0"/>
      <w:marTop w:val="0"/>
      <w:marBottom w:val="0"/>
      <w:divBdr>
        <w:top w:val="none" w:sz="0" w:space="0" w:color="auto"/>
        <w:left w:val="none" w:sz="0" w:space="0" w:color="auto"/>
        <w:bottom w:val="none" w:sz="0" w:space="0" w:color="auto"/>
        <w:right w:val="none" w:sz="0" w:space="0" w:color="auto"/>
      </w:divBdr>
      <w:divsChild>
        <w:div w:id="844514123">
          <w:marLeft w:val="0"/>
          <w:marRight w:val="0"/>
          <w:marTop w:val="0"/>
          <w:marBottom w:val="0"/>
          <w:divBdr>
            <w:top w:val="none" w:sz="0" w:space="0" w:color="auto"/>
            <w:left w:val="none" w:sz="0" w:space="0" w:color="auto"/>
            <w:bottom w:val="none" w:sz="0" w:space="0" w:color="auto"/>
            <w:right w:val="none" w:sz="0" w:space="0" w:color="auto"/>
          </w:divBdr>
          <w:divsChild>
            <w:div w:id="1057096362">
              <w:marLeft w:val="0"/>
              <w:marRight w:val="0"/>
              <w:marTop w:val="0"/>
              <w:marBottom w:val="0"/>
              <w:divBdr>
                <w:top w:val="none" w:sz="0" w:space="0" w:color="auto"/>
                <w:left w:val="none" w:sz="0" w:space="0" w:color="auto"/>
                <w:bottom w:val="none" w:sz="0" w:space="0" w:color="auto"/>
                <w:right w:val="none" w:sz="0" w:space="0" w:color="auto"/>
              </w:divBdr>
            </w:div>
          </w:divsChild>
        </w:div>
        <w:div w:id="1991516291">
          <w:marLeft w:val="0"/>
          <w:marRight w:val="0"/>
          <w:marTop w:val="0"/>
          <w:marBottom w:val="0"/>
          <w:divBdr>
            <w:top w:val="none" w:sz="0" w:space="0" w:color="auto"/>
            <w:left w:val="none" w:sz="0" w:space="0" w:color="auto"/>
            <w:bottom w:val="none" w:sz="0" w:space="0" w:color="auto"/>
            <w:right w:val="none" w:sz="0" w:space="0" w:color="auto"/>
          </w:divBdr>
          <w:divsChild>
            <w:div w:id="30423003">
              <w:marLeft w:val="0"/>
              <w:marRight w:val="0"/>
              <w:marTop w:val="0"/>
              <w:marBottom w:val="0"/>
              <w:divBdr>
                <w:top w:val="none" w:sz="0" w:space="0" w:color="auto"/>
                <w:left w:val="none" w:sz="0" w:space="0" w:color="auto"/>
                <w:bottom w:val="none" w:sz="0" w:space="0" w:color="auto"/>
                <w:right w:val="none" w:sz="0" w:space="0" w:color="auto"/>
              </w:divBdr>
            </w:div>
          </w:divsChild>
        </w:div>
        <w:div w:id="2118862328">
          <w:marLeft w:val="0"/>
          <w:marRight w:val="0"/>
          <w:marTop w:val="0"/>
          <w:marBottom w:val="0"/>
          <w:divBdr>
            <w:top w:val="none" w:sz="0" w:space="0" w:color="auto"/>
            <w:left w:val="none" w:sz="0" w:space="0" w:color="auto"/>
            <w:bottom w:val="none" w:sz="0" w:space="0" w:color="auto"/>
            <w:right w:val="none" w:sz="0" w:space="0" w:color="auto"/>
          </w:divBdr>
          <w:divsChild>
            <w:div w:id="2339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79581">
      <w:bodyDiv w:val="1"/>
      <w:marLeft w:val="0"/>
      <w:marRight w:val="0"/>
      <w:marTop w:val="0"/>
      <w:marBottom w:val="0"/>
      <w:divBdr>
        <w:top w:val="none" w:sz="0" w:space="0" w:color="auto"/>
        <w:left w:val="none" w:sz="0" w:space="0" w:color="auto"/>
        <w:bottom w:val="none" w:sz="0" w:space="0" w:color="auto"/>
        <w:right w:val="none" w:sz="0" w:space="0" w:color="auto"/>
      </w:divBdr>
      <w:divsChild>
        <w:div w:id="546727193">
          <w:marLeft w:val="0"/>
          <w:marRight w:val="0"/>
          <w:marTop w:val="0"/>
          <w:marBottom w:val="0"/>
          <w:divBdr>
            <w:top w:val="none" w:sz="0" w:space="0" w:color="auto"/>
            <w:left w:val="none" w:sz="0" w:space="0" w:color="auto"/>
            <w:bottom w:val="none" w:sz="0" w:space="0" w:color="auto"/>
            <w:right w:val="none" w:sz="0" w:space="0" w:color="auto"/>
          </w:divBdr>
          <w:divsChild>
            <w:div w:id="1632132143">
              <w:marLeft w:val="0"/>
              <w:marRight w:val="0"/>
              <w:marTop w:val="0"/>
              <w:marBottom w:val="0"/>
              <w:divBdr>
                <w:top w:val="none" w:sz="0" w:space="0" w:color="auto"/>
                <w:left w:val="none" w:sz="0" w:space="0" w:color="auto"/>
                <w:bottom w:val="none" w:sz="0" w:space="0" w:color="auto"/>
                <w:right w:val="none" w:sz="0" w:space="0" w:color="auto"/>
              </w:divBdr>
            </w:div>
          </w:divsChild>
        </w:div>
        <w:div w:id="163400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273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541627">
          <w:marLeft w:val="0"/>
          <w:marRight w:val="0"/>
          <w:marTop w:val="0"/>
          <w:marBottom w:val="0"/>
          <w:divBdr>
            <w:top w:val="none" w:sz="0" w:space="0" w:color="auto"/>
            <w:left w:val="none" w:sz="0" w:space="0" w:color="auto"/>
            <w:bottom w:val="none" w:sz="0" w:space="0" w:color="auto"/>
            <w:right w:val="none" w:sz="0" w:space="0" w:color="auto"/>
          </w:divBdr>
          <w:divsChild>
            <w:div w:id="1199782698">
              <w:marLeft w:val="0"/>
              <w:marRight w:val="0"/>
              <w:marTop w:val="0"/>
              <w:marBottom w:val="0"/>
              <w:divBdr>
                <w:top w:val="none" w:sz="0" w:space="0" w:color="auto"/>
                <w:left w:val="none" w:sz="0" w:space="0" w:color="auto"/>
                <w:bottom w:val="none" w:sz="0" w:space="0" w:color="auto"/>
                <w:right w:val="none" w:sz="0" w:space="0" w:color="auto"/>
              </w:divBdr>
            </w:div>
          </w:divsChild>
        </w:div>
        <w:div w:id="196507228">
          <w:marLeft w:val="0"/>
          <w:marRight w:val="0"/>
          <w:marTop w:val="0"/>
          <w:marBottom w:val="0"/>
          <w:divBdr>
            <w:top w:val="none" w:sz="0" w:space="0" w:color="auto"/>
            <w:left w:val="none" w:sz="0" w:space="0" w:color="auto"/>
            <w:bottom w:val="none" w:sz="0" w:space="0" w:color="auto"/>
            <w:right w:val="none" w:sz="0" w:space="0" w:color="auto"/>
          </w:divBdr>
          <w:divsChild>
            <w:div w:id="20039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00204">
      <w:bodyDiv w:val="1"/>
      <w:marLeft w:val="0"/>
      <w:marRight w:val="0"/>
      <w:marTop w:val="0"/>
      <w:marBottom w:val="0"/>
      <w:divBdr>
        <w:top w:val="none" w:sz="0" w:space="0" w:color="auto"/>
        <w:left w:val="none" w:sz="0" w:space="0" w:color="auto"/>
        <w:bottom w:val="none" w:sz="0" w:space="0" w:color="auto"/>
        <w:right w:val="none" w:sz="0" w:space="0" w:color="auto"/>
      </w:divBdr>
      <w:divsChild>
        <w:div w:id="486895389">
          <w:marLeft w:val="0"/>
          <w:marRight w:val="0"/>
          <w:marTop w:val="0"/>
          <w:marBottom w:val="0"/>
          <w:divBdr>
            <w:top w:val="none" w:sz="0" w:space="0" w:color="auto"/>
            <w:left w:val="none" w:sz="0" w:space="0" w:color="auto"/>
            <w:bottom w:val="none" w:sz="0" w:space="0" w:color="auto"/>
            <w:right w:val="none" w:sz="0" w:space="0" w:color="auto"/>
          </w:divBdr>
          <w:divsChild>
            <w:div w:id="1500654302">
              <w:marLeft w:val="0"/>
              <w:marRight w:val="0"/>
              <w:marTop w:val="0"/>
              <w:marBottom w:val="0"/>
              <w:divBdr>
                <w:top w:val="none" w:sz="0" w:space="0" w:color="auto"/>
                <w:left w:val="none" w:sz="0" w:space="0" w:color="auto"/>
                <w:bottom w:val="none" w:sz="0" w:space="0" w:color="auto"/>
                <w:right w:val="none" w:sz="0" w:space="0" w:color="auto"/>
              </w:divBdr>
            </w:div>
          </w:divsChild>
        </w:div>
        <w:div w:id="688063646">
          <w:marLeft w:val="0"/>
          <w:marRight w:val="0"/>
          <w:marTop w:val="0"/>
          <w:marBottom w:val="0"/>
          <w:divBdr>
            <w:top w:val="none" w:sz="0" w:space="0" w:color="auto"/>
            <w:left w:val="none" w:sz="0" w:space="0" w:color="auto"/>
            <w:bottom w:val="none" w:sz="0" w:space="0" w:color="auto"/>
            <w:right w:val="none" w:sz="0" w:space="0" w:color="auto"/>
          </w:divBdr>
          <w:divsChild>
            <w:div w:id="657613802">
              <w:marLeft w:val="0"/>
              <w:marRight w:val="0"/>
              <w:marTop w:val="0"/>
              <w:marBottom w:val="0"/>
              <w:divBdr>
                <w:top w:val="none" w:sz="0" w:space="0" w:color="auto"/>
                <w:left w:val="none" w:sz="0" w:space="0" w:color="auto"/>
                <w:bottom w:val="none" w:sz="0" w:space="0" w:color="auto"/>
                <w:right w:val="none" w:sz="0" w:space="0" w:color="auto"/>
              </w:divBdr>
            </w:div>
          </w:divsChild>
        </w:div>
        <w:div w:id="1347253105">
          <w:marLeft w:val="0"/>
          <w:marRight w:val="0"/>
          <w:marTop w:val="0"/>
          <w:marBottom w:val="0"/>
          <w:divBdr>
            <w:top w:val="none" w:sz="0" w:space="0" w:color="auto"/>
            <w:left w:val="none" w:sz="0" w:space="0" w:color="auto"/>
            <w:bottom w:val="none" w:sz="0" w:space="0" w:color="auto"/>
            <w:right w:val="none" w:sz="0" w:space="0" w:color="auto"/>
          </w:divBdr>
          <w:divsChild>
            <w:div w:id="11921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99528">
      <w:bodyDiv w:val="1"/>
      <w:marLeft w:val="0"/>
      <w:marRight w:val="0"/>
      <w:marTop w:val="0"/>
      <w:marBottom w:val="0"/>
      <w:divBdr>
        <w:top w:val="none" w:sz="0" w:space="0" w:color="auto"/>
        <w:left w:val="none" w:sz="0" w:space="0" w:color="auto"/>
        <w:bottom w:val="none" w:sz="0" w:space="0" w:color="auto"/>
        <w:right w:val="none" w:sz="0" w:space="0" w:color="auto"/>
      </w:divBdr>
      <w:divsChild>
        <w:div w:id="880359022">
          <w:marLeft w:val="0"/>
          <w:marRight w:val="0"/>
          <w:marTop w:val="0"/>
          <w:marBottom w:val="0"/>
          <w:divBdr>
            <w:top w:val="none" w:sz="0" w:space="0" w:color="auto"/>
            <w:left w:val="none" w:sz="0" w:space="0" w:color="auto"/>
            <w:bottom w:val="none" w:sz="0" w:space="0" w:color="auto"/>
            <w:right w:val="none" w:sz="0" w:space="0" w:color="auto"/>
          </w:divBdr>
          <w:divsChild>
            <w:div w:id="1900630917">
              <w:marLeft w:val="0"/>
              <w:marRight w:val="0"/>
              <w:marTop w:val="0"/>
              <w:marBottom w:val="0"/>
              <w:divBdr>
                <w:top w:val="none" w:sz="0" w:space="0" w:color="auto"/>
                <w:left w:val="none" w:sz="0" w:space="0" w:color="auto"/>
                <w:bottom w:val="none" w:sz="0" w:space="0" w:color="auto"/>
                <w:right w:val="none" w:sz="0" w:space="0" w:color="auto"/>
              </w:divBdr>
            </w:div>
          </w:divsChild>
        </w:div>
        <w:div w:id="770130812">
          <w:marLeft w:val="0"/>
          <w:marRight w:val="0"/>
          <w:marTop w:val="0"/>
          <w:marBottom w:val="0"/>
          <w:divBdr>
            <w:top w:val="none" w:sz="0" w:space="0" w:color="auto"/>
            <w:left w:val="none" w:sz="0" w:space="0" w:color="auto"/>
            <w:bottom w:val="none" w:sz="0" w:space="0" w:color="auto"/>
            <w:right w:val="none" w:sz="0" w:space="0" w:color="auto"/>
          </w:divBdr>
          <w:divsChild>
            <w:div w:id="1236666530">
              <w:marLeft w:val="0"/>
              <w:marRight w:val="0"/>
              <w:marTop w:val="0"/>
              <w:marBottom w:val="0"/>
              <w:divBdr>
                <w:top w:val="none" w:sz="0" w:space="0" w:color="auto"/>
                <w:left w:val="none" w:sz="0" w:space="0" w:color="auto"/>
                <w:bottom w:val="none" w:sz="0" w:space="0" w:color="auto"/>
                <w:right w:val="none" w:sz="0" w:space="0" w:color="auto"/>
              </w:divBdr>
            </w:div>
          </w:divsChild>
        </w:div>
        <w:div w:id="267851563">
          <w:marLeft w:val="0"/>
          <w:marRight w:val="0"/>
          <w:marTop w:val="0"/>
          <w:marBottom w:val="0"/>
          <w:divBdr>
            <w:top w:val="none" w:sz="0" w:space="0" w:color="auto"/>
            <w:left w:val="none" w:sz="0" w:space="0" w:color="auto"/>
            <w:bottom w:val="none" w:sz="0" w:space="0" w:color="auto"/>
            <w:right w:val="none" w:sz="0" w:space="0" w:color="auto"/>
          </w:divBdr>
          <w:divsChild>
            <w:div w:id="16506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9098">
      <w:bodyDiv w:val="1"/>
      <w:marLeft w:val="0"/>
      <w:marRight w:val="0"/>
      <w:marTop w:val="0"/>
      <w:marBottom w:val="0"/>
      <w:divBdr>
        <w:top w:val="none" w:sz="0" w:space="0" w:color="auto"/>
        <w:left w:val="none" w:sz="0" w:space="0" w:color="auto"/>
        <w:bottom w:val="none" w:sz="0" w:space="0" w:color="auto"/>
        <w:right w:val="none" w:sz="0" w:space="0" w:color="auto"/>
      </w:divBdr>
      <w:divsChild>
        <w:div w:id="1740786349">
          <w:marLeft w:val="0"/>
          <w:marRight w:val="0"/>
          <w:marTop w:val="0"/>
          <w:marBottom w:val="0"/>
          <w:divBdr>
            <w:top w:val="none" w:sz="0" w:space="0" w:color="auto"/>
            <w:left w:val="none" w:sz="0" w:space="0" w:color="auto"/>
            <w:bottom w:val="none" w:sz="0" w:space="0" w:color="auto"/>
            <w:right w:val="none" w:sz="0" w:space="0" w:color="auto"/>
          </w:divBdr>
          <w:divsChild>
            <w:div w:id="139122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09187">
      <w:bodyDiv w:val="1"/>
      <w:marLeft w:val="0"/>
      <w:marRight w:val="0"/>
      <w:marTop w:val="0"/>
      <w:marBottom w:val="0"/>
      <w:divBdr>
        <w:top w:val="none" w:sz="0" w:space="0" w:color="auto"/>
        <w:left w:val="none" w:sz="0" w:space="0" w:color="auto"/>
        <w:bottom w:val="none" w:sz="0" w:space="0" w:color="auto"/>
        <w:right w:val="none" w:sz="0" w:space="0" w:color="auto"/>
      </w:divBdr>
      <w:divsChild>
        <w:div w:id="1751809329">
          <w:marLeft w:val="0"/>
          <w:marRight w:val="0"/>
          <w:marTop w:val="0"/>
          <w:marBottom w:val="0"/>
          <w:divBdr>
            <w:top w:val="none" w:sz="0" w:space="0" w:color="auto"/>
            <w:left w:val="none" w:sz="0" w:space="0" w:color="auto"/>
            <w:bottom w:val="none" w:sz="0" w:space="0" w:color="auto"/>
            <w:right w:val="none" w:sz="0" w:space="0" w:color="auto"/>
          </w:divBdr>
          <w:divsChild>
            <w:div w:id="17306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23701">
      <w:bodyDiv w:val="1"/>
      <w:marLeft w:val="0"/>
      <w:marRight w:val="0"/>
      <w:marTop w:val="0"/>
      <w:marBottom w:val="0"/>
      <w:divBdr>
        <w:top w:val="none" w:sz="0" w:space="0" w:color="auto"/>
        <w:left w:val="none" w:sz="0" w:space="0" w:color="auto"/>
        <w:bottom w:val="none" w:sz="0" w:space="0" w:color="auto"/>
        <w:right w:val="none" w:sz="0" w:space="0" w:color="auto"/>
      </w:divBdr>
      <w:divsChild>
        <w:div w:id="204341620">
          <w:marLeft w:val="0"/>
          <w:marRight w:val="0"/>
          <w:marTop w:val="0"/>
          <w:marBottom w:val="0"/>
          <w:divBdr>
            <w:top w:val="none" w:sz="0" w:space="0" w:color="auto"/>
            <w:left w:val="none" w:sz="0" w:space="0" w:color="auto"/>
            <w:bottom w:val="none" w:sz="0" w:space="0" w:color="auto"/>
            <w:right w:val="none" w:sz="0" w:space="0" w:color="auto"/>
          </w:divBdr>
          <w:divsChild>
            <w:div w:id="63988006">
              <w:marLeft w:val="0"/>
              <w:marRight w:val="0"/>
              <w:marTop w:val="0"/>
              <w:marBottom w:val="0"/>
              <w:divBdr>
                <w:top w:val="none" w:sz="0" w:space="0" w:color="auto"/>
                <w:left w:val="none" w:sz="0" w:space="0" w:color="auto"/>
                <w:bottom w:val="none" w:sz="0" w:space="0" w:color="auto"/>
                <w:right w:val="none" w:sz="0" w:space="0" w:color="auto"/>
              </w:divBdr>
            </w:div>
          </w:divsChild>
        </w:div>
        <w:div w:id="622080693">
          <w:marLeft w:val="0"/>
          <w:marRight w:val="0"/>
          <w:marTop w:val="0"/>
          <w:marBottom w:val="0"/>
          <w:divBdr>
            <w:top w:val="none" w:sz="0" w:space="0" w:color="auto"/>
            <w:left w:val="none" w:sz="0" w:space="0" w:color="auto"/>
            <w:bottom w:val="none" w:sz="0" w:space="0" w:color="auto"/>
            <w:right w:val="none" w:sz="0" w:space="0" w:color="auto"/>
          </w:divBdr>
          <w:divsChild>
            <w:div w:id="19360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5576">
      <w:bodyDiv w:val="1"/>
      <w:marLeft w:val="0"/>
      <w:marRight w:val="0"/>
      <w:marTop w:val="0"/>
      <w:marBottom w:val="0"/>
      <w:divBdr>
        <w:top w:val="none" w:sz="0" w:space="0" w:color="auto"/>
        <w:left w:val="none" w:sz="0" w:space="0" w:color="auto"/>
        <w:bottom w:val="none" w:sz="0" w:space="0" w:color="auto"/>
        <w:right w:val="none" w:sz="0" w:space="0" w:color="auto"/>
      </w:divBdr>
      <w:divsChild>
        <w:div w:id="2127044091">
          <w:marLeft w:val="0"/>
          <w:marRight w:val="0"/>
          <w:marTop w:val="0"/>
          <w:marBottom w:val="0"/>
          <w:divBdr>
            <w:top w:val="none" w:sz="0" w:space="0" w:color="auto"/>
            <w:left w:val="none" w:sz="0" w:space="0" w:color="auto"/>
            <w:bottom w:val="none" w:sz="0" w:space="0" w:color="auto"/>
            <w:right w:val="none" w:sz="0" w:space="0" w:color="auto"/>
          </w:divBdr>
          <w:divsChild>
            <w:div w:id="1893232734">
              <w:marLeft w:val="0"/>
              <w:marRight w:val="0"/>
              <w:marTop w:val="0"/>
              <w:marBottom w:val="0"/>
              <w:divBdr>
                <w:top w:val="none" w:sz="0" w:space="0" w:color="auto"/>
                <w:left w:val="none" w:sz="0" w:space="0" w:color="auto"/>
                <w:bottom w:val="none" w:sz="0" w:space="0" w:color="auto"/>
                <w:right w:val="none" w:sz="0" w:space="0" w:color="auto"/>
              </w:divBdr>
            </w:div>
          </w:divsChild>
        </w:div>
        <w:div w:id="1657147006">
          <w:marLeft w:val="0"/>
          <w:marRight w:val="0"/>
          <w:marTop w:val="0"/>
          <w:marBottom w:val="0"/>
          <w:divBdr>
            <w:top w:val="none" w:sz="0" w:space="0" w:color="auto"/>
            <w:left w:val="none" w:sz="0" w:space="0" w:color="auto"/>
            <w:bottom w:val="none" w:sz="0" w:space="0" w:color="auto"/>
            <w:right w:val="none" w:sz="0" w:space="0" w:color="auto"/>
          </w:divBdr>
          <w:divsChild>
            <w:div w:id="1120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26378">
      <w:bodyDiv w:val="1"/>
      <w:marLeft w:val="0"/>
      <w:marRight w:val="0"/>
      <w:marTop w:val="0"/>
      <w:marBottom w:val="0"/>
      <w:divBdr>
        <w:top w:val="none" w:sz="0" w:space="0" w:color="auto"/>
        <w:left w:val="none" w:sz="0" w:space="0" w:color="auto"/>
        <w:bottom w:val="none" w:sz="0" w:space="0" w:color="auto"/>
        <w:right w:val="none" w:sz="0" w:space="0" w:color="auto"/>
      </w:divBdr>
      <w:divsChild>
        <w:div w:id="1379670912">
          <w:marLeft w:val="0"/>
          <w:marRight w:val="0"/>
          <w:marTop w:val="0"/>
          <w:marBottom w:val="0"/>
          <w:divBdr>
            <w:top w:val="none" w:sz="0" w:space="0" w:color="auto"/>
            <w:left w:val="none" w:sz="0" w:space="0" w:color="auto"/>
            <w:bottom w:val="none" w:sz="0" w:space="0" w:color="auto"/>
            <w:right w:val="none" w:sz="0" w:space="0" w:color="auto"/>
          </w:divBdr>
          <w:divsChild>
            <w:div w:id="1907181845">
              <w:marLeft w:val="0"/>
              <w:marRight w:val="0"/>
              <w:marTop w:val="0"/>
              <w:marBottom w:val="0"/>
              <w:divBdr>
                <w:top w:val="none" w:sz="0" w:space="0" w:color="auto"/>
                <w:left w:val="none" w:sz="0" w:space="0" w:color="auto"/>
                <w:bottom w:val="none" w:sz="0" w:space="0" w:color="auto"/>
                <w:right w:val="none" w:sz="0" w:space="0" w:color="auto"/>
              </w:divBdr>
              <w:divsChild>
                <w:div w:id="1622758439">
                  <w:marLeft w:val="0"/>
                  <w:marRight w:val="0"/>
                  <w:marTop w:val="0"/>
                  <w:marBottom w:val="0"/>
                  <w:divBdr>
                    <w:top w:val="none" w:sz="0" w:space="0" w:color="auto"/>
                    <w:left w:val="none" w:sz="0" w:space="0" w:color="auto"/>
                    <w:bottom w:val="none" w:sz="0" w:space="0" w:color="auto"/>
                    <w:right w:val="none" w:sz="0" w:space="0" w:color="auto"/>
                  </w:divBdr>
                  <w:divsChild>
                    <w:div w:id="929701969">
                      <w:marLeft w:val="0"/>
                      <w:marRight w:val="0"/>
                      <w:marTop w:val="0"/>
                      <w:marBottom w:val="0"/>
                      <w:divBdr>
                        <w:top w:val="none" w:sz="0" w:space="0" w:color="auto"/>
                        <w:left w:val="none" w:sz="0" w:space="0" w:color="auto"/>
                        <w:bottom w:val="none" w:sz="0" w:space="0" w:color="auto"/>
                        <w:right w:val="none" w:sz="0" w:space="0" w:color="auto"/>
                      </w:divBdr>
                      <w:divsChild>
                        <w:div w:id="1054112721">
                          <w:marLeft w:val="0"/>
                          <w:marRight w:val="0"/>
                          <w:marTop w:val="0"/>
                          <w:marBottom w:val="0"/>
                          <w:divBdr>
                            <w:top w:val="none" w:sz="0" w:space="0" w:color="auto"/>
                            <w:left w:val="none" w:sz="0" w:space="0" w:color="auto"/>
                            <w:bottom w:val="none" w:sz="0" w:space="0" w:color="auto"/>
                            <w:right w:val="none" w:sz="0" w:space="0" w:color="auto"/>
                          </w:divBdr>
                          <w:divsChild>
                            <w:div w:id="1643802597">
                              <w:marLeft w:val="0"/>
                              <w:marRight w:val="0"/>
                              <w:marTop w:val="0"/>
                              <w:marBottom w:val="0"/>
                              <w:divBdr>
                                <w:top w:val="none" w:sz="0" w:space="0" w:color="auto"/>
                                <w:left w:val="none" w:sz="0" w:space="0" w:color="auto"/>
                                <w:bottom w:val="none" w:sz="0" w:space="0" w:color="auto"/>
                                <w:right w:val="none" w:sz="0" w:space="0" w:color="auto"/>
                              </w:divBdr>
                              <w:divsChild>
                                <w:div w:id="622808375">
                                  <w:marLeft w:val="0"/>
                                  <w:marRight w:val="0"/>
                                  <w:marTop w:val="0"/>
                                  <w:marBottom w:val="0"/>
                                  <w:divBdr>
                                    <w:top w:val="none" w:sz="0" w:space="0" w:color="auto"/>
                                    <w:left w:val="none" w:sz="0" w:space="0" w:color="auto"/>
                                    <w:bottom w:val="none" w:sz="0" w:space="0" w:color="auto"/>
                                    <w:right w:val="none" w:sz="0" w:space="0" w:color="auto"/>
                                  </w:divBdr>
                                  <w:divsChild>
                                    <w:div w:id="796067941">
                                      <w:marLeft w:val="0"/>
                                      <w:marRight w:val="0"/>
                                      <w:marTop w:val="0"/>
                                      <w:marBottom w:val="0"/>
                                      <w:divBdr>
                                        <w:top w:val="none" w:sz="0" w:space="0" w:color="auto"/>
                                        <w:left w:val="none" w:sz="0" w:space="0" w:color="auto"/>
                                        <w:bottom w:val="none" w:sz="0" w:space="0" w:color="auto"/>
                                        <w:right w:val="none" w:sz="0" w:space="0" w:color="auto"/>
                                      </w:divBdr>
                                      <w:divsChild>
                                        <w:div w:id="1353146809">
                                          <w:marLeft w:val="0"/>
                                          <w:marRight w:val="0"/>
                                          <w:marTop w:val="0"/>
                                          <w:marBottom w:val="0"/>
                                          <w:divBdr>
                                            <w:top w:val="none" w:sz="0" w:space="0" w:color="auto"/>
                                            <w:left w:val="none" w:sz="0" w:space="0" w:color="auto"/>
                                            <w:bottom w:val="none" w:sz="0" w:space="0" w:color="auto"/>
                                            <w:right w:val="none" w:sz="0" w:space="0" w:color="auto"/>
                                          </w:divBdr>
                                          <w:divsChild>
                                            <w:div w:id="1228687704">
                                              <w:marLeft w:val="0"/>
                                              <w:marRight w:val="0"/>
                                              <w:marTop w:val="0"/>
                                              <w:marBottom w:val="0"/>
                                              <w:divBdr>
                                                <w:top w:val="none" w:sz="0" w:space="0" w:color="auto"/>
                                                <w:left w:val="none" w:sz="0" w:space="0" w:color="auto"/>
                                                <w:bottom w:val="none" w:sz="0" w:space="0" w:color="auto"/>
                                                <w:right w:val="none" w:sz="0" w:space="0" w:color="auto"/>
                                              </w:divBdr>
                                            </w:div>
                                          </w:divsChild>
                                        </w:div>
                                        <w:div w:id="1150512185">
                                          <w:marLeft w:val="0"/>
                                          <w:marRight w:val="0"/>
                                          <w:marTop w:val="0"/>
                                          <w:marBottom w:val="0"/>
                                          <w:divBdr>
                                            <w:top w:val="none" w:sz="0" w:space="0" w:color="auto"/>
                                            <w:left w:val="none" w:sz="0" w:space="0" w:color="auto"/>
                                            <w:bottom w:val="none" w:sz="0" w:space="0" w:color="auto"/>
                                            <w:right w:val="none" w:sz="0" w:space="0" w:color="auto"/>
                                          </w:divBdr>
                                          <w:divsChild>
                                            <w:div w:id="1223256473">
                                              <w:marLeft w:val="0"/>
                                              <w:marRight w:val="0"/>
                                              <w:marTop w:val="0"/>
                                              <w:marBottom w:val="0"/>
                                              <w:divBdr>
                                                <w:top w:val="none" w:sz="0" w:space="0" w:color="auto"/>
                                                <w:left w:val="none" w:sz="0" w:space="0" w:color="auto"/>
                                                <w:bottom w:val="none" w:sz="0" w:space="0" w:color="auto"/>
                                                <w:right w:val="none" w:sz="0" w:space="0" w:color="auto"/>
                                              </w:divBdr>
                                            </w:div>
                                          </w:divsChild>
                                        </w:div>
                                        <w:div w:id="904560280">
                                          <w:marLeft w:val="0"/>
                                          <w:marRight w:val="0"/>
                                          <w:marTop w:val="0"/>
                                          <w:marBottom w:val="0"/>
                                          <w:divBdr>
                                            <w:top w:val="none" w:sz="0" w:space="0" w:color="auto"/>
                                            <w:left w:val="none" w:sz="0" w:space="0" w:color="auto"/>
                                            <w:bottom w:val="none" w:sz="0" w:space="0" w:color="auto"/>
                                            <w:right w:val="none" w:sz="0" w:space="0" w:color="auto"/>
                                          </w:divBdr>
                                          <w:divsChild>
                                            <w:div w:id="11716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0882137">
      <w:bodyDiv w:val="1"/>
      <w:marLeft w:val="0"/>
      <w:marRight w:val="0"/>
      <w:marTop w:val="0"/>
      <w:marBottom w:val="0"/>
      <w:divBdr>
        <w:top w:val="none" w:sz="0" w:space="0" w:color="auto"/>
        <w:left w:val="none" w:sz="0" w:space="0" w:color="auto"/>
        <w:bottom w:val="none" w:sz="0" w:space="0" w:color="auto"/>
        <w:right w:val="none" w:sz="0" w:space="0" w:color="auto"/>
      </w:divBdr>
      <w:divsChild>
        <w:div w:id="1271429621">
          <w:marLeft w:val="0"/>
          <w:marRight w:val="0"/>
          <w:marTop w:val="0"/>
          <w:marBottom w:val="0"/>
          <w:divBdr>
            <w:top w:val="none" w:sz="0" w:space="0" w:color="auto"/>
            <w:left w:val="none" w:sz="0" w:space="0" w:color="auto"/>
            <w:bottom w:val="none" w:sz="0" w:space="0" w:color="auto"/>
            <w:right w:val="none" w:sz="0" w:space="0" w:color="auto"/>
          </w:divBdr>
          <w:divsChild>
            <w:div w:id="325595778">
              <w:marLeft w:val="0"/>
              <w:marRight w:val="0"/>
              <w:marTop w:val="0"/>
              <w:marBottom w:val="0"/>
              <w:divBdr>
                <w:top w:val="none" w:sz="0" w:space="0" w:color="auto"/>
                <w:left w:val="none" w:sz="0" w:space="0" w:color="auto"/>
                <w:bottom w:val="none" w:sz="0" w:space="0" w:color="auto"/>
                <w:right w:val="none" w:sz="0" w:space="0" w:color="auto"/>
              </w:divBdr>
            </w:div>
          </w:divsChild>
        </w:div>
        <w:div w:id="630676526">
          <w:marLeft w:val="0"/>
          <w:marRight w:val="0"/>
          <w:marTop w:val="0"/>
          <w:marBottom w:val="0"/>
          <w:divBdr>
            <w:top w:val="none" w:sz="0" w:space="0" w:color="auto"/>
            <w:left w:val="none" w:sz="0" w:space="0" w:color="auto"/>
            <w:bottom w:val="none" w:sz="0" w:space="0" w:color="auto"/>
            <w:right w:val="none" w:sz="0" w:space="0" w:color="auto"/>
          </w:divBdr>
          <w:divsChild>
            <w:div w:id="210811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2512</TotalTime>
  <Pages>30</Pages>
  <Words>9935</Words>
  <Characters>56632</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Netcracker</Company>
  <LinksUpToDate>false</LinksUpToDate>
  <CharactersWithSpaces>66435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Shevtcov</dc:creator>
  <cp:keywords/>
  <dc:description/>
  <cp:lastModifiedBy>Bogdan Shevtcov</cp:lastModifiedBy>
  <cp:revision>9</cp:revision>
  <dcterms:created xsi:type="dcterms:W3CDTF">2026-08-01T16:50:00Z</dcterms:created>
  <dcterms:modified xsi:type="dcterms:W3CDTF">2026-08-08T13:26:00Z</dcterms:modified>
</cp:coreProperties>
</file>