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C694C" w14:textId="77777777" w:rsidR="00E02456" w:rsidRDefault="00E02456" w:rsidP="00E02456">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E02456">
        <w:rPr>
          <w:rFonts w:ascii="Times New Roman" w:eastAsia="Times New Roman" w:hAnsi="Times New Roman" w:cs="Times New Roman"/>
          <w:b/>
          <w:bCs/>
          <w:kern w:val="36"/>
          <w:sz w:val="52"/>
          <w:szCs w:val="48"/>
        </w:rPr>
        <w:t>Chapter 2. Stack Selection and Reference Architectures</w:t>
      </w:r>
    </w:p>
    <w:p w14:paraId="7B382C20" w14:textId="515C0E46" w:rsidR="00E02456" w:rsidRPr="00E02456" w:rsidRDefault="00E02456" w:rsidP="00E02456">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 Why AI Sta</w:t>
      </w:r>
      <w:bookmarkStart w:id="0" w:name="_GoBack"/>
      <w:bookmarkEnd w:id="0"/>
      <w:r w:rsidRPr="009D5944">
        <w:rPr>
          <w:rFonts w:ascii="Times New Roman" w:eastAsia="Times New Roman" w:hAnsi="Times New Roman" w:cs="Times New Roman"/>
          <w:b/>
          <w:bCs/>
          <w:kern w:val="36"/>
          <w:sz w:val="52"/>
          <w:szCs w:val="48"/>
        </w:rPr>
        <w:t>ck Selection Is Difficult</w:t>
      </w:r>
    </w:p>
    <w:p w14:paraId="7517D5EE" w14:textId="5F4528B9"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Selecting a technology stack has always been one of the central responsibilities of software architects. Database engines, programming languages, messaging systems, cloud providers, and deployment platforms all represent long-term architectural commitments whose consequences extend far beyond initial implementation. Artificial intelligence introduces the same decision-making process, but under conditions of substantially greater technological diversity and a significantly faster rate of change.</w:t>
      </w:r>
    </w:p>
    <w:p w14:paraId="2E76F07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Unlike traditional enterprise software, there is no universally accepted "standard" AI stack. Organizations can consume managed foundation models through commercial APIs, deploy open-weight models within their own infrastructure, combine multiple providers behind a common abstraction layer, or operate entirely self-hosted environments. Each approach presents distinct trade-offs in operational complexity, governance, performance, cost, and organizational flexibility. Consequently, stack selection cannot be reduced to choosing the most capable model or the most popular framework.</w:t>
      </w:r>
    </w:p>
    <w:p w14:paraId="23F3D96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complexity arises because modern AI platforms integrate technologies originating from several previously independent engineering domains. Cloud-native infrastructure, distributed systems, networking, security, information retrieval, data engineering, workflow orchestration, and machine learning all contribute architectural building blocks. Each discipline has its own ecosystem, release cadence, operational assumptions, and maturity level. Platform engineers must therefore evaluate not only individual technologies but also how those technologies interact as a coherent system.</w:t>
      </w:r>
    </w:p>
    <w:p w14:paraId="5CE7110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Recent developments within the cloud-native community illustrate this transition. Kubernetes, originally designed as a general-purpose container orchestration platform, now includes dedicated initiatives focused on AI inference workloads. The completion of Kubernetes Working Group Serving and the formation of the AI Gateway Working Group demonstrate that inference routing, AI-aware networking, accelerator scheduling, and policy enforcement are increasingly viewed as platform infrastructure rather than application-specific concerns. Rather than inventing entirely new infrastructure, these efforts extend established cloud-native abstractions such as Gateway API with capabilities tailored to AI workloads. </w:t>
      </w:r>
    </w:p>
    <w:p w14:paraId="27858C5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This evolution has important architectural implications. AI platforms no longer consist merely of applications invoking external model APIs. Increasingly, they include provider abstraction, intelligent routing, inference-aware load balancing, centralized policy enforcement, semantic request inspection, and standardized mechanisms for integrating multiple inference backends. Major cloud providers have similarly begun publishing reference architectures that expose multiple model-serving environments through a single logical endpoint while separating networking concerns from individual model implementations. </w:t>
      </w:r>
    </w:p>
    <w:p w14:paraId="4964D78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resulting architectural landscape differs substantially from the software ecosystems many engineers encountered only a few years ago. Instead of selecting one framework and one deployment platform, organizations now make decisions across multiple architectural dimensions simultaneously:</w:t>
      </w:r>
    </w:p>
    <w:p w14:paraId="3CADBA5A"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should models be hosted? </w:t>
      </w:r>
    </w:p>
    <w:p w14:paraId="6FD2D3C7"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Which providers should be supported? </w:t>
      </w:r>
    </w:p>
    <w:p w14:paraId="06136545"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Where should enterprise data remain? </w:t>
      </w:r>
    </w:p>
    <w:p w14:paraId="3120B1CD"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should inference requests be routed? </w:t>
      </w:r>
    </w:p>
    <w:p w14:paraId="4E51E5FB"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Which operational responsibilities should remain internal? </w:t>
      </w:r>
    </w:p>
    <w:p w14:paraId="36F0A63A"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much infrastructure should be managed directly? </w:t>
      </w:r>
    </w:p>
    <w:p w14:paraId="4925C2F5"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easily should individual technologies be replaceable? </w:t>
      </w:r>
    </w:p>
    <w:p w14:paraId="48B4FA3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None of these questions can be answered independently. Choosing a deployment model influences networking architecture. Networking decisions influence security controls. Security requirements affect provider selection. Provider selection constrains latency, cost, and regulatory compliance. AI stack selection is therefore fundamentally a systems architecture problem rather than a procurement exercise.</w:t>
      </w:r>
    </w:p>
    <w:p w14:paraId="61EFAED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Another factor contributing to complexity is the different rates at which technologies evolve. Networking protocols, authentication standards, relational databases, and Kubernetes have accumulated years of operational experience and generally evolve through incremental refinement. In contrast, foundation models, inference engines, evaluation frameworks, and agent runtimes continue to change rapidly. Successful architectures must therefore accommodate both stable and rapidly evolving components simultaneously.</w:t>
      </w:r>
    </w:p>
    <w:p w14:paraId="4313B4B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changes the objective of stack selection. Rather than attempting to identify the "best" collection of products, architects should design platforms capable of incorporating future technological improvements without requiring widespread redesign. The architecture should optimize for controlled evolution rather than technological permanence.</w:t>
      </w:r>
    </w:p>
    <w:p w14:paraId="6609A4C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 Primary Sources of Complexity in AI Stack Selection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3967"/>
        <w:gridCol w:w="3634"/>
      </w:tblGrid>
      <w:tr w:rsidR="009D5944" w:rsidRPr="008652E9" w14:paraId="1B8AC433" w14:textId="77777777" w:rsidTr="008652E9">
        <w:trPr>
          <w:tblHeader/>
          <w:tblCellSpacing w:w="15" w:type="dxa"/>
        </w:trPr>
        <w:tc>
          <w:tcPr>
            <w:tcW w:w="0" w:type="auto"/>
            <w:vAlign w:val="center"/>
            <w:hideMark/>
          </w:tcPr>
          <w:p w14:paraId="1B044D21"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lastRenderedPageBreak/>
              <w:t>Source of Complexity</w:t>
            </w:r>
          </w:p>
        </w:tc>
        <w:tc>
          <w:tcPr>
            <w:tcW w:w="0" w:type="auto"/>
            <w:vAlign w:val="center"/>
            <w:hideMark/>
          </w:tcPr>
          <w:p w14:paraId="0F0F99BF"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t>Why It Exists</w:t>
            </w:r>
          </w:p>
        </w:tc>
        <w:tc>
          <w:tcPr>
            <w:tcW w:w="0" w:type="auto"/>
            <w:vAlign w:val="center"/>
            <w:hideMark/>
          </w:tcPr>
          <w:p w14:paraId="6489F50C"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t>Architectural Consequences</w:t>
            </w:r>
          </w:p>
        </w:tc>
      </w:tr>
      <w:tr w:rsidR="009D5944" w:rsidRPr="008652E9" w14:paraId="32D1E823" w14:textId="77777777" w:rsidTr="008652E9">
        <w:trPr>
          <w:tblCellSpacing w:w="15" w:type="dxa"/>
        </w:trPr>
        <w:tc>
          <w:tcPr>
            <w:tcW w:w="0" w:type="auto"/>
            <w:vAlign w:val="center"/>
            <w:hideMark/>
          </w:tcPr>
          <w:p w14:paraId="35958F27"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Rapid model evolution</w:t>
            </w:r>
          </w:p>
        </w:tc>
        <w:tc>
          <w:tcPr>
            <w:tcW w:w="0" w:type="auto"/>
            <w:vAlign w:val="center"/>
            <w:hideMark/>
          </w:tcPr>
          <w:p w14:paraId="45A18E9A"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Foundation models improve frequently and new providers regularly enter the market.</w:t>
            </w:r>
          </w:p>
        </w:tc>
        <w:tc>
          <w:tcPr>
            <w:tcW w:w="0" w:type="auto"/>
            <w:vAlign w:val="center"/>
            <w:hideMark/>
          </w:tcPr>
          <w:p w14:paraId="61E8961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Architectures should isolate applications from provider-specific interfaces through abstraction layers.</w:t>
            </w:r>
          </w:p>
        </w:tc>
      </w:tr>
      <w:tr w:rsidR="009D5944" w:rsidRPr="008652E9" w14:paraId="5F7B5742" w14:textId="77777777" w:rsidTr="008652E9">
        <w:trPr>
          <w:tblCellSpacing w:w="15" w:type="dxa"/>
        </w:trPr>
        <w:tc>
          <w:tcPr>
            <w:tcW w:w="0" w:type="auto"/>
            <w:vAlign w:val="center"/>
            <w:hideMark/>
          </w:tcPr>
          <w:p w14:paraId="39C35803"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Multiple deployment options</w:t>
            </w:r>
          </w:p>
        </w:tc>
        <w:tc>
          <w:tcPr>
            <w:tcW w:w="0" w:type="auto"/>
            <w:vAlign w:val="center"/>
            <w:hideMark/>
          </w:tcPr>
          <w:p w14:paraId="1614480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Commercial APIs, self-hosted inference, hybrid deployments, and edge environments each satisfy different requirements.</w:t>
            </w:r>
          </w:p>
        </w:tc>
        <w:tc>
          <w:tcPr>
            <w:tcW w:w="0" w:type="auto"/>
            <w:vAlign w:val="center"/>
            <w:hideMark/>
          </w:tcPr>
          <w:p w14:paraId="231B0AD5"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Deployment architecture becomes a primary design decision rather than an implementation detail.</w:t>
            </w:r>
          </w:p>
        </w:tc>
      </w:tr>
      <w:tr w:rsidR="009D5944" w:rsidRPr="008652E9" w14:paraId="79C7E9D1" w14:textId="77777777" w:rsidTr="008652E9">
        <w:trPr>
          <w:tblCellSpacing w:w="15" w:type="dxa"/>
        </w:trPr>
        <w:tc>
          <w:tcPr>
            <w:tcW w:w="0" w:type="auto"/>
            <w:vAlign w:val="center"/>
            <w:hideMark/>
          </w:tcPr>
          <w:p w14:paraId="19CF5C9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Cross-disciplinary technologies</w:t>
            </w:r>
          </w:p>
        </w:tc>
        <w:tc>
          <w:tcPr>
            <w:tcW w:w="0" w:type="auto"/>
            <w:vAlign w:val="center"/>
            <w:hideMark/>
          </w:tcPr>
          <w:p w14:paraId="431ED522"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AI platforms combine infrastructure, networking, security, retrieval, orchestration, and inference systems.</w:t>
            </w:r>
          </w:p>
        </w:tc>
        <w:tc>
          <w:tcPr>
            <w:tcW w:w="0" w:type="auto"/>
            <w:vAlign w:val="center"/>
            <w:hideMark/>
          </w:tcPr>
          <w:p w14:paraId="10E34482"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Platform design requires coordination across multiple engineering domains.</w:t>
            </w:r>
          </w:p>
        </w:tc>
      </w:tr>
      <w:tr w:rsidR="009D5944" w:rsidRPr="008652E9" w14:paraId="6D312598" w14:textId="77777777" w:rsidTr="008652E9">
        <w:trPr>
          <w:tblCellSpacing w:w="15" w:type="dxa"/>
        </w:trPr>
        <w:tc>
          <w:tcPr>
            <w:tcW w:w="0" w:type="auto"/>
            <w:vAlign w:val="center"/>
            <w:hideMark/>
          </w:tcPr>
          <w:p w14:paraId="0561F8C8"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Regulatory diversity</w:t>
            </w:r>
          </w:p>
        </w:tc>
        <w:tc>
          <w:tcPr>
            <w:tcW w:w="0" w:type="auto"/>
            <w:vAlign w:val="center"/>
            <w:hideMark/>
          </w:tcPr>
          <w:p w14:paraId="1A91BBE4"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Privacy, sovereignty, and industry regulations vary across jurisdictions.</w:t>
            </w:r>
          </w:p>
        </w:tc>
        <w:tc>
          <w:tcPr>
            <w:tcW w:w="0" w:type="auto"/>
            <w:vAlign w:val="center"/>
            <w:hideMark/>
          </w:tcPr>
          <w:p w14:paraId="63E1EC3F"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Compliance requirements often influence hosting models more strongly than technical preferences.</w:t>
            </w:r>
          </w:p>
        </w:tc>
      </w:tr>
      <w:tr w:rsidR="009D5944" w:rsidRPr="008652E9" w14:paraId="2AB7125C" w14:textId="77777777" w:rsidTr="008652E9">
        <w:trPr>
          <w:tblCellSpacing w:w="15" w:type="dxa"/>
        </w:trPr>
        <w:tc>
          <w:tcPr>
            <w:tcW w:w="0" w:type="auto"/>
            <w:vAlign w:val="center"/>
            <w:hideMark/>
          </w:tcPr>
          <w:p w14:paraId="117C29F7"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Hardware specialization</w:t>
            </w:r>
          </w:p>
        </w:tc>
        <w:tc>
          <w:tcPr>
            <w:tcW w:w="0" w:type="auto"/>
            <w:vAlign w:val="center"/>
            <w:hideMark/>
          </w:tcPr>
          <w:p w14:paraId="63629204"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Accelerator availability, utilization, and scheduling significantly affect inference performance.</w:t>
            </w:r>
          </w:p>
        </w:tc>
        <w:tc>
          <w:tcPr>
            <w:tcW w:w="0" w:type="auto"/>
            <w:vAlign w:val="center"/>
            <w:hideMark/>
          </w:tcPr>
          <w:p w14:paraId="57888083"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Infrastructure planning becomes tightly coupled to serving architecture.</w:t>
            </w:r>
          </w:p>
        </w:tc>
      </w:tr>
      <w:tr w:rsidR="009D5944" w:rsidRPr="008652E9" w14:paraId="7FE24469" w14:textId="77777777" w:rsidTr="008652E9">
        <w:trPr>
          <w:tblCellSpacing w:w="15" w:type="dxa"/>
        </w:trPr>
        <w:tc>
          <w:tcPr>
            <w:tcW w:w="0" w:type="auto"/>
            <w:vAlign w:val="center"/>
            <w:hideMark/>
          </w:tcPr>
          <w:p w14:paraId="4C48150F"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Operational maturity differences</w:t>
            </w:r>
          </w:p>
        </w:tc>
        <w:tc>
          <w:tcPr>
            <w:tcW w:w="0" w:type="auto"/>
            <w:vAlign w:val="center"/>
            <w:hideMark/>
          </w:tcPr>
          <w:p w14:paraId="045CBECA"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Some technologies have accumulated years of production experience while others remain experimental.</w:t>
            </w:r>
          </w:p>
        </w:tc>
        <w:tc>
          <w:tcPr>
            <w:tcW w:w="0" w:type="auto"/>
            <w:vAlign w:val="center"/>
            <w:hideMark/>
          </w:tcPr>
          <w:p w14:paraId="750FF2CB"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Component maturity should be evaluated alongside functionality when selecting platform technologies.</w:t>
            </w:r>
          </w:p>
        </w:tc>
      </w:tr>
    </w:tbl>
    <w:p w14:paraId="26677B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Throughout this chapter, stack selection is treated as an architectural process driven by engineering requirements rather than by individual products. Technologies will inevitably change over the lifetime of an AI platform. A well-designed architecture should allow those changes to occur with minimal disruption.</w:t>
      </w:r>
    </w:p>
    <w:p w14:paraId="6AF18532"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524981A6">
          <v:rect id="_x0000_i1025" style="width:0;height:1.5pt" o:hralign="center" o:hrstd="t" o:hr="t" fillcolor="#a0a0a0" stroked="f"/>
        </w:pict>
      </w:r>
    </w:p>
    <w:p w14:paraId="4E8FBBA9"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2.2 Requirements Before Technology</w:t>
      </w:r>
    </w:p>
    <w:p w14:paraId="7B1F1CD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One of the most common causes of architectural instability is selecting technologies before understanding the requirements they are expected to satisfy. This problem is not unique to AI systems, but the pace of innovation within the AI ecosystem makes the consequences particularly visible. Organizations frequently begin projects by comparing models, orchestration frameworks, or vector databases before they have clearly defined latency objectives, regulatory constraints, operational capabilities, or long-term maintenance expectations.</w:t>
      </w:r>
    </w:p>
    <w:p w14:paraId="73A1FA6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Experienced platform engineers </w:t>
      </w:r>
      <w:proofErr w:type="gramStart"/>
      <w:r w:rsidRPr="009D5944">
        <w:rPr>
          <w:rFonts w:ascii="Times New Roman" w:eastAsia="Times New Roman" w:hAnsi="Times New Roman" w:cs="Times New Roman"/>
          <w:sz w:val="28"/>
          <w:szCs w:val="24"/>
        </w:rPr>
        <w:t>reverse</w:t>
      </w:r>
      <w:proofErr w:type="gramEnd"/>
      <w:r w:rsidRPr="009D5944">
        <w:rPr>
          <w:rFonts w:ascii="Times New Roman" w:eastAsia="Times New Roman" w:hAnsi="Times New Roman" w:cs="Times New Roman"/>
          <w:sz w:val="28"/>
          <w:szCs w:val="24"/>
        </w:rPr>
        <w:t xml:space="preserve"> this process.</w:t>
      </w:r>
    </w:p>
    <w:p w14:paraId="2811534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Rather than beginning with products, they begin with requirements.</w:t>
      </w:r>
    </w:p>
    <w:p w14:paraId="3BB3EA3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This distinction appears deceptively simple, yet it fundamentally changes architectural outcomes. Requirements describe the characteristics that a system must exhibit. Architecture defines how those characteristics will be achieved. Technology selection then becomes the implementation of architectural decisions rather than the starting point of the design process.</w:t>
      </w:r>
    </w:p>
    <w:p w14:paraId="002CEE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relationship can therefore be summarized as:</w:t>
      </w:r>
    </w:p>
    <w:p w14:paraId="56BE4A1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Requirements → Architecture → Technology → Implementation</w:t>
      </w:r>
    </w:p>
    <w:p w14:paraId="5D2D8A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Reversing this sequence often produces platforms optimized around product capabilities instead of organizational needs. Such systems may initially demonstrate impressive technical features while remaining difficult to govern, operate, scale, or evolve.</w:t>
      </w:r>
    </w:p>
    <w:p w14:paraId="371ED5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Requirements influencing AI platforms extend well beyond application functionality. Functional requirements describe what the system should accomplish—document analysis, conversational assistance, software engineering support, multimodal processing, or workflow automation. While these capabilities determine the broad scope of the platform, they rarely determine its architecture by themselves.</w:t>
      </w:r>
    </w:p>
    <w:p w14:paraId="34E8FEE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Operational requirements frequently exert greater influence. Response latency, expected request volume, service availability, geographic distribution, disaster recovery objectives, and maintenance windows all shape infrastructure decisions. A platform supporting internal experimentation may tolerate temporary service interruptions that would be unacceptable for customer-facing production services. Similarly, an application processing thousands of concurrent inference requests requires different architectural characteristics than one serving a small number of analysts.</w:t>
      </w:r>
    </w:p>
    <w:p w14:paraId="6988A6C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Security and governance requirements introduce another dimension. Organizations operating in regulated industries may require strict control over data residency, auditability, access management, and policy enforcement. These considerations often determine whether commercial APIs, private cloud deployments, or self-hosted inference environments are appropriate. The architectural implications frequently extend beyond model selection to include networking, identity management, storage, and operational governance. Frameworks such as the NIST AI Risk Management Framework emphasize that trustworthy AI systems require consideration of governance, risk management, and lifecycle processes alongside technical capability. </w:t>
      </w:r>
    </w:p>
    <w:p w14:paraId="3A733A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Organizational capabilities also influence technology selection. A platform operated by a small engineering team with limited experience managing GPU infrastructure may reasonably prioritize managed inference services despite reduced flexibility. Conversely, an organization with established cloud-native </w:t>
      </w:r>
      <w:r w:rsidRPr="009D5944">
        <w:rPr>
          <w:rFonts w:ascii="Times New Roman" w:eastAsia="Times New Roman" w:hAnsi="Times New Roman" w:cs="Times New Roman"/>
          <w:sz w:val="28"/>
          <w:szCs w:val="24"/>
        </w:rPr>
        <w:lastRenderedPageBreak/>
        <w:t>operations, platform engineering expertise, and dedicated infrastructure teams may accept greater operational responsibility in exchange for increased deployment control or regulatory compliance.</w:t>
      </w:r>
    </w:p>
    <w:p w14:paraId="71A92C2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Financial constraints likewise extend beyond direct infrastructure costs. Engineering effort, operational staffing, vendor contracts, migration complexity, support agreements, and long-term maintenance all contribute to the total cost of ownership. Although detailed cost engineering is deferred until Chapter 17, it is important to recognize that architectural decisions frequently determine the majority of long-term operational expenses.</w:t>
      </w:r>
    </w:p>
    <w:p w14:paraId="020FD6F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Requirements also interact with one another. Optimizing for minimum latency may require regional deployments that increase infrastructure cost. Maximizing deployment flexibility may increase operational complexity. Strengthening governance controls may introduce additional processing overhead. Architecture therefore becomes an exercise in balancing competing objectives rather than maximizing any single metric.</w:t>
      </w:r>
    </w:p>
    <w:p w14:paraId="34B7AD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2-2. Requirement Categories Influencing AI Platform Architecture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225"/>
        <w:gridCol w:w="4181"/>
      </w:tblGrid>
      <w:tr w:rsidR="009D5944" w:rsidRPr="008652E9" w14:paraId="0F3925DB" w14:textId="77777777" w:rsidTr="008652E9">
        <w:trPr>
          <w:tblHeader/>
          <w:tblCellSpacing w:w="15" w:type="dxa"/>
        </w:trPr>
        <w:tc>
          <w:tcPr>
            <w:tcW w:w="0" w:type="auto"/>
            <w:vAlign w:val="center"/>
            <w:hideMark/>
          </w:tcPr>
          <w:p w14:paraId="0593A862"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Requirement Category</w:t>
            </w:r>
          </w:p>
        </w:tc>
        <w:tc>
          <w:tcPr>
            <w:tcW w:w="0" w:type="auto"/>
            <w:vAlign w:val="center"/>
            <w:hideMark/>
          </w:tcPr>
          <w:p w14:paraId="0CAF7B57"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Typical Questions</w:t>
            </w:r>
          </w:p>
        </w:tc>
        <w:tc>
          <w:tcPr>
            <w:tcW w:w="0" w:type="auto"/>
            <w:vAlign w:val="center"/>
            <w:hideMark/>
          </w:tcPr>
          <w:p w14:paraId="431B73E0"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Architectural Impact</w:t>
            </w:r>
          </w:p>
        </w:tc>
      </w:tr>
      <w:tr w:rsidR="009D5944" w:rsidRPr="008652E9" w14:paraId="55EF9ECA" w14:textId="77777777" w:rsidTr="008652E9">
        <w:trPr>
          <w:tblCellSpacing w:w="15" w:type="dxa"/>
        </w:trPr>
        <w:tc>
          <w:tcPr>
            <w:tcW w:w="0" w:type="auto"/>
            <w:vAlign w:val="center"/>
            <w:hideMark/>
          </w:tcPr>
          <w:p w14:paraId="1E6DEEF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Functional</w:t>
            </w:r>
          </w:p>
        </w:tc>
        <w:tc>
          <w:tcPr>
            <w:tcW w:w="0" w:type="auto"/>
            <w:vAlign w:val="center"/>
            <w:hideMark/>
          </w:tcPr>
          <w:p w14:paraId="7A76551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AI capabilities must the platform provide?</w:t>
            </w:r>
          </w:p>
        </w:tc>
        <w:tc>
          <w:tcPr>
            <w:tcW w:w="0" w:type="auto"/>
            <w:vAlign w:val="center"/>
            <w:hideMark/>
          </w:tcPr>
          <w:p w14:paraId="28AB7D3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Influences model capabilities, orchestration patterns, and knowledge systems.</w:t>
            </w:r>
          </w:p>
        </w:tc>
      </w:tr>
      <w:tr w:rsidR="009D5944" w:rsidRPr="008652E9" w14:paraId="34417BBE" w14:textId="77777777" w:rsidTr="008652E9">
        <w:trPr>
          <w:tblCellSpacing w:w="15" w:type="dxa"/>
        </w:trPr>
        <w:tc>
          <w:tcPr>
            <w:tcW w:w="0" w:type="auto"/>
            <w:vAlign w:val="center"/>
            <w:hideMark/>
          </w:tcPr>
          <w:p w14:paraId="64AB963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w:t>
            </w:r>
          </w:p>
        </w:tc>
        <w:tc>
          <w:tcPr>
            <w:tcW w:w="0" w:type="auto"/>
            <w:vAlign w:val="center"/>
            <w:hideMark/>
          </w:tcPr>
          <w:p w14:paraId="25AF300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latency, availability, and scalability objectives must be achieved?</w:t>
            </w:r>
          </w:p>
        </w:tc>
        <w:tc>
          <w:tcPr>
            <w:tcW w:w="0" w:type="auto"/>
            <w:vAlign w:val="center"/>
            <w:hideMark/>
          </w:tcPr>
          <w:p w14:paraId="4CD220C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Determines deployment topology, redundancy, and infrastructure sizing.</w:t>
            </w:r>
          </w:p>
        </w:tc>
      </w:tr>
      <w:tr w:rsidR="009D5944" w:rsidRPr="008652E9" w14:paraId="568507A0" w14:textId="77777777" w:rsidTr="008652E9">
        <w:trPr>
          <w:tblCellSpacing w:w="15" w:type="dxa"/>
        </w:trPr>
        <w:tc>
          <w:tcPr>
            <w:tcW w:w="0" w:type="auto"/>
            <w:vAlign w:val="center"/>
            <w:hideMark/>
          </w:tcPr>
          <w:p w14:paraId="4F34F9F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Security and Governance</w:t>
            </w:r>
          </w:p>
        </w:tc>
        <w:tc>
          <w:tcPr>
            <w:tcW w:w="0" w:type="auto"/>
            <w:vAlign w:val="center"/>
            <w:hideMark/>
          </w:tcPr>
          <w:p w14:paraId="3E677A8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policies regulate access, data handling, and auditing?</w:t>
            </w:r>
          </w:p>
        </w:tc>
        <w:tc>
          <w:tcPr>
            <w:tcW w:w="0" w:type="auto"/>
            <w:vAlign w:val="center"/>
            <w:hideMark/>
          </w:tcPr>
          <w:p w14:paraId="22D4BDE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Influences identity management, networking, deployment boundaries, and policy enforcement.</w:t>
            </w:r>
          </w:p>
        </w:tc>
      </w:tr>
      <w:tr w:rsidR="009D5944" w:rsidRPr="008652E9" w14:paraId="3EEE9A9C" w14:textId="77777777" w:rsidTr="008652E9">
        <w:trPr>
          <w:tblCellSpacing w:w="15" w:type="dxa"/>
        </w:trPr>
        <w:tc>
          <w:tcPr>
            <w:tcW w:w="0" w:type="auto"/>
            <w:vAlign w:val="center"/>
            <w:hideMark/>
          </w:tcPr>
          <w:p w14:paraId="488269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Regulatory and Compliance</w:t>
            </w:r>
          </w:p>
        </w:tc>
        <w:tc>
          <w:tcPr>
            <w:tcW w:w="0" w:type="auto"/>
            <w:vAlign w:val="center"/>
            <w:hideMark/>
          </w:tcPr>
          <w:p w14:paraId="4E11896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Where may data be processed and stored? Which regulations apply?</w:t>
            </w:r>
          </w:p>
        </w:tc>
        <w:tc>
          <w:tcPr>
            <w:tcW w:w="0" w:type="auto"/>
            <w:vAlign w:val="center"/>
            <w:hideMark/>
          </w:tcPr>
          <w:p w14:paraId="11D1F69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Affects hosting strategy, regional deployment, and provider selection.</w:t>
            </w:r>
          </w:p>
        </w:tc>
      </w:tr>
      <w:tr w:rsidR="009D5944" w:rsidRPr="008652E9" w14:paraId="53F314FA" w14:textId="77777777" w:rsidTr="008652E9">
        <w:trPr>
          <w:tblCellSpacing w:w="15" w:type="dxa"/>
        </w:trPr>
        <w:tc>
          <w:tcPr>
            <w:tcW w:w="0" w:type="auto"/>
            <w:vAlign w:val="center"/>
            <w:hideMark/>
          </w:tcPr>
          <w:p w14:paraId="62AE27A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Organizational</w:t>
            </w:r>
          </w:p>
        </w:tc>
        <w:tc>
          <w:tcPr>
            <w:tcW w:w="0" w:type="auto"/>
            <w:vAlign w:val="center"/>
            <w:hideMark/>
          </w:tcPr>
          <w:p w14:paraId="4E3397A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operational expertise and staffing are available?</w:t>
            </w:r>
          </w:p>
        </w:tc>
        <w:tc>
          <w:tcPr>
            <w:tcW w:w="0" w:type="auto"/>
            <w:vAlign w:val="center"/>
            <w:hideMark/>
          </w:tcPr>
          <w:p w14:paraId="2C4E53D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Determines the balance between managed services and self-operated infrastructure.</w:t>
            </w:r>
          </w:p>
        </w:tc>
      </w:tr>
      <w:tr w:rsidR="009D5944" w:rsidRPr="008652E9" w14:paraId="5F7B5926" w14:textId="77777777" w:rsidTr="008652E9">
        <w:trPr>
          <w:tblCellSpacing w:w="15" w:type="dxa"/>
        </w:trPr>
        <w:tc>
          <w:tcPr>
            <w:tcW w:w="0" w:type="auto"/>
            <w:vAlign w:val="center"/>
            <w:hideMark/>
          </w:tcPr>
          <w:p w14:paraId="2F78ABA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Financial</w:t>
            </w:r>
          </w:p>
        </w:tc>
        <w:tc>
          <w:tcPr>
            <w:tcW w:w="0" w:type="auto"/>
            <w:vAlign w:val="center"/>
            <w:hideMark/>
          </w:tcPr>
          <w:p w14:paraId="435E615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budget constraints and long-term operating costs are acceptable?</w:t>
            </w:r>
          </w:p>
        </w:tc>
        <w:tc>
          <w:tcPr>
            <w:tcW w:w="0" w:type="auto"/>
            <w:vAlign w:val="center"/>
            <w:hideMark/>
          </w:tcPr>
          <w:p w14:paraId="16CA070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Shapes deployment models, provider choices, and infrastructure ownership.</w:t>
            </w:r>
          </w:p>
        </w:tc>
      </w:tr>
      <w:tr w:rsidR="009D5944" w:rsidRPr="008652E9" w14:paraId="5E00E5A9" w14:textId="77777777" w:rsidTr="008652E9">
        <w:trPr>
          <w:tblCellSpacing w:w="15" w:type="dxa"/>
        </w:trPr>
        <w:tc>
          <w:tcPr>
            <w:tcW w:w="0" w:type="auto"/>
            <w:vAlign w:val="center"/>
            <w:hideMark/>
          </w:tcPr>
          <w:p w14:paraId="1A17F1F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lastRenderedPageBreak/>
              <w:t>Technology Strategy</w:t>
            </w:r>
          </w:p>
        </w:tc>
        <w:tc>
          <w:tcPr>
            <w:tcW w:w="0" w:type="auto"/>
            <w:vAlign w:val="center"/>
            <w:hideMark/>
          </w:tcPr>
          <w:p w14:paraId="23A9EDB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How frequently should components be replaceable or upgraded?</w:t>
            </w:r>
          </w:p>
        </w:tc>
        <w:tc>
          <w:tcPr>
            <w:tcW w:w="0" w:type="auto"/>
            <w:vAlign w:val="center"/>
            <w:hideMark/>
          </w:tcPr>
          <w:p w14:paraId="49124C2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Encourages modular architectures and provider abstraction.</w:t>
            </w:r>
          </w:p>
        </w:tc>
      </w:tr>
    </w:tbl>
    <w:p w14:paraId="63776EA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important consequence follows from this framework: identical applications deployed by different organizations may legitimately require different architectures. A startup prioritizing rapid feature delivery, a multinational enterprise operating across several regulatory jurisdictions, and a government agency managing classified information may all build conversational AI systems while arriving at fundamentally different platform designs. Their architectural decisions reflect different requirements rather than different levels of engineering competence.</w:t>
      </w:r>
    </w:p>
    <w:p w14:paraId="77DC79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this reason, the remainder of the chapter avoids presenting any technology stack as universally preferable. Instead, subsequent sections examine the architectural dimensions that allow organizations to evaluate technologies according to their own operational requirements.</w:t>
      </w:r>
    </w:p>
    <w:p w14:paraId="60206C09"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68FF9199">
          <v:rect id="_x0000_i1026" style="width:0;height:1.5pt" o:hralign="center" o:hrstd="t" o:hr="t" fillcolor="#a0a0a0" stroked="f"/>
        </w:pict>
      </w:r>
    </w:p>
    <w:p w14:paraId="56DD8F2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2.3 Architectural Dimensions</w:t>
      </w:r>
    </w:p>
    <w:p w14:paraId="0CCA9F7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Once system requirements have been established, the next step is to determine the architectural dimensions along which design decisions must be made. These dimensions provide a structured framework for comparing alternative technology stacks. Rather than asking whether one product is superior to another, architects evaluate how different combinations of technologies satisfy the requirements introduced in the previous section.</w:t>
      </w:r>
    </w:p>
    <w:p w14:paraId="54557F1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architectural dimension represents an area in which meaningful design choices exist. Different organizations may legitimately select different solutions while still producing well-engineered platforms. The objective is not uniformity but informed decision-making.</w:t>
      </w:r>
    </w:p>
    <w:p w14:paraId="6EF85DE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proofErr w:type="gramStart"/>
      <w:r w:rsidRPr="009D5944">
        <w:rPr>
          <w:rFonts w:ascii="Times New Roman" w:eastAsia="Times New Roman" w:hAnsi="Times New Roman" w:cs="Times New Roman"/>
          <w:sz w:val="28"/>
          <w:szCs w:val="24"/>
        </w:rPr>
        <w:t>first dimension</w:t>
      </w:r>
      <w:proofErr w:type="gramEnd"/>
      <w:r w:rsidRPr="009D5944">
        <w:rPr>
          <w:rFonts w:ascii="Times New Roman" w:eastAsia="Times New Roman" w:hAnsi="Times New Roman" w:cs="Times New Roman"/>
          <w:sz w:val="28"/>
          <w:szCs w:val="24"/>
        </w:rPr>
        <w:t xml:space="preserve"> concerns </w:t>
      </w:r>
      <w:r w:rsidRPr="009D5944">
        <w:rPr>
          <w:rFonts w:ascii="Times New Roman" w:eastAsia="Times New Roman" w:hAnsi="Times New Roman" w:cs="Times New Roman"/>
          <w:b/>
          <w:bCs/>
          <w:sz w:val="28"/>
          <w:szCs w:val="24"/>
        </w:rPr>
        <w:t>model sourcing</w:t>
      </w:r>
      <w:r w:rsidRPr="009D5944">
        <w:rPr>
          <w:rFonts w:ascii="Times New Roman" w:eastAsia="Times New Roman" w:hAnsi="Times New Roman" w:cs="Times New Roman"/>
          <w:sz w:val="28"/>
          <w:szCs w:val="24"/>
        </w:rPr>
        <w:t>. Organizations may consume commercial AI services, deploy open-weight models, or combine both approaches. This decision influences operational responsibility, deployment flexibility, licensing considerations, and the pace at which new models can be adopted. Subsequent chapters examine these options in detail, but at the architectural level they represent alternative methods of providing inference capability.</w:t>
      </w:r>
    </w:p>
    <w:p w14:paraId="49385A7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The second dimension is </w:t>
      </w:r>
      <w:r w:rsidRPr="009D5944">
        <w:rPr>
          <w:rFonts w:ascii="Times New Roman" w:eastAsia="Times New Roman" w:hAnsi="Times New Roman" w:cs="Times New Roman"/>
          <w:b/>
          <w:bCs/>
          <w:sz w:val="28"/>
          <w:szCs w:val="24"/>
        </w:rPr>
        <w:t>deployment topology</w:t>
      </w:r>
      <w:r w:rsidRPr="009D5944">
        <w:rPr>
          <w:rFonts w:ascii="Times New Roman" w:eastAsia="Times New Roman" w:hAnsi="Times New Roman" w:cs="Times New Roman"/>
          <w:sz w:val="28"/>
          <w:szCs w:val="24"/>
        </w:rPr>
        <w:t xml:space="preserve">. AI services may execute entirely within managed cloud environments, entirely within organizational infrastructure, or across hybrid deployments spanning multiple providers and regions. Recent reference architectures increasingly emphasize unified entry points that route requests across heterogeneous inference backends while preserving consistent security and operational policies. </w:t>
      </w:r>
    </w:p>
    <w:p w14:paraId="11F43D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third dimension involves the </w:t>
      </w:r>
      <w:r w:rsidRPr="009D5944">
        <w:rPr>
          <w:rFonts w:ascii="Times New Roman" w:eastAsia="Times New Roman" w:hAnsi="Times New Roman" w:cs="Times New Roman"/>
          <w:b/>
          <w:bCs/>
          <w:sz w:val="28"/>
          <w:szCs w:val="24"/>
        </w:rPr>
        <w:t>control plane</w:t>
      </w:r>
      <w:r w:rsidRPr="009D5944">
        <w:rPr>
          <w:rFonts w:ascii="Times New Roman" w:eastAsia="Times New Roman" w:hAnsi="Times New Roman" w:cs="Times New Roman"/>
          <w:sz w:val="28"/>
          <w:szCs w:val="24"/>
        </w:rPr>
        <w:t xml:space="preserve"> responsible for coordinating AI services. Modern platforms increasingly separate application logic from provider-specific APIs through gateways, routing layers, orchestration services, and policy engines. This separation reduces coupling between business applications and rapidly evolving model ecosystems while supporting multi-provider deployments and standardized governance. The emergence of AI-specific gateway initiatives within Kubernetes reflects broader industry recognition that AI traffic introduces requirements extending beyond traditional API management. </w:t>
      </w:r>
    </w:p>
    <w:p w14:paraId="61F9C3F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knowledge layer</w:t>
      </w:r>
      <w:r w:rsidRPr="009D5944">
        <w:rPr>
          <w:rFonts w:ascii="Times New Roman" w:eastAsia="Times New Roman" w:hAnsi="Times New Roman" w:cs="Times New Roman"/>
          <w:sz w:val="28"/>
          <w:szCs w:val="24"/>
        </w:rPr>
        <w:t xml:space="preserve"> forms another architectural dimension. Few enterprise applications rely exclusively on model parameters. Most production systems integrate organizational knowledge through retrieval systems, structured databases, object storage, search platforms, or domain-specific information services. Decisions regarding information management influence application quality as much as model selection.</w:t>
      </w:r>
    </w:p>
    <w:p w14:paraId="45DF73A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Operational architecture constitutes an equally important dimension. Every production platform requires mechanisms for deployment, operational visibility, incident response, capacity management, governance, and lifecycle management. These concerns are intentionally introduced only at a conceptual level here. Their implementation—including telemetry design, deployment automation, </w:t>
      </w:r>
      <w:proofErr w:type="spellStart"/>
      <w:r w:rsidRPr="009D5944">
        <w:rPr>
          <w:rFonts w:ascii="Times New Roman" w:eastAsia="Times New Roman" w:hAnsi="Times New Roman" w:cs="Times New Roman"/>
          <w:sz w:val="28"/>
          <w:szCs w:val="24"/>
        </w:rPr>
        <w:t>GitOps</w:t>
      </w:r>
      <w:proofErr w:type="spellEnd"/>
      <w:r w:rsidRPr="009D5944">
        <w:rPr>
          <w:rFonts w:ascii="Times New Roman" w:eastAsia="Times New Roman" w:hAnsi="Times New Roman" w:cs="Times New Roman"/>
          <w:sz w:val="28"/>
          <w:szCs w:val="24"/>
        </w:rPr>
        <w:t xml:space="preserve"> workflows, and cost optimization—is discussed comprehensively in Chapters 15 through 17 rather than within this architectural overview.</w:t>
      </w:r>
    </w:p>
    <w:p w14:paraId="2865C6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Finally, platform architecture must address </w:t>
      </w:r>
      <w:r w:rsidRPr="009D5944">
        <w:rPr>
          <w:rFonts w:ascii="Times New Roman" w:eastAsia="Times New Roman" w:hAnsi="Times New Roman" w:cs="Times New Roman"/>
          <w:b/>
          <w:bCs/>
          <w:sz w:val="28"/>
          <w:szCs w:val="24"/>
        </w:rPr>
        <w:t>evolution</w:t>
      </w:r>
      <w:r w:rsidRPr="009D5944">
        <w:rPr>
          <w:rFonts w:ascii="Times New Roman" w:eastAsia="Times New Roman" w:hAnsi="Times New Roman" w:cs="Times New Roman"/>
          <w:sz w:val="28"/>
          <w:szCs w:val="24"/>
        </w:rPr>
        <w:t>. AI technologies change more rapidly than most enterprise infrastructure, making replaceability an architectural objective in its own right. Interfaces, routing layers, deployment boundaries, and governance mechanisms should enable new models and services to be introduced incrementally without requiring wholesale redesign of surrounding systems.</w:t>
      </w:r>
    </w:p>
    <w:p w14:paraId="6384E83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2-3. Primary Architectural Dimensions of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311"/>
        <w:gridCol w:w="2720"/>
        <w:gridCol w:w="2597"/>
      </w:tblGrid>
      <w:tr w:rsidR="009D5944" w:rsidRPr="008652E9" w14:paraId="4C427DDD" w14:textId="77777777" w:rsidTr="008652E9">
        <w:trPr>
          <w:tblHeader/>
          <w:tblCellSpacing w:w="15" w:type="dxa"/>
        </w:trPr>
        <w:tc>
          <w:tcPr>
            <w:tcW w:w="0" w:type="auto"/>
            <w:vAlign w:val="center"/>
            <w:hideMark/>
          </w:tcPr>
          <w:p w14:paraId="7CCC82D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lastRenderedPageBreak/>
              <w:t>Architectural Dimension</w:t>
            </w:r>
          </w:p>
        </w:tc>
        <w:tc>
          <w:tcPr>
            <w:tcW w:w="0" w:type="auto"/>
            <w:vAlign w:val="center"/>
            <w:hideMark/>
          </w:tcPr>
          <w:p w14:paraId="4CC4EA58"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Decision</w:t>
            </w:r>
          </w:p>
        </w:tc>
        <w:tc>
          <w:tcPr>
            <w:tcW w:w="0" w:type="auto"/>
            <w:vAlign w:val="center"/>
            <w:hideMark/>
          </w:tcPr>
          <w:p w14:paraId="395F0344"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Representative Considerations</w:t>
            </w:r>
          </w:p>
        </w:tc>
        <w:tc>
          <w:tcPr>
            <w:tcW w:w="0" w:type="auto"/>
            <w:vAlign w:val="center"/>
            <w:hideMark/>
          </w:tcPr>
          <w:p w14:paraId="0D0D249E"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Detailed Coverage</w:t>
            </w:r>
          </w:p>
        </w:tc>
      </w:tr>
      <w:tr w:rsidR="009D5944" w:rsidRPr="008652E9" w14:paraId="04E60528" w14:textId="77777777" w:rsidTr="008652E9">
        <w:trPr>
          <w:tblCellSpacing w:w="15" w:type="dxa"/>
        </w:trPr>
        <w:tc>
          <w:tcPr>
            <w:tcW w:w="0" w:type="auto"/>
            <w:vAlign w:val="center"/>
            <w:hideMark/>
          </w:tcPr>
          <w:p w14:paraId="2DE3778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 sourcing</w:t>
            </w:r>
          </w:p>
        </w:tc>
        <w:tc>
          <w:tcPr>
            <w:tcW w:w="0" w:type="auto"/>
            <w:vAlign w:val="center"/>
            <w:hideMark/>
          </w:tcPr>
          <w:p w14:paraId="0A6D53A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Commercial APIs, open-weight models, or hybrid</w:t>
            </w:r>
          </w:p>
        </w:tc>
        <w:tc>
          <w:tcPr>
            <w:tcW w:w="0" w:type="auto"/>
            <w:vAlign w:val="center"/>
            <w:hideMark/>
          </w:tcPr>
          <w:p w14:paraId="1F2E1C4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 responsibility, licensing, flexibility</w:t>
            </w:r>
          </w:p>
        </w:tc>
        <w:tc>
          <w:tcPr>
            <w:tcW w:w="0" w:type="auto"/>
            <w:vAlign w:val="center"/>
            <w:hideMark/>
          </w:tcPr>
          <w:p w14:paraId="4700CDD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3–5</w:t>
            </w:r>
          </w:p>
        </w:tc>
      </w:tr>
      <w:tr w:rsidR="009D5944" w:rsidRPr="008652E9" w14:paraId="1DE79373" w14:textId="77777777" w:rsidTr="008652E9">
        <w:trPr>
          <w:tblCellSpacing w:w="15" w:type="dxa"/>
        </w:trPr>
        <w:tc>
          <w:tcPr>
            <w:tcW w:w="0" w:type="auto"/>
            <w:vAlign w:val="center"/>
            <w:hideMark/>
          </w:tcPr>
          <w:p w14:paraId="076084A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Deployment topology</w:t>
            </w:r>
          </w:p>
        </w:tc>
        <w:tc>
          <w:tcPr>
            <w:tcW w:w="0" w:type="auto"/>
            <w:vAlign w:val="center"/>
            <w:hideMark/>
          </w:tcPr>
          <w:p w14:paraId="1CCDF28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Cloud, on-premises, hybrid, edge, or multi-cloud</w:t>
            </w:r>
          </w:p>
        </w:tc>
        <w:tc>
          <w:tcPr>
            <w:tcW w:w="0" w:type="auto"/>
            <w:vAlign w:val="center"/>
            <w:hideMark/>
          </w:tcPr>
          <w:p w14:paraId="23DEFD0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Latency, compliance, resilience, infrastructure ownership</w:t>
            </w:r>
          </w:p>
        </w:tc>
        <w:tc>
          <w:tcPr>
            <w:tcW w:w="0" w:type="auto"/>
            <w:vAlign w:val="center"/>
            <w:hideMark/>
          </w:tcPr>
          <w:p w14:paraId="3C9E3F1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Sections 2.4–2.10; deployment implementation in Chapter 16</w:t>
            </w:r>
          </w:p>
        </w:tc>
      </w:tr>
      <w:tr w:rsidR="009D5944" w:rsidRPr="008652E9" w14:paraId="7F810F1C" w14:textId="77777777" w:rsidTr="008652E9">
        <w:trPr>
          <w:tblCellSpacing w:w="15" w:type="dxa"/>
        </w:trPr>
        <w:tc>
          <w:tcPr>
            <w:tcW w:w="0" w:type="auto"/>
            <w:vAlign w:val="center"/>
            <w:hideMark/>
          </w:tcPr>
          <w:p w14:paraId="581075C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Control plane</w:t>
            </w:r>
          </w:p>
        </w:tc>
        <w:tc>
          <w:tcPr>
            <w:tcW w:w="0" w:type="auto"/>
            <w:vAlign w:val="center"/>
            <w:hideMark/>
          </w:tcPr>
          <w:p w14:paraId="0A83F6D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Gateway, routing, orchestration, provider abstraction</w:t>
            </w:r>
          </w:p>
        </w:tc>
        <w:tc>
          <w:tcPr>
            <w:tcW w:w="0" w:type="auto"/>
            <w:vAlign w:val="center"/>
            <w:hideMark/>
          </w:tcPr>
          <w:p w14:paraId="03A166E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Interoperability, policy enforcement, resilience</w:t>
            </w:r>
          </w:p>
        </w:tc>
        <w:tc>
          <w:tcPr>
            <w:tcW w:w="0" w:type="auto"/>
            <w:vAlign w:val="center"/>
            <w:hideMark/>
          </w:tcPr>
          <w:p w14:paraId="61F4983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6–9</w:t>
            </w:r>
          </w:p>
        </w:tc>
      </w:tr>
      <w:tr w:rsidR="009D5944" w:rsidRPr="008652E9" w14:paraId="3B9D9EC4" w14:textId="77777777" w:rsidTr="008652E9">
        <w:trPr>
          <w:tblCellSpacing w:w="15" w:type="dxa"/>
        </w:trPr>
        <w:tc>
          <w:tcPr>
            <w:tcW w:w="0" w:type="auto"/>
            <w:vAlign w:val="center"/>
            <w:hideMark/>
          </w:tcPr>
          <w:p w14:paraId="152D92C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Knowledge layer</w:t>
            </w:r>
          </w:p>
        </w:tc>
        <w:tc>
          <w:tcPr>
            <w:tcW w:w="0" w:type="auto"/>
            <w:vAlign w:val="center"/>
            <w:hideMark/>
          </w:tcPr>
          <w:p w14:paraId="106545B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Retrieval architecture and enterprise data integration</w:t>
            </w:r>
          </w:p>
        </w:tc>
        <w:tc>
          <w:tcPr>
            <w:tcW w:w="0" w:type="auto"/>
            <w:vAlign w:val="center"/>
            <w:hideMark/>
          </w:tcPr>
          <w:p w14:paraId="182F903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Data freshness, retrieval quality, storage strategy</w:t>
            </w:r>
          </w:p>
        </w:tc>
        <w:tc>
          <w:tcPr>
            <w:tcW w:w="0" w:type="auto"/>
            <w:vAlign w:val="center"/>
            <w:hideMark/>
          </w:tcPr>
          <w:p w14:paraId="73BD2E1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10–12</w:t>
            </w:r>
          </w:p>
        </w:tc>
      </w:tr>
      <w:tr w:rsidR="009D5944" w:rsidRPr="008652E9" w14:paraId="7E27E472" w14:textId="77777777" w:rsidTr="008652E9">
        <w:trPr>
          <w:tblCellSpacing w:w="15" w:type="dxa"/>
        </w:trPr>
        <w:tc>
          <w:tcPr>
            <w:tcW w:w="0" w:type="auto"/>
            <w:vAlign w:val="center"/>
            <w:hideMark/>
          </w:tcPr>
          <w:p w14:paraId="28E0957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Governance</w:t>
            </w:r>
          </w:p>
        </w:tc>
        <w:tc>
          <w:tcPr>
            <w:tcW w:w="0" w:type="auto"/>
            <w:vAlign w:val="center"/>
            <w:hideMark/>
          </w:tcPr>
          <w:p w14:paraId="4AD24B3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Evaluation, policy, security, compliance</w:t>
            </w:r>
          </w:p>
        </w:tc>
        <w:tc>
          <w:tcPr>
            <w:tcW w:w="0" w:type="auto"/>
            <w:vAlign w:val="center"/>
            <w:hideMark/>
          </w:tcPr>
          <w:p w14:paraId="009C998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Quality assurance, access control, regulatory obligations</w:t>
            </w:r>
          </w:p>
        </w:tc>
        <w:tc>
          <w:tcPr>
            <w:tcW w:w="0" w:type="auto"/>
            <w:vAlign w:val="center"/>
            <w:hideMark/>
          </w:tcPr>
          <w:p w14:paraId="12B9D4D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13–14</w:t>
            </w:r>
          </w:p>
        </w:tc>
      </w:tr>
      <w:tr w:rsidR="009D5944" w:rsidRPr="008652E9" w14:paraId="6024936F" w14:textId="77777777" w:rsidTr="008652E9">
        <w:trPr>
          <w:tblCellSpacing w:w="15" w:type="dxa"/>
        </w:trPr>
        <w:tc>
          <w:tcPr>
            <w:tcW w:w="0" w:type="auto"/>
            <w:vAlign w:val="center"/>
            <w:hideMark/>
          </w:tcPr>
          <w:p w14:paraId="5B73DDA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operations</w:t>
            </w:r>
          </w:p>
        </w:tc>
        <w:tc>
          <w:tcPr>
            <w:tcW w:w="0" w:type="auto"/>
            <w:vAlign w:val="center"/>
            <w:hideMark/>
          </w:tcPr>
          <w:p w14:paraId="070BA8B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Monitoring, deployment, scaling, lifecycle management</w:t>
            </w:r>
          </w:p>
        </w:tc>
        <w:tc>
          <w:tcPr>
            <w:tcW w:w="0" w:type="auto"/>
            <w:vAlign w:val="center"/>
            <w:hideMark/>
          </w:tcPr>
          <w:p w14:paraId="6555164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Reliability, maintainability, operational efficiency</w:t>
            </w:r>
          </w:p>
        </w:tc>
        <w:tc>
          <w:tcPr>
            <w:tcW w:w="0" w:type="auto"/>
            <w:vAlign w:val="center"/>
            <w:hideMark/>
          </w:tcPr>
          <w:p w14:paraId="0C45784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15–17</w:t>
            </w:r>
          </w:p>
        </w:tc>
      </w:tr>
      <w:tr w:rsidR="009D5944" w:rsidRPr="008652E9" w14:paraId="0B73C40C" w14:textId="77777777" w:rsidTr="008652E9">
        <w:trPr>
          <w:tblCellSpacing w:w="15" w:type="dxa"/>
        </w:trPr>
        <w:tc>
          <w:tcPr>
            <w:tcW w:w="0" w:type="auto"/>
            <w:vAlign w:val="center"/>
            <w:hideMark/>
          </w:tcPr>
          <w:p w14:paraId="7639006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Evolution strategy</w:t>
            </w:r>
          </w:p>
        </w:tc>
        <w:tc>
          <w:tcPr>
            <w:tcW w:w="0" w:type="auto"/>
            <w:vAlign w:val="center"/>
            <w:hideMark/>
          </w:tcPr>
          <w:p w14:paraId="03D0A17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Component replaceability and architectural modularity</w:t>
            </w:r>
          </w:p>
        </w:tc>
        <w:tc>
          <w:tcPr>
            <w:tcW w:w="0" w:type="auto"/>
            <w:vAlign w:val="center"/>
            <w:hideMark/>
          </w:tcPr>
          <w:p w14:paraId="75D03C35"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Long-term maintainability, migration effort, vendor independence</w:t>
            </w:r>
          </w:p>
        </w:tc>
        <w:tc>
          <w:tcPr>
            <w:tcW w:w="0" w:type="auto"/>
            <w:vAlign w:val="center"/>
            <w:hideMark/>
          </w:tcPr>
          <w:p w14:paraId="50A2AA8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Throughout the book</w:t>
            </w:r>
          </w:p>
        </w:tc>
      </w:tr>
    </w:tbl>
    <w:p w14:paraId="7334C8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dimensions provide the analytical framework for the remainder of the chapter. The following sections apply them to common deployment models and reference architectures, demonstrating how different combinations of architectural decisions produce platforms optimized for different organizational requirements rather than universally "best" technology stacks.</w:t>
      </w:r>
    </w:p>
    <w:p w14:paraId="4AEEE75E"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2.4 Deployment Models</w:t>
      </w:r>
    </w:p>
    <w:p w14:paraId="4A2ED65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After identifying architectural requirements and the primary dimensions along which AI platforms vary, the next major design decision concerns </w:t>
      </w:r>
      <w:r w:rsidRPr="009D5944">
        <w:rPr>
          <w:rFonts w:ascii="Times New Roman" w:eastAsia="Times New Roman" w:hAnsi="Times New Roman" w:cs="Times New Roman"/>
          <w:b/>
          <w:bCs/>
          <w:sz w:val="28"/>
          <w:szCs w:val="24"/>
        </w:rPr>
        <w:t>where inference capabilities are deployed and operated</w:t>
      </w:r>
      <w:r w:rsidRPr="009D5944">
        <w:rPr>
          <w:rFonts w:ascii="Times New Roman" w:eastAsia="Times New Roman" w:hAnsi="Times New Roman" w:cs="Times New Roman"/>
          <w:sz w:val="28"/>
          <w:szCs w:val="24"/>
        </w:rPr>
        <w:t xml:space="preserve">. Deployment topology influences nearly every aspect of an AI platform, including security boundaries, networking architecture, operational responsibility, compliance, latency, resilience, </w:t>
      </w:r>
      <w:r w:rsidRPr="009D5944">
        <w:rPr>
          <w:rFonts w:ascii="Times New Roman" w:eastAsia="Times New Roman" w:hAnsi="Times New Roman" w:cs="Times New Roman"/>
          <w:sz w:val="28"/>
          <w:szCs w:val="24"/>
        </w:rPr>
        <w:lastRenderedPageBreak/>
        <w:t>and long-term cost. Consequently, deployment models should be viewed as architectural strategies rather than infrastructure implementation details.</w:t>
      </w:r>
    </w:p>
    <w:p w14:paraId="01E1B59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Historically, enterprise software offered relatively limited deployment choices. Applications were commonly hosted within organizational data centers or, more recently, in public cloud environments. AI platforms have expanded this landscape considerably. Foundation models may execute within commercial provider infrastructure, enterprise-managed Kubernetes clusters, dedicated inference appliances, edge devices, or combinations of these environments operating simultaneously.</w:t>
      </w:r>
    </w:p>
    <w:p w14:paraId="4B00A14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increasing diversity of deployment options reflects the equally diverse requirements of organizations adopting AI. A software startup prioritizing rapid product development often values immediate access to state-of-the-art models without maintaining GPU infrastructure. A financial institution may prioritize data governance and regional deployment. A government agency may require complete operational isolation. A multinational enterprise may need different deployment strategies across business units due to varying regulatory obligations.</w:t>
      </w:r>
    </w:p>
    <w:p w14:paraId="7238BDF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 deployment model is inherently superior. Each represents a different balance among operational control, engineering investment, flexibility, and infrastructure ownership.</w:t>
      </w:r>
    </w:p>
    <w:p w14:paraId="05DCD061"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Cloud-Managed AI Services</w:t>
      </w:r>
    </w:p>
    <w:p w14:paraId="0332C1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simplest deployment model relies on commercially managed AI services accessed through network APIs. Model training, inference infrastructure, hardware lifecycle management, scaling, availability, and model updates remain the responsibility of the provider, while the customer integrates AI capabilities through documented service interfaces.</w:t>
      </w:r>
    </w:p>
    <w:p w14:paraId="4D2F6D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approach significantly reduces operational complexity. Organizations can begin deploying AI capabilities without acquiring accelerators, designing inference infrastructure, or developing specialized operational expertise. Capacity planning becomes largely transparent, allowing engineering teams to focus on application development rather than infrastructure management.</w:t>
      </w:r>
    </w:p>
    <w:p w14:paraId="2F94842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Cloud-managed services also simplify experimentation. Multiple models can often be evaluated through a consistent API without deploying separate serving environments. As providers introduce improved model versions, organizations may adopt them with relatively limited operational effort.</w:t>
      </w:r>
    </w:p>
    <w:p w14:paraId="6F9FAB5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However, these advantages introduce corresponding trade-offs. Organizations relinquish direct control over inference infrastructure, model lifecycle, hardware configuration, upgrade timing, and certain aspects of operational visibility. Service capabilities remain bounded by provider interfaces, pricing models, supported </w:t>
      </w:r>
      <w:r w:rsidRPr="009D5944">
        <w:rPr>
          <w:rFonts w:ascii="Times New Roman" w:eastAsia="Times New Roman" w:hAnsi="Times New Roman" w:cs="Times New Roman"/>
          <w:sz w:val="28"/>
          <w:szCs w:val="24"/>
        </w:rPr>
        <w:lastRenderedPageBreak/>
        <w:t>regions, and contractual terms. Regulatory requirements concerning data residency or processing may further constrain adoption in some industries.</w:t>
      </w:r>
    </w:p>
    <w:p w14:paraId="5B7DA94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many organizations, these limitations are acceptable because infrastructure complexity would otherwise outweigh the benefits of complete operational control.</w:t>
      </w:r>
    </w:p>
    <w:p w14:paraId="7ED52139"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Self-Hosted Deployment</w:t>
      </w:r>
    </w:p>
    <w:p w14:paraId="51688C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the opposite end of the spectrum are self-hosted AI platforms, in which organizations operate the complete inference stack within infrastructure under their administrative control. Models, serving systems, gateways, networking, storage, and supporting operational services become components of the organization's broader platform engineering responsibilities.</w:t>
      </w:r>
    </w:p>
    <w:p w14:paraId="32E7DF5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Self-hosting offers maximum flexibility. Organizations determine model versions, deployment schedules, hardware utilization strategies, networking architecture, and operational policies. Infrastructure can be optimized for specific workloads, integrated directly with internal security controls, and configured to satisfy strict regulatory or sovereignty requirements.</w:t>
      </w:r>
    </w:p>
    <w:p w14:paraId="046F16A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flexibility, however, requires substantially greater engineering investment. Teams become responsible for accelerator provisioning, inference optimization, capacity management, reliability engineering, security patching, software upgrades, and operational support. Maintaining high-performance inference environments often demands expertise extending beyond traditional cloud-native operations.</w:t>
      </w:r>
    </w:p>
    <w:p w14:paraId="34C57B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Consequently, self-hosting should not be viewed simply as a means of reducing external service costs. It represents the transfer of operational responsibility from service providers to internal platform engineering teams.</w:t>
      </w:r>
    </w:p>
    <w:p w14:paraId="1727A393"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Hybrid Deployment</w:t>
      </w:r>
    </w:p>
    <w:p w14:paraId="66BB098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Increasingly, enterprises adopt hybrid deployment strategies that combine managed services and self-hosted infrastructure within a single logical platform. Rather than committing exclusively to one deployment model, organizations route different workloads according to business, technical, or regulatory requirements.</w:t>
      </w:r>
    </w:p>
    <w:p w14:paraId="306A6D8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publicly available foundation models may handle general-purpose conversational tasks through commercial APIs, while sensitive document processing executes against internally hosted models. Specialized domain models may remain self-managed, whereas newly released commercial models can be evaluated without infrastructure changes. Certain geographic regions may require local deployment, while others continue using managed services.</w:t>
      </w:r>
    </w:p>
    <w:p w14:paraId="7DF948F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Recent reference architectures published by major cloud providers increasingly adopt this pattern. Rather than exposing individual model endpoints directly to applications, they present a unified entry point capable of routing requests across heterogeneous inference environments while maintaining consistent networking and security policies. This architecture separates application development from deployment topology, allowing infrastructure to evolve independently. (Google Cloud Architecture Center, </w:t>
      </w:r>
      <w:r w:rsidRPr="009D5944">
        <w:rPr>
          <w:rFonts w:ascii="Times New Roman" w:eastAsia="Times New Roman" w:hAnsi="Times New Roman" w:cs="Times New Roman"/>
          <w:i/>
          <w:iCs/>
          <w:sz w:val="28"/>
          <w:szCs w:val="24"/>
        </w:rPr>
        <w:t>Networking for AI Inference on All Backends</w:t>
      </w:r>
      <w:r w:rsidRPr="009D5944">
        <w:rPr>
          <w:rFonts w:ascii="Times New Roman" w:eastAsia="Times New Roman" w:hAnsi="Times New Roman" w:cs="Times New Roman"/>
          <w:sz w:val="28"/>
          <w:szCs w:val="24"/>
        </w:rPr>
        <w:t>, 2026.)</w:t>
      </w:r>
    </w:p>
    <w:p w14:paraId="5F71BD1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deployment also reduces strategic risk. Organizations can introduce new providers, migrate workloads incrementally, or maintain fallback inference environments without redesigning applications. The additional architectural complexity is compensated by increased operational flexibility.</w:t>
      </w:r>
    </w:p>
    <w:p w14:paraId="296F26FE"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Multi-Cloud and Multi-Provider Deployments</w:t>
      </w:r>
    </w:p>
    <w:p w14:paraId="2837B4B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deployment should not be confused with multi-provider architecture, although the two frequently overlap.</w:t>
      </w:r>
    </w:p>
    <w:p w14:paraId="7C1DA80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hybrid platform combines different hosting environments. A multi-provider platform combines multiple inference providers, regardless of where those providers operate. An organization may simultaneously integrate commercial APIs from several vendors, internally hosted open-weight models, and specialized inference services exposed through a common control plane.</w:t>
      </w:r>
    </w:p>
    <w:p w14:paraId="18C3E79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motivations extend beyond redundancy. Different providers excel in different areas, including reasoning capability, multimodal processing, latency characteristics, pricing models, licensing terms, regional availability, or domain specialization. Multi-provider architectures allow organizations to select providers according to workload characteristics rather than standardizing on a single vendor.</w:t>
      </w:r>
    </w:p>
    <w:p w14:paraId="2E97630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approach also reduces dependence on individual providers by introducing architectural abstraction. Applications interact with platform services rather than provider-specific APIs, enabling providers to change over time without requiring application redesign.</w:t>
      </w:r>
    </w:p>
    <w:p w14:paraId="00BF6DC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routing mechanisms supporting these architectures are examined in detail in Chapter 6. At this stage it is sufficient to recognize that deployment topology and provider selection are distinct architectural decisions.</w:t>
      </w:r>
    </w:p>
    <w:p w14:paraId="4AE2F110"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Edge Deployment</w:t>
      </w:r>
    </w:p>
    <w:p w14:paraId="7F46CC2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Certain workloads require inference to occur close to the point of data generation rather than within centralized cloud infrastructure. Manufacturing systems, autonomous platforms, industrial monitoring, healthcare devices, and environments with intermittent connectivity may all benefit from edge deployment.</w:t>
      </w:r>
    </w:p>
    <w:p w14:paraId="5A11E0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Edge inference reduces network latency and enables continued operation when external connectivity is unavailable. It may also simplify compliance by ensuring sensitive information remains within controlled environments.</w:t>
      </w:r>
    </w:p>
    <w:p w14:paraId="7AE66DF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advantages are accompanied by substantial resource constraints. Edge environments typically provide less computational capacity, more restrictive memory budgets, limited operational visibility, and more complex software lifecycle management than centralized infrastructure. Consequently, edge deployments frequently employ smaller models or task-specific inference pipelines optimized for constrained hardware.</w:t>
      </w:r>
    </w:p>
    <w:p w14:paraId="7515CA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Although edge AI receives considerable attention, it remains a specialized deployment model rather than the default architecture for enterprise AI platforms.</w:t>
      </w:r>
    </w:p>
    <w:p w14:paraId="600E9FA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2-4. Comparison of Common AI Deployment Models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860"/>
        <w:gridCol w:w="2443"/>
        <w:gridCol w:w="2485"/>
      </w:tblGrid>
      <w:tr w:rsidR="009D5944" w:rsidRPr="008652E9" w14:paraId="00908725" w14:textId="77777777" w:rsidTr="008652E9">
        <w:trPr>
          <w:tblHeader/>
          <w:tblCellSpacing w:w="15" w:type="dxa"/>
        </w:trPr>
        <w:tc>
          <w:tcPr>
            <w:tcW w:w="0" w:type="auto"/>
            <w:vAlign w:val="center"/>
            <w:hideMark/>
          </w:tcPr>
          <w:p w14:paraId="2C0EB28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Deployment Model</w:t>
            </w:r>
          </w:p>
        </w:tc>
        <w:tc>
          <w:tcPr>
            <w:tcW w:w="0" w:type="auto"/>
            <w:vAlign w:val="center"/>
            <w:hideMark/>
          </w:tcPr>
          <w:p w14:paraId="4AE423CF"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Advantages</w:t>
            </w:r>
          </w:p>
        </w:tc>
        <w:tc>
          <w:tcPr>
            <w:tcW w:w="0" w:type="auto"/>
            <w:vAlign w:val="center"/>
            <w:hideMark/>
          </w:tcPr>
          <w:p w14:paraId="2D3EA793"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Limitations</w:t>
            </w:r>
          </w:p>
        </w:tc>
        <w:tc>
          <w:tcPr>
            <w:tcW w:w="0" w:type="auto"/>
            <w:vAlign w:val="center"/>
            <w:hideMark/>
          </w:tcPr>
          <w:p w14:paraId="57AF710B"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Typical Use Cases</w:t>
            </w:r>
          </w:p>
        </w:tc>
      </w:tr>
      <w:tr w:rsidR="009D5944" w:rsidRPr="008652E9" w14:paraId="03C8EB82" w14:textId="77777777" w:rsidTr="008652E9">
        <w:trPr>
          <w:tblCellSpacing w:w="15" w:type="dxa"/>
        </w:trPr>
        <w:tc>
          <w:tcPr>
            <w:tcW w:w="0" w:type="auto"/>
            <w:vAlign w:val="center"/>
            <w:hideMark/>
          </w:tcPr>
          <w:p w14:paraId="439D493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Cloud-managed services</w:t>
            </w:r>
          </w:p>
        </w:tc>
        <w:tc>
          <w:tcPr>
            <w:tcW w:w="0" w:type="auto"/>
            <w:vAlign w:val="center"/>
            <w:hideMark/>
          </w:tcPr>
          <w:p w14:paraId="040FAF3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Minimal operational overhead, rapid adoption, elastic scalability, immediate access to new models</w:t>
            </w:r>
          </w:p>
        </w:tc>
        <w:tc>
          <w:tcPr>
            <w:tcW w:w="0" w:type="auto"/>
            <w:vAlign w:val="center"/>
            <w:hideMark/>
          </w:tcPr>
          <w:p w14:paraId="68C167D5"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Limited infrastructure control, provider dependence, regulatory constraints</w:t>
            </w:r>
          </w:p>
        </w:tc>
        <w:tc>
          <w:tcPr>
            <w:tcW w:w="0" w:type="auto"/>
            <w:vAlign w:val="center"/>
            <w:hideMark/>
          </w:tcPr>
          <w:p w14:paraId="5EB93F9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Product development, enterprise productivity, startups, general-purpose AI applications</w:t>
            </w:r>
          </w:p>
        </w:tc>
      </w:tr>
      <w:tr w:rsidR="009D5944" w:rsidRPr="008652E9" w14:paraId="1FCC1D61" w14:textId="77777777" w:rsidTr="008652E9">
        <w:trPr>
          <w:tblCellSpacing w:w="15" w:type="dxa"/>
        </w:trPr>
        <w:tc>
          <w:tcPr>
            <w:tcW w:w="0" w:type="auto"/>
            <w:vAlign w:val="center"/>
            <w:hideMark/>
          </w:tcPr>
          <w:p w14:paraId="4DFF8C6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Self-hosted infrastructure</w:t>
            </w:r>
          </w:p>
        </w:tc>
        <w:tc>
          <w:tcPr>
            <w:tcW w:w="0" w:type="auto"/>
            <w:vAlign w:val="center"/>
            <w:hideMark/>
          </w:tcPr>
          <w:p w14:paraId="5FBB264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Complete operational control, deployment flexibility, data sovereignty, infrastructure optimization</w:t>
            </w:r>
          </w:p>
        </w:tc>
        <w:tc>
          <w:tcPr>
            <w:tcW w:w="0" w:type="auto"/>
            <w:vAlign w:val="center"/>
            <w:hideMark/>
          </w:tcPr>
          <w:p w14:paraId="29B7AB1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High operational complexity, specialized engineering expertise, infrastructure ownership</w:t>
            </w:r>
          </w:p>
        </w:tc>
        <w:tc>
          <w:tcPr>
            <w:tcW w:w="0" w:type="auto"/>
            <w:vAlign w:val="center"/>
            <w:hideMark/>
          </w:tcPr>
          <w:p w14:paraId="062A4CA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Regulated industries, government, large enterprises, high-volume inference</w:t>
            </w:r>
          </w:p>
        </w:tc>
      </w:tr>
      <w:tr w:rsidR="009D5944" w:rsidRPr="008652E9" w14:paraId="102CD17D" w14:textId="77777777" w:rsidTr="008652E9">
        <w:trPr>
          <w:tblCellSpacing w:w="15" w:type="dxa"/>
        </w:trPr>
        <w:tc>
          <w:tcPr>
            <w:tcW w:w="0" w:type="auto"/>
            <w:vAlign w:val="center"/>
            <w:hideMark/>
          </w:tcPr>
          <w:p w14:paraId="748FE33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Hybrid deployment</w:t>
            </w:r>
          </w:p>
        </w:tc>
        <w:tc>
          <w:tcPr>
            <w:tcW w:w="0" w:type="auto"/>
            <w:vAlign w:val="center"/>
            <w:hideMark/>
          </w:tcPr>
          <w:p w14:paraId="4F0D5C3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Combines operational flexibility with managed services, supports gradual migration and workload specialization</w:t>
            </w:r>
          </w:p>
        </w:tc>
        <w:tc>
          <w:tcPr>
            <w:tcW w:w="0" w:type="auto"/>
            <w:vAlign w:val="center"/>
            <w:hideMark/>
          </w:tcPr>
          <w:p w14:paraId="4E96DD7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More complex routing, governance, and operational coordination</w:t>
            </w:r>
          </w:p>
        </w:tc>
        <w:tc>
          <w:tcPr>
            <w:tcW w:w="0" w:type="auto"/>
            <w:vAlign w:val="center"/>
            <w:hideMark/>
          </w:tcPr>
          <w:p w14:paraId="0CBB801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Enterprises balancing innovation, compliance, and infrastructure control</w:t>
            </w:r>
          </w:p>
        </w:tc>
      </w:tr>
      <w:tr w:rsidR="009D5944" w:rsidRPr="008652E9" w14:paraId="2D1C3A6B" w14:textId="77777777" w:rsidTr="008652E9">
        <w:trPr>
          <w:tblCellSpacing w:w="15" w:type="dxa"/>
        </w:trPr>
        <w:tc>
          <w:tcPr>
            <w:tcW w:w="0" w:type="auto"/>
            <w:vAlign w:val="center"/>
            <w:hideMark/>
          </w:tcPr>
          <w:p w14:paraId="226D5C9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Multi-provider architecture</w:t>
            </w:r>
          </w:p>
        </w:tc>
        <w:tc>
          <w:tcPr>
            <w:tcW w:w="0" w:type="auto"/>
            <w:vAlign w:val="center"/>
            <w:hideMark/>
          </w:tcPr>
          <w:p w14:paraId="5884C3F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independence, workload optimization, improved resilience</w:t>
            </w:r>
          </w:p>
        </w:tc>
        <w:tc>
          <w:tcPr>
            <w:tcW w:w="0" w:type="auto"/>
            <w:vAlign w:val="center"/>
            <w:hideMark/>
          </w:tcPr>
          <w:p w14:paraId="785F021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Increased platform complexity and governance requirements</w:t>
            </w:r>
          </w:p>
        </w:tc>
        <w:tc>
          <w:tcPr>
            <w:tcW w:w="0" w:type="auto"/>
            <w:vAlign w:val="center"/>
            <w:hideMark/>
          </w:tcPr>
          <w:p w14:paraId="6FE130D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avoiding vendor lock-in or optimizing across provider capabilities</w:t>
            </w:r>
          </w:p>
        </w:tc>
      </w:tr>
      <w:tr w:rsidR="009D5944" w:rsidRPr="008652E9" w14:paraId="65D54511" w14:textId="77777777" w:rsidTr="008652E9">
        <w:trPr>
          <w:tblCellSpacing w:w="15" w:type="dxa"/>
        </w:trPr>
        <w:tc>
          <w:tcPr>
            <w:tcW w:w="0" w:type="auto"/>
            <w:vAlign w:val="center"/>
            <w:hideMark/>
          </w:tcPr>
          <w:p w14:paraId="2EF9F44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Edge deployment</w:t>
            </w:r>
          </w:p>
        </w:tc>
        <w:tc>
          <w:tcPr>
            <w:tcW w:w="0" w:type="auto"/>
            <w:vAlign w:val="center"/>
            <w:hideMark/>
          </w:tcPr>
          <w:p w14:paraId="461C7C9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Low latency, local processing, resilience to network disruption</w:t>
            </w:r>
          </w:p>
        </w:tc>
        <w:tc>
          <w:tcPr>
            <w:tcW w:w="0" w:type="auto"/>
            <w:vAlign w:val="center"/>
            <w:hideMark/>
          </w:tcPr>
          <w:p w14:paraId="4DE3926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Resource constraints, operational complexity, limited hardware capacity</w:t>
            </w:r>
          </w:p>
        </w:tc>
        <w:tc>
          <w:tcPr>
            <w:tcW w:w="0" w:type="auto"/>
            <w:vAlign w:val="center"/>
            <w:hideMark/>
          </w:tcPr>
          <w:p w14:paraId="2E7551F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Industrial systems, healthcare devices, autonomous platforms, remote environments</w:t>
            </w:r>
          </w:p>
        </w:tc>
      </w:tr>
    </w:tbl>
    <w:p w14:paraId="41C7980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deployment model establishes the operational boundaries within which an AI platform will evolve. However, it does not determine the technologies used within those boundaries. The next architectural decision concerns the broader question of </w:t>
      </w:r>
      <w:r w:rsidRPr="009D5944">
        <w:rPr>
          <w:rFonts w:ascii="Times New Roman" w:eastAsia="Times New Roman" w:hAnsi="Times New Roman" w:cs="Times New Roman"/>
          <w:sz w:val="28"/>
          <w:szCs w:val="24"/>
        </w:rPr>
        <w:lastRenderedPageBreak/>
        <w:t>whether organizations should build platform capabilities internally, adopt managed solutions, or compose platforms from multiple independently managed components.</w:t>
      </w:r>
    </w:p>
    <w:p w14:paraId="21214D18"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2F8181AF">
          <v:rect id="_x0000_i1027" style="width:0;height:1.5pt" o:hralign="center" o:hrstd="t" o:hr="t" fillcolor="#a0a0a0" stroked="f"/>
        </w:pict>
      </w:r>
    </w:p>
    <w:p w14:paraId="15975CC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2.5 Build, Buy, or Compose</w:t>
      </w:r>
    </w:p>
    <w:p w14:paraId="6ACFD81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Technology selection is often described as a choice between building software internally or purchasing commercial products. While this distinction remains useful, AI platforms increasingly require a third strategy: </w:t>
      </w:r>
      <w:r w:rsidRPr="009D5944">
        <w:rPr>
          <w:rFonts w:ascii="Times New Roman" w:eastAsia="Times New Roman" w:hAnsi="Times New Roman" w:cs="Times New Roman"/>
          <w:b/>
          <w:bCs/>
          <w:sz w:val="28"/>
          <w:szCs w:val="24"/>
        </w:rPr>
        <w:t>composition</w:t>
      </w:r>
      <w:r w:rsidRPr="009D5944">
        <w:rPr>
          <w:rFonts w:ascii="Times New Roman" w:eastAsia="Times New Roman" w:hAnsi="Times New Roman" w:cs="Times New Roman"/>
          <w:sz w:val="28"/>
          <w:szCs w:val="24"/>
        </w:rPr>
        <w:t>. Rather than relying exclusively on internally developed systems or complete commercial platforms, organizations assemble architectures from multiple specialized components connected through standardized interfaces.</w:t>
      </w:r>
    </w:p>
    <w:p w14:paraId="42A216B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As a result, the traditional "build versus buy" decision has evolved into a broader architectural question concerning </w:t>
      </w:r>
      <w:r w:rsidRPr="009D5944">
        <w:rPr>
          <w:rFonts w:ascii="Times New Roman" w:eastAsia="Times New Roman" w:hAnsi="Times New Roman" w:cs="Times New Roman"/>
          <w:b/>
          <w:bCs/>
          <w:sz w:val="28"/>
          <w:szCs w:val="24"/>
        </w:rPr>
        <w:t>where operational responsibility should reside</w:t>
      </w:r>
      <w:r w:rsidRPr="009D5944">
        <w:rPr>
          <w:rFonts w:ascii="Times New Roman" w:eastAsia="Times New Roman" w:hAnsi="Times New Roman" w:cs="Times New Roman"/>
          <w:sz w:val="28"/>
          <w:szCs w:val="24"/>
        </w:rPr>
        <w:t>.</w:t>
      </w:r>
    </w:p>
    <w:p w14:paraId="5F4D557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Every platform component—including inference, gateways, retrieval systems, orchestration, monitoring, evaluation, deployment, and governance—can generally be obtained in one of three ways:</w:t>
      </w:r>
    </w:p>
    <w:p w14:paraId="34D3EBC1"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consumed as a managed service, </w:t>
      </w:r>
    </w:p>
    <w:p w14:paraId="41080FD3"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developed internally, </w:t>
      </w:r>
    </w:p>
    <w:p w14:paraId="6D53DAC8"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or integrated from independently maintained components. </w:t>
      </w:r>
    </w:p>
    <w:p w14:paraId="44FD0F4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strategies are not mutually exclusive. Mature AI platforms frequently combine all three.</w:t>
      </w:r>
    </w:p>
    <w:p w14:paraId="3B403B43"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Buying Managed Capabilities</w:t>
      </w:r>
    </w:p>
    <w:p w14:paraId="2A2E47B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Purchasing managed AI services transfers significant operational responsibility to external providers. Organizations benefit from established infrastructure, continuous updates, operational expertise, and support agreements while avoiding much of the engineering effort associated with operating complex distributed systems.</w:t>
      </w:r>
    </w:p>
    <w:p w14:paraId="4C82112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Managed services often accelerate delivery because engineering teams concentrate on business applications instead of platform implementation. This advantage is particularly significant for organizations whose competitive differentiation depends on domain expertise rather than infrastructure engineering.</w:t>
      </w:r>
    </w:p>
    <w:p w14:paraId="34D988B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However, purchasing capabilities also introduces dependency on provider roadmaps, pricing models, release schedules, regional availability, and contractual </w:t>
      </w:r>
      <w:r w:rsidRPr="009D5944">
        <w:rPr>
          <w:rFonts w:ascii="Times New Roman" w:eastAsia="Times New Roman" w:hAnsi="Times New Roman" w:cs="Times New Roman"/>
          <w:sz w:val="28"/>
          <w:szCs w:val="24"/>
        </w:rPr>
        <w:lastRenderedPageBreak/>
        <w:t>relationships. Architectural flexibility may become constrained if applications depend directly upon provider-specific interfaces.</w:t>
      </w:r>
    </w:p>
    <w:p w14:paraId="185EDC7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Consequently, managed services should be evaluated not only according to technical capability but also according to the degree of architectural coupling they introduce.</w:t>
      </w:r>
    </w:p>
    <w:p w14:paraId="0A3D01CD"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Building Platform Components</w:t>
      </w:r>
    </w:p>
    <w:p w14:paraId="617AC1E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Developing platform capabilities internally provides maximum control over architecture, deployment, and operational behavior. Organizations determine interfaces, implementation details, release schedules, and integration strategies according to their own priorities.</w:t>
      </w:r>
    </w:p>
    <w:p w14:paraId="3D6DB01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Building internal capabilities becomes attractive when existing products cannot satisfy specialized requirements or when infrastructure itself constitutes a source of competitive advantage. Organizations operating at very large scale may also justify internal development because platform optimization can produce substantial operational savings over time.</w:t>
      </w:r>
    </w:p>
    <w:p w14:paraId="3409D8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Nevertheless, internal development carries long-term obligations extending well beyond initial implementation. Every internally developed component requires documentation, testing, security maintenance, operational support, compatibility management, and ongoing engineering investment. These responsibilities frequently persist for many years.</w:t>
      </w:r>
    </w:p>
    <w:p w14:paraId="78D48D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question is therefore not simply whether an organization can build a platform component, but whether it should assume responsibility for maintaining that component throughout its operational lifecycle.</w:t>
      </w:r>
    </w:p>
    <w:p w14:paraId="0D3D0D67"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Composing Platforms</w:t>
      </w:r>
    </w:p>
    <w:p w14:paraId="7A37E0D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Increasingly, organizations adopt composition rather than pursuing either extreme.</w:t>
      </w:r>
    </w:p>
    <w:p w14:paraId="4CB969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Composable architectures assemble specialized components through stable interfaces while avoiding unnecessary reimplementation of existing capabilities. For example, a platform might combine commercial inference APIs, an open-source gateway, self-hosted retrieval infrastructure, managed object storage, enterprise identity services, and internally developed business workflows.</w:t>
      </w:r>
    </w:p>
    <w:p w14:paraId="000A917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Each component remains independently replaceable provided interfaces remain stable.</w:t>
      </w:r>
    </w:p>
    <w:p w14:paraId="307B1C7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This strategy reflects broader developments within cloud-native engineering. Kubernetes itself does not attempt to provide every operational capability. Instead, it offers extensible interfaces allowing networking, storage, observability, security, </w:t>
      </w:r>
      <w:r w:rsidRPr="009D5944">
        <w:rPr>
          <w:rFonts w:ascii="Times New Roman" w:eastAsia="Times New Roman" w:hAnsi="Times New Roman" w:cs="Times New Roman"/>
          <w:sz w:val="28"/>
          <w:szCs w:val="24"/>
        </w:rPr>
        <w:lastRenderedPageBreak/>
        <w:t>and deployment systems to evolve independently. Modern AI platforms increasingly follow the same architectural philosophy.</w:t>
      </w:r>
    </w:p>
    <w:p w14:paraId="7DFF7E0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Composition also reduces technological risk. Individual components can mature independently, providers can be replaced gradually, and architectural improvements can be introduced incrementally rather than through disruptive platform migrations.</w:t>
      </w:r>
    </w:p>
    <w:p w14:paraId="4D920178"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Selecting the Appropriate Strategy</w:t>
      </w:r>
    </w:p>
    <w:p w14:paraId="754F446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 universal decision matrix determines whether organizations should build, buy, or compose. The appropriate balance depends upon organizational objectives, engineering capacity, regulatory requirements, and expected platform lifespan.</w:t>
      </w:r>
    </w:p>
    <w:p w14:paraId="7D007EF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Organizations whose primary objective is rapid application delivery frequently emphasize managed services. Platform engineering organizations supporting multiple business units often prioritize composable architectures. Highly regulated industries or organizations operating specialized workloads may justify greater investment in internally managed infrastructure.</w:t>
      </w:r>
    </w:p>
    <w:p w14:paraId="17135EF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important observation follows from this analysis.</w:t>
      </w:r>
    </w:p>
    <w:p w14:paraId="5D2DE0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Successful platform engineering rarely attempts to maximize internal development. Instead, it seeks to maximize engineering effort devoted to capabilities that create organizational value while minimizing effort spent reproducing commodity infrastructure already available elsewhere.</w:t>
      </w:r>
    </w:p>
    <w:p w14:paraId="4400C08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2-5. Comparing Build, Buy, and Compose Strategies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2944"/>
        <w:gridCol w:w="2602"/>
        <w:gridCol w:w="2827"/>
      </w:tblGrid>
      <w:tr w:rsidR="009D5944" w:rsidRPr="008652E9" w14:paraId="6004A8F9" w14:textId="77777777" w:rsidTr="008652E9">
        <w:trPr>
          <w:tblHeader/>
          <w:tblCellSpacing w:w="15" w:type="dxa"/>
        </w:trPr>
        <w:tc>
          <w:tcPr>
            <w:tcW w:w="0" w:type="auto"/>
            <w:vAlign w:val="center"/>
            <w:hideMark/>
          </w:tcPr>
          <w:p w14:paraId="6BE6ED9B"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Strategy</w:t>
            </w:r>
          </w:p>
        </w:tc>
        <w:tc>
          <w:tcPr>
            <w:tcW w:w="0" w:type="auto"/>
            <w:vAlign w:val="center"/>
            <w:hideMark/>
          </w:tcPr>
          <w:p w14:paraId="15364919"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Benefits</w:t>
            </w:r>
          </w:p>
        </w:tc>
        <w:tc>
          <w:tcPr>
            <w:tcW w:w="0" w:type="auto"/>
            <w:vAlign w:val="center"/>
            <w:hideMark/>
          </w:tcPr>
          <w:p w14:paraId="5E9F0C3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Challenges</w:t>
            </w:r>
          </w:p>
        </w:tc>
        <w:tc>
          <w:tcPr>
            <w:tcW w:w="0" w:type="auto"/>
            <w:vAlign w:val="center"/>
            <w:hideMark/>
          </w:tcPr>
          <w:p w14:paraId="16A556EE"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Most Appropriate When</w:t>
            </w:r>
          </w:p>
        </w:tc>
      </w:tr>
      <w:tr w:rsidR="009D5944" w:rsidRPr="008652E9" w14:paraId="46C60BEA" w14:textId="77777777" w:rsidTr="008652E9">
        <w:trPr>
          <w:tblCellSpacing w:w="15" w:type="dxa"/>
        </w:trPr>
        <w:tc>
          <w:tcPr>
            <w:tcW w:w="0" w:type="auto"/>
            <w:vAlign w:val="center"/>
            <w:hideMark/>
          </w:tcPr>
          <w:p w14:paraId="2DD3415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Buy</w:t>
            </w:r>
          </w:p>
        </w:tc>
        <w:tc>
          <w:tcPr>
            <w:tcW w:w="0" w:type="auto"/>
            <w:vAlign w:val="center"/>
            <w:hideMark/>
          </w:tcPr>
          <w:p w14:paraId="1C7F254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Rapid implementation, reduced operational responsibility, predictable support</w:t>
            </w:r>
          </w:p>
        </w:tc>
        <w:tc>
          <w:tcPr>
            <w:tcW w:w="0" w:type="auto"/>
            <w:vAlign w:val="center"/>
            <w:hideMark/>
          </w:tcPr>
          <w:p w14:paraId="54C64A9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dependence, limited customization, contractual constraints</w:t>
            </w:r>
          </w:p>
        </w:tc>
        <w:tc>
          <w:tcPr>
            <w:tcW w:w="0" w:type="auto"/>
            <w:vAlign w:val="center"/>
            <w:hideMark/>
          </w:tcPr>
          <w:p w14:paraId="56278FD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Business value depends primarily on applications rather than infrastructure</w:t>
            </w:r>
          </w:p>
        </w:tc>
      </w:tr>
      <w:tr w:rsidR="009D5944" w:rsidRPr="008652E9" w14:paraId="69F28F57" w14:textId="77777777" w:rsidTr="008652E9">
        <w:trPr>
          <w:tblCellSpacing w:w="15" w:type="dxa"/>
        </w:trPr>
        <w:tc>
          <w:tcPr>
            <w:tcW w:w="0" w:type="auto"/>
            <w:vAlign w:val="center"/>
            <w:hideMark/>
          </w:tcPr>
          <w:p w14:paraId="36C3DD8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Build</w:t>
            </w:r>
          </w:p>
        </w:tc>
        <w:tc>
          <w:tcPr>
            <w:tcW w:w="0" w:type="auto"/>
            <w:vAlign w:val="center"/>
            <w:hideMark/>
          </w:tcPr>
          <w:p w14:paraId="131790B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Complete architectural control, customization, infrastructure optimization</w:t>
            </w:r>
          </w:p>
        </w:tc>
        <w:tc>
          <w:tcPr>
            <w:tcW w:w="0" w:type="auto"/>
            <w:vAlign w:val="center"/>
            <w:hideMark/>
          </w:tcPr>
          <w:p w14:paraId="0A17873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Significant long-term maintenance, staffing, operational ownership</w:t>
            </w:r>
          </w:p>
        </w:tc>
        <w:tc>
          <w:tcPr>
            <w:tcW w:w="0" w:type="auto"/>
            <w:vAlign w:val="center"/>
            <w:hideMark/>
          </w:tcPr>
          <w:p w14:paraId="43A9F39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capabilities provide strategic advantage or satisfy unique requirements</w:t>
            </w:r>
          </w:p>
        </w:tc>
      </w:tr>
      <w:tr w:rsidR="009D5944" w:rsidRPr="008652E9" w14:paraId="05E45DAB" w14:textId="77777777" w:rsidTr="008652E9">
        <w:trPr>
          <w:tblCellSpacing w:w="15" w:type="dxa"/>
        </w:trPr>
        <w:tc>
          <w:tcPr>
            <w:tcW w:w="0" w:type="auto"/>
            <w:vAlign w:val="center"/>
            <w:hideMark/>
          </w:tcPr>
          <w:p w14:paraId="1971F23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Compose</w:t>
            </w:r>
          </w:p>
        </w:tc>
        <w:tc>
          <w:tcPr>
            <w:tcW w:w="0" w:type="auto"/>
            <w:vAlign w:val="center"/>
            <w:hideMark/>
          </w:tcPr>
          <w:p w14:paraId="4367151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Flexibility, replaceability, incremental evolution, interoperability</w:t>
            </w:r>
          </w:p>
        </w:tc>
        <w:tc>
          <w:tcPr>
            <w:tcW w:w="0" w:type="auto"/>
            <w:vAlign w:val="center"/>
            <w:hideMark/>
          </w:tcPr>
          <w:p w14:paraId="64A18BD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Greater architectural design effort, integration complexity</w:t>
            </w:r>
          </w:p>
        </w:tc>
        <w:tc>
          <w:tcPr>
            <w:tcW w:w="0" w:type="auto"/>
            <w:vAlign w:val="center"/>
            <w:hideMark/>
          </w:tcPr>
          <w:p w14:paraId="247DB70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seeking long-term adaptability across evolving technologies</w:t>
            </w:r>
          </w:p>
        </w:tc>
      </w:tr>
    </w:tbl>
    <w:p w14:paraId="24EA2AD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The remainder of this chapter adopts the composable perspective because it best reflects current industry practice. Modern AI platforms are increasingly assembled from interoperable components rather than delivered as monolithic products.</w:t>
      </w:r>
    </w:p>
    <w:p w14:paraId="467A12AF"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1658EE05">
          <v:rect id="_x0000_i1028" style="width:0;height:1.5pt" o:hralign="center" o:hrstd="t" o:hr="t" fillcolor="#a0a0a0" stroked="f"/>
        </w:pict>
      </w:r>
    </w:p>
    <w:p w14:paraId="542B8D3A"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2.6 Reference Architecture Philosophy</w:t>
      </w:r>
    </w:p>
    <w:p w14:paraId="25D5D91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occupy a central role in engineering disciplines because they provide reusable solutions to recurring design problems without prescribing specific implementations. They capture architectural experience accumulated across multiple organizations and projects, enabling engineers to begin from proven structural patterns rather than designing every system from first principles.</w:t>
      </w:r>
    </w:p>
    <w:p w14:paraId="17F70EB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Within AI Platform Engineering, reference architectures are particularly valuable because the underlying technologies evolve rapidly while many architectural principles remain comparatively stable.</w:t>
      </w:r>
    </w:p>
    <w:p w14:paraId="7BFC72D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It is important, however, to understand what a reference architecture is—and what it is not.</w:t>
      </w:r>
    </w:p>
    <w:p w14:paraId="1ECFC08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reference architecture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deployment template.</w:t>
      </w:r>
    </w:p>
    <w:p w14:paraId="231A146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product recommendation.</w:t>
      </w:r>
    </w:p>
    <w:p w14:paraId="3A8E461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vendor certification.</w:t>
      </w:r>
    </w:p>
    <w:p w14:paraId="7F244F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Nor is it a guarantee that a particular architecture represents industry best practice for every organization.</w:t>
      </w:r>
    </w:p>
    <w:p w14:paraId="2F0E9F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Instead, a reference architecture describes a logical arrangement of responsibilities and interactions that has proven broadly useful across multiple environments. Individual implementations remain free to substitute different technologies while preserving the same architectural relationships.</w:t>
      </w:r>
    </w:p>
    <w:p w14:paraId="5F1B72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a reference architecture may include an AI gateway positioned between applications and inference services. Whether that gateway is implemented using a commercial platform, an open-source project, or internally developed software does not alter the architectural role it performs. Likewise, the retrieval layer may be implemented using different databases, search systems, or storage technologies while maintaining the same conceptual responsibility within the overall platform.</w:t>
      </w:r>
    </w:p>
    <w:p w14:paraId="3AF5A2E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allows architectural discussions to remain relevant even as individual products evolve.</w:t>
      </w:r>
    </w:p>
    <w:p w14:paraId="7C76F54B"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lastRenderedPageBreak/>
        <w:t>Logical, Physical, and Deployment Architectures</w:t>
      </w:r>
    </w:p>
    <w:p w14:paraId="7AAD30B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Architectural discussions often become confusing because several different types of architecture are described using similar terminology.</w:t>
      </w:r>
    </w:p>
    <w:p w14:paraId="61338B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w:t>
      </w:r>
      <w:r w:rsidRPr="009D5944">
        <w:rPr>
          <w:rFonts w:ascii="Times New Roman" w:eastAsia="Times New Roman" w:hAnsi="Times New Roman" w:cs="Times New Roman"/>
          <w:b/>
          <w:bCs/>
          <w:sz w:val="28"/>
          <w:szCs w:val="24"/>
        </w:rPr>
        <w:t>logical architecture</w:t>
      </w:r>
      <w:r w:rsidRPr="009D5944">
        <w:rPr>
          <w:rFonts w:ascii="Times New Roman" w:eastAsia="Times New Roman" w:hAnsi="Times New Roman" w:cs="Times New Roman"/>
          <w:sz w:val="28"/>
          <w:szCs w:val="24"/>
        </w:rPr>
        <w:t xml:space="preserve"> defines responsibilities and interactions among major system components. It explains what functions exist and how information flows between them without specifying implementation technologies.</w:t>
      </w:r>
    </w:p>
    <w:p w14:paraId="116CCA4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w:t>
      </w:r>
      <w:r w:rsidRPr="009D5944">
        <w:rPr>
          <w:rFonts w:ascii="Times New Roman" w:eastAsia="Times New Roman" w:hAnsi="Times New Roman" w:cs="Times New Roman"/>
          <w:b/>
          <w:bCs/>
          <w:sz w:val="28"/>
          <w:szCs w:val="24"/>
        </w:rPr>
        <w:t>physical architecture</w:t>
      </w:r>
      <w:r w:rsidRPr="009D5944">
        <w:rPr>
          <w:rFonts w:ascii="Times New Roman" w:eastAsia="Times New Roman" w:hAnsi="Times New Roman" w:cs="Times New Roman"/>
          <w:sz w:val="28"/>
          <w:szCs w:val="24"/>
        </w:rPr>
        <w:t xml:space="preserve"> maps those logical components onto infrastructure resources such as clusters, networks, storage systems, accelerators, and cloud services. Physical architectures introduce operational concerns including scalability, resilience, and infrastructure ownership.</w:t>
      </w:r>
    </w:p>
    <w:p w14:paraId="1597D69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w:t>
      </w:r>
      <w:r w:rsidRPr="009D5944">
        <w:rPr>
          <w:rFonts w:ascii="Times New Roman" w:eastAsia="Times New Roman" w:hAnsi="Times New Roman" w:cs="Times New Roman"/>
          <w:b/>
          <w:bCs/>
          <w:sz w:val="28"/>
          <w:szCs w:val="24"/>
        </w:rPr>
        <w:t>deployment architecture</w:t>
      </w:r>
      <w:r w:rsidRPr="009D5944">
        <w:rPr>
          <w:rFonts w:ascii="Times New Roman" w:eastAsia="Times New Roman" w:hAnsi="Times New Roman" w:cs="Times New Roman"/>
          <w:sz w:val="28"/>
          <w:szCs w:val="24"/>
        </w:rPr>
        <w:t xml:space="preserve"> describes how software components are packaged, released, upgraded, and operated throughout their lifecycle. Topics such as container orchestration, </w:t>
      </w:r>
      <w:proofErr w:type="spellStart"/>
      <w:r w:rsidRPr="009D5944">
        <w:rPr>
          <w:rFonts w:ascii="Times New Roman" w:eastAsia="Times New Roman" w:hAnsi="Times New Roman" w:cs="Times New Roman"/>
          <w:sz w:val="28"/>
          <w:szCs w:val="24"/>
        </w:rPr>
        <w:t>GitOps</w:t>
      </w:r>
      <w:proofErr w:type="spellEnd"/>
      <w:r w:rsidRPr="009D5944">
        <w:rPr>
          <w:rFonts w:ascii="Times New Roman" w:eastAsia="Times New Roman" w:hAnsi="Times New Roman" w:cs="Times New Roman"/>
          <w:sz w:val="28"/>
          <w:szCs w:val="24"/>
        </w:rPr>
        <w:t xml:space="preserve"> workflows, deployment pipelines, progressive delivery, and infrastructure automation belong primarily to deployment architecture rather than logical system design.</w:t>
      </w:r>
    </w:p>
    <w:p w14:paraId="7D1104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explains why deployment mechanics are intentionally deferred to Chapter 16. At this stage, the focus remains on understanding the structural relationships among platform components rather than their operational implementation.</w:t>
      </w:r>
    </w:p>
    <w:p w14:paraId="10F7B5CC"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Architectural Stability Through Abstraction</w:t>
      </w:r>
    </w:p>
    <w:p w14:paraId="0A060C9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One of the principal objectives of a reference architecture is to isolate stable architectural concepts from rapidly changing technologies.</w:t>
      </w:r>
    </w:p>
    <w:p w14:paraId="251D6FD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Models change.</w:t>
      </w:r>
    </w:p>
    <w:p w14:paraId="75578DE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Inference engines evolve.</w:t>
      </w:r>
    </w:p>
    <w:p w14:paraId="3AEB9CC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Frameworks appear and disappear.</w:t>
      </w:r>
    </w:p>
    <w:p w14:paraId="7BE956A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Benchmark leaders change regularly.</w:t>
      </w:r>
    </w:p>
    <w:p w14:paraId="41AF1E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Yet enterprise applications continue to require authentication, governance, routing, knowledge integration, operational visibility, and deployment automation.</w:t>
      </w:r>
    </w:p>
    <w:p w14:paraId="762D996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therefore organize systems around enduring responsibilities rather than transient products.</w:t>
      </w:r>
    </w:p>
    <w:p w14:paraId="4E62CB4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Recent industry guidance reflects this direction. Cloud providers increasingly publish architectures centered on common ingress layers, policy enforcement, </w:t>
      </w:r>
      <w:r w:rsidRPr="009D5944">
        <w:rPr>
          <w:rFonts w:ascii="Times New Roman" w:eastAsia="Times New Roman" w:hAnsi="Times New Roman" w:cs="Times New Roman"/>
          <w:sz w:val="28"/>
          <w:szCs w:val="24"/>
        </w:rPr>
        <w:lastRenderedPageBreak/>
        <w:t xml:space="preserve">routing services, and independent inference backends rather than tightly coupling applications to individual model providers. Similarly, emerging Kubernetes AI initiatives extend existing networking abstractions instead of replacing them with AI-specific infrastructure, demonstrating that AI platforms increasingly build upon mature cloud-native foundations rather than establishing entirely separate operational ecosystems. (Google Cloud Architecture Center, </w:t>
      </w:r>
      <w:r w:rsidRPr="009D5944">
        <w:rPr>
          <w:rFonts w:ascii="Times New Roman" w:eastAsia="Times New Roman" w:hAnsi="Times New Roman" w:cs="Times New Roman"/>
          <w:i/>
          <w:iCs/>
          <w:sz w:val="28"/>
          <w:szCs w:val="24"/>
        </w:rPr>
        <w:t>Networking for AI Inference on All Backends</w:t>
      </w:r>
      <w:r w:rsidRPr="009D5944">
        <w:rPr>
          <w:rFonts w:ascii="Times New Roman" w:eastAsia="Times New Roman" w:hAnsi="Times New Roman" w:cs="Times New Roman"/>
          <w:sz w:val="28"/>
          <w:szCs w:val="24"/>
        </w:rPr>
        <w:t>, 2026; Kubernetes AI Gateway Working Group, 2026.)</w:t>
      </w:r>
    </w:p>
    <w:p w14:paraId="3F1E1C85"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Using Reference Architectures Effectively</w:t>
      </w:r>
    </w:p>
    <w:p w14:paraId="0138E21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reference architectures presented throughout the remainder of this chapter should therefore be interpreted as analytical tools rather than implementation blueprints.</w:t>
      </w:r>
    </w:p>
    <w:p w14:paraId="7E46B35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Each architecture emphasizes different engineering priorities.</w:t>
      </w:r>
    </w:p>
    <w:p w14:paraId="795C18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prioritize rapid adoption through managed services.</w:t>
      </w:r>
    </w:p>
    <w:p w14:paraId="5D29CB0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Others maximize deployment control and regulatory compliance.</w:t>
      </w:r>
    </w:p>
    <w:p w14:paraId="275FA79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optimize organizational flexibility through provider abstraction.</w:t>
      </w:r>
    </w:p>
    <w:p w14:paraId="1BACF49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Others reduce operational complexity by minimizing infrastructure ownership.</w:t>
      </w:r>
    </w:p>
    <w:p w14:paraId="5531240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None should be considered universally superior.</w:t>
      </w:r>
    </w:p>
    <w:p w14:paraId="5940A1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Instead, readers should evaluate how well each architecture satisfies the requirement categories introduced earlier in this chapter. The objective is not to copy an architecture directly, but to understand the engineering rationale underlying each design so that similar reasoning can be applied to new organizational contexts.</w:t>
      </w:r>
    </w:p>
    <w:p w14:paraId="1F76D34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following sections present several representative AI platform architectures that illustrate how these principles are applied in practice. Although they differ significantly in deployment strategy and operational responsibilities, each is derived from the same architectural dimensions established earlier in the chapter.</w:t>
      </w:r>
    </w:p>
    <w:p w14:paraId="2C93A854"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2.7 Reference Architecture A — API-Centric Enterprise Platform</w:t>
      </w:r>
    </w:p>
    <w:p w14:paraId="37AD631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For many organizations beginning production AI adoption, the most appropriate architecture is also the simplest. Rather than operating inference infrastructure internally, applications consume foundation models through commercially </w:t>
      </w:r>
      <w:r w:rsidRPr="009D5944">
        <w:rPr>
          <w:rFonts w:ascii="Times New Roman" w:eastAsia="Times New Roman" w:hAnsi="Times New Roman" w:cs="Times New Roman"/>
          <w:sz w:val="28"/>
          <w:szCs w:val="24"/>
        </w:rPr>
        <w:lastRenderedPageBreak/>
        <w:t>managed APIs while the organization focuses its engineering effort on application development, business integration, governance, and operational reliability.</w:t>
      </w:r>
    </w:p>
    <w:p w14:paraId="11BEB17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architecture should not be viewed as a temporary prototype. Many mature enterprises successfully operate production AI systems using commercial model providers because the architecture aligns well with their operational priorities. The objective is not to maximize infrastructure ownership but to maximize business value while minimizing unnecessary operational complexity.</w:t>
      </w:r>
    </w:p>
    <w:p w14:paraId="5BAAC26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a logical level, the architecture consists of several distinct layers.</w:t>
      </w:r>
    </w:p>
    <w:p w14:paraId="40EFB3C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Business applications interact with an internal AI access layer rather than communicating directly with external providers. This access layer performs authentication, request validation, provider abstraction, policy enforcement, logging, and routing. Requests are then forwarded to one or more commercial AI services. Enterprise data remains within organizational systems and is incorporated through application logic or retrieval mechanisms before requests reach the external model.</w:t>
      </w:r>
    </w:p>
    <w:p w14:paraId="46D1413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Although Chapter 6 discusses AI gateways in detail, it is useful to introduce their architectural role here. Even organizations using a single provider benefit from a centralized integration layer because it isolates applications from provider-specific APIs. If a </w:t>
      </w:r>
      <w:proofErr w:type="gramStart"/>
      <w:r w:rsidRPr="009D5944">
        <w:rPr>
          <w:rFonts w:ascii="Times New Roman" w:eastAsia="Times New Roman" w:hAnsi="Times New Roman" w:cs="Times New Roman"/>
          <w:sz w:val="28"/>
          <w:szCs w:val="24"/>
        </w:rPr>
        <w:t>provider changes authentication mechanisms</w:t>
      </w:r>
      <w:proofErr w:type="gramEnd"/>
      <w:r w:rsidRPr="009D5944">
        <w:rPr>
          <w:rFonts w:ascii="Times New Roman" w:eastAsia="Times New Roman" w:hAnsi="Times New Roman" w:cs="Times New Roman"/>
          <w:sz w:val="28"/>
          <w:szCs w:val="24"/>
        </w:rPr>
        <w:t>, introduces new API versions, or is later replaced, only the gateway layer requires modification rather than every application within the organization.</w:t>
      </w:r>
    </w:p>
    <w:p w14:paraId="64BEFBD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architecture also separates business systems from AI infrastructure. Enterprise applications continue to interact with internal databases, document repositories, identity providers, and business services exactly as they would in conventional distributed systems. AI capabilities become another platform service rather than replacing established enterprise architecture.</w:t>
      </w:r>
    </w:p>
    <w:p w14:paraId="0DCF8D4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separation provides an important operational advantage. AI adoption becomes incremental rather than disruptive. Existing applications incorporate AI functionality while preserving their established deployment models, security controls, and operational processes.</w:t>
      </w:r>
    </w:p>
    <w:p w14:paraId="6E6B4B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From an engineering perspective, the primary responsibility of the platform shifts away from infrastructure management toward service integration. Engineering effort is concentrated on prompt engineering, retrieval pipelines, application logic, governance, testing, and user experience rather than GPU scheduling or inference optimization.</w:t>
      </w:r>
    </w:p>
    <w:p w14:paraId="25444F1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architecture is particularly well suited to organizations with the following characteristics:</w:t>
      </w:r>
    </w:p>
    <w:p w14:paraId="489A4A2B"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lastRenderedPageBreak/>
        <w:t xml:space="preserve">relatively small platform engineering teams, </w:t>
      </w:r>
    </w:p>
    <w:p w14:paraId="621C2B49"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rapidly evolving business requirements, </w:t>
      </w:r>
    </w:p>
    <w:p w14:paraId="6DB57D49"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limited experience operating accelerator infrastructure, </w:t>
      </w:r>
    </w:p>
    <w:p w14:paraId="66945DB1"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moderate inference volumes, </w:t>
      </w:r>
    </w:p>
    <w:p w14:paraId="64DB3906"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preference for predictable operational responsibilities. </w:t>
      </w:r>
    </w:p>
    <w:p w14:paraId="4927805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characteristics describe a surprisingly large portion of enterprise AI deployments.</w:t>
      </w:r>
    </w:p>
    <w:p w14:paraId="0B731EF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However, API-centric architectures also introduce important limitations.</w:t>
      </w:r>
    </w:p>
    <w:p w14:paraId="5A7794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ultimately depend upon provider availability, supported regions, pricing structures, release schedules, and contractual agreements. Infrastructure optimization opportunities remain limited because hardware, serving strategies, batching algorithms, and scheduling policies are controlled by the provider. Organizations requiring complete deployment control or strict data sovereignty may therefore find this architecture unsuitable.</w:t>
      </w:r>
    </w:p>
    <w:p w14:paraId="3880BB5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also important to distinguish between </w:t>
      </w:r>
      <w:r w:rsidRPr="009D5944">
        <w:rPr>
          <w:rFonts w:ascii="Times New Roman" w:eastAsia="Times New Roman" w:hAnsi="Times New Roman" w:cs="Times New Roman"/>
          <w:b/>
          <w:bCs/>
          <w:sz w:val="28"/>
          <w:szCs w:val="24"/>
        </w:rPr>
        <w:t>logical simplicity</w:t>
      </w:r>
      <w:r w:rsidRPr="009D5944">
        <w:rPr>
          <w:rFonts w:ascii="Times New Roman" w:eastAsia="Times New Roman" w:hAnsi="Times New Roman" w:cs="Times New Roman"/>
          <w:sz w:val="28"/>
          <w:szCs w:val="24"/>
        </w:rPr>
        <w:t xml:space="preserve"> and </w:t>
      </w:r>
      <w:r w:rsidRPr="009D5944">
        <w:rPr>
          <w:rFonts w:ascii="Times New Roman" w:eastAsia="Times New Roman" w:hAnsi="Times New Roman" w:cs="Times New Roman"/>
          <w:b/>
          <w:bCs/>
          <w:sz w:val="28"/>
          <w:szCs w:val="24"/>
        </w:rPr>
        <w:t>architectural immaturity</w:t>
      </w:r>
      <w:r w:rsidRPr="009D5944">
        <w:rPr>
          <w:rFonts w:ascii="Times New Roman" w:eastAsia="Times New Roman" w:hAnsi="Times New Roman" w:cs="Times New Roman"/>
          <w:sz w:val="28"/>
          <w:szCs w:val="24"/>
        </w:rPr>
        <w:t>. Although this reference architecture minimizes infrastructure ownership, it still requires robust authentication, evaluation pipelines, governance controls, operational monitoring, deployment automation, and security practices. Those responsibilities do not disappear simply because inference is externally managed.</w:t>
      </w:r>
    </w:p>
    <w:p w14:paraId="3D9EE38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2-6. Characteristics of an API-Centric Enterprise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906"/>
        <w:gridCol w:w="6449"/>
      </w:tblGrid>
      <w:tr w:rsidR="009D5944" w:rsidRPr="008652E9" w14:paraId="1D085135" w14:textId="77777777" w:rsidTr="008652E9">
        <w:trPr>
          <w:tblHeader/>
          <w:tblCellSpacing w:w="15" w:type="dxa"/>
        </w:trPr>
        <w:tc>
          <w:tcPr>
            <w:tcW w:w="0" w:type="auto"/>
            <w:vAlign w:val="center"/>
            <w:hideMark/>
          </w:tcPr>
          <w:p w14:paraId="138A6D82"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Characteristic</w:t>
            </w:r>
          </w:p>
        </w:tc>
        <w:tc>
          <w:tcPr>
            <w:tcW w:w="0" w:type="auto"/>
            <w:vAlign w:val="center"/>
            <w:hideMark/>
          </w:tcPr>
          <w:p w14:paraId="4097DD0F"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Architectural Implication</w:t>
            </w:r>
          </w:p>
        </w:tc>
      </w:tr>
      <w:tr w:rsidR="009D5944" w:rsidRPr="008652E9" w14:paraId="7F2788D0" w14:textId="77777777" w:rsidTr="008652E9">
        <w:trPr>
          <w:tblCellSpacing w:w="15" w:type="dxa"/>
        </w:trPr>
        <w:tc>
          <w:tcPr>
            <w:tcW w:w="0" w:type="auto"/>
            <w:vAlign w:val="center"/>
            <w:hideMark/>
          </w:tcPr>
          <w:p w14:paraId="6320200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Models provided through commercial APIs</w:t>
            </w:r>
          </w:p>
        </w:tc>
        <w:tc>
          <w:tcPr>
            <w:tcW w:w="0" w:type="auto"/>
            <w:vAlign w:val="center"/>
            <w:hideMark/>
          </w:tcPr>
          <w:p w14:paraId="627A0BE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Infrastructure complexity is transferred to the provider while applications remain focused on business functionality.</w:t>
            </w:r>
          </w:p>
        </w:tc>
      </w:tr>
      <w:tr w:rsidR="009D5944" w:rsidRPr="008652E9" w14:paraId="3B7A7E21" w14:textId="77777777" w:rsidTr="008652E9">
        <w:trPr>
          <w:tblCellSpacing w:w="15" w:type="dxa"/>
        </w:trPr>
        <w:tc>
          <w:tcPr>
            <w:tcW w:w="0" w:type="auto"/>
            <w:vAlign w:val="center"/>
            <w:hideMark/>
          </w:tcPr>
          <w:p w14:paraId="2AB882F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AI access layer</w:t>
            </w:r>
          </w:p>
        </w:tc>
        <w:tc>
          <w:tcPr>
            <w:tcW w:w="0" w:type="auto"/>
            <w:vAlign w:val="center"/>
            <w:hideMark/>
          </w:tcPr>
          <w:p w14:paraId="0385B4E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Provides abstraction, authentication, policy enforcement, and future provider flexibility.</w:t>
            </w:r>
          </w:p>
        </w:tc>
      </w:tr>
      <w:tr w:rsidR="009D5944" w:rsidRPr="008652E9" w14:paraId="571EFDC8" w14:textId="77777777" w:rsidTr="008652E9">
        <w:trPr>
          <w:tblCellSpacing w:w="15" w:type="dxa"/>
        </w:trPr>
        <w:tc>
          <w:tcPr>
            <w:tcW w:w="0" w:type="auto"/>
            <w:vAlign w:val="center"/>
            <w:hideMark/>
          </w:tcPr>
          <w:p w14:paraId="65457AE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Enterprise data remains internal</w:t>
            </w:r>
          </w:p>
        </w:tc>
        <w:tc>
          <w:tcPr>
            <w:tcW w:w="0" w:type="auto"/>
            <w:vAlign w:val="center"/>
            <w:hideMark/>
          </w:tcPr>
          <w:p w14:paraId="3588AB4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Sensitive information is managed according to organizational policies before interacting with external services.</w:t>
            </w:r>
          </w:p>
        </w:tc>
      </w:tr>
      <w:tr w:rsidR="009D5944" w:rsidRPr="008652E9" w14:paraId="1DB7ACE7" w14:textId="77777777" w:rsidTr="008652E9">
        <w:trPr>
          <w:tblCellSpacing w:w="15" w:type="dxa"/>
        </w:trPr>
        <w:tc>
          <w:tcPr>
            <w:tcW w:w="0" w:type="auto"/>
            <w:vAlign w:val="center"/>
            <w:hideMark/>
          </w:tcPr>
          <w:p w14:paraId="5AFAD6B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Minimal infrastructure ownership</w:t>
            </w:r>
          </w:p>
        </w:tc>
        <w:tc>
          <w:tcPr>
            <w:tcW w:w="0" w:type="auto"/>
            <w:vAlign w:val="center"/>
            <w:hideMark/>
          </w:tcPr>
          <w:p w14:paraId="640B39D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engineering focuses on integration rather than inference operations.</w:t>
            </w:r>
          </w:p>
        </w:tc>
      </w:tr>
      <w:tr w:rsidR="009D5944" w:rsidRPr="008652E9" w14:paraId="117FAC9F" w14:textId="77777777" w:rsidTr="008652E9">
        <w:trPr>
          <w:tblCellSpacing w:w="15" w:type="dxa"/>
        </w:trPr>
        <w:tc>
          <w:tcPr>
            <w:tcW w:w="0" w:type="auto"/>
            <w:vAlign w:val="center"/>
            <w:hideMark/>
          </w:tcPr>
          <w:p w14:paraId="2A70D6B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Fast adoption of new models</w:t>
            </w:r>
          </w:p>
        </w:tc>
        <w:tc>
          <w:tcPr>
            <w:tcW w:w="0" w:type="auto"/>
            <w:vAlign w:val="center"/>
            <w:hideMark/>
          </w:tcPr>
          <w:p w14:paraId="45E8DD5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upgrades become available without infrastructure migrations.</w:t>
            </w:r>
          </w:p>
        </w:tc>
      </w:tr>
      <w:tr w:rsidR="009D5944" w:rsidRPr="008652E9" w14:paraId="4FCEAFE8" w14:textId="77777777" w:rsidTr="008652E9">
        <w:trPr>
          <w:tblCellSpacing w:w="15" w:type="dxa"/>
        </w:trPr>
        <w:tc>
          <w:tcPr>
            <w:tcW w:w="0" w:type="auto"/>
            <w:vAlign w:val="center"/>
            <w:hideMark/>
          </w:tcPr>
          <w:p w14:paraId="6A0DFFB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Limited deployment control</w:t>
            </w:r>
          </w:p>
        </w:tc>
        <w:tc>
          <w:tcPr>
            <w:tcW w:w="0" w:type="auto"/>
            <w:vAlign w:val="center"/>
            <w:hideMark/>
          </w:tcPr>
          <w:p w14:paraId="3617F2E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Hardware configuration, serving implementation, and upgrade timing remain provider responsibilities.</w:t>
            </w:r>
          </w:p>
        </w:tc>
      </w:tr>
    </w:tbl>
    <w:p w14:paraId="473F3A4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API-centric architectures represent the lowest operational barrier to production AI adoption. They establish many of the architectural patterns explored throughout the remainder of this book while avoiding much of the infrastructure complexity associated with self-managed inference.</w:t>
      </w:r>
    </w:p>
    <w:p w14:paraId="5FAAF427"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6CAFE851">
          <v:rect id="_x0000_i1029" style="width:0;height:1.5pt" o:hralign="center" o:hrstd="t" o:hr="t" fillcolor="#a0a0a0" stroked="f"/>
        </w:pict>
      </w:r>
    </w:p>
    <w:p w14:paraId="3C6577E0"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2.8 Reference Architecture B — Hybrid Enterprise Platform</w:t>
      </w:r>
    </w:p>
    <w:p w14:paraId="1BB4A1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As organizations gain operational experience with AI systems, requirements frequently expand beyond what a purely API-centric architecture can comfortably support. Some workloads demand greater control over deployment, while others continue to benefit from managed services. Certain datasets may require internal processing due to regulatory constraints, whereas publicly available information can be processed through commercial providers without concern.</w:t>
      </w:r>
    </w:p>
    <w:p w14:paraId="7BB5850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These evolving requirements naturally lead toward a </w:t>
      </w:r>
      <w:r w:rsidRPr="009D5944">
        <w:rPr>
          <w:rFonts w:ascii="Times New Roman" w:eastAsia="Times New Roman" w:hAnsi="Times New Roman" w:cs="Times New Roman"/>
          <w:b/>
          <w:bCs/>
          <w:sz w:val="28"/>
          <w:szCs w:val="24"/>
        </w:rPr>
        <w:t>hybrid architecture</w:t>
      </w:r>
      <w:r w:rsidRPr="009D5944">
        <w:rPr>
          <w:rFonts w:ascii="Times New Roman" w:eastAsia="Times New Roman" w:hAnsi="Times New Roman" w:cs="Times New Roman"/>
          <w:sz w:val="28"/>
          <w:szCs w:val="24"/>
        </w:rPr>
        <w:t>.</w:t>
      </w:r>
    </w:p>
    <w:p w14:paraId="7DBD154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hybrid platform combines managed inference services with self-hosted AI infrastructure behind a unified architectural interface. Applications remain unaware of where inference occurs. Instead, platform services determine the appropriate execution environment according to organizational policies, workload characteristics, or operational requirements.</w:t>
      </w:r>
    </w:p>
    <w:p w14:paraId="59E6971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defining characteristic of a hybrid architecture is not the number of deployment environments but the separation between </w:t>
      </w:r>
      <w:r w:rsidRPr="009D5944">
        <w:rPr>
          <w:rFonts w:ascii="Times New Roman" w:eastAsia="Times New Roman" w:hAnsi="Times New Roman" w:cs="Times New Roman"/>
          <w:b/>
          <w:bCs/>
          <w:sz w:val="28"/>
          <w:szCs w:val="24"/>
        </w:rPr>
        <w:t>application logic</w:t>
      </w:r>
      <w:r w:rsidRPr="009D5944">
        <w:rPr>
          <w:rFonts w:ascii="Times New Roman" w:eastAsia="Times New Roman" w:hAnsi="Times New Roman" w:cs="Times New Roman"/>
          <w:sz w:val="28"/>
          <w:szCs w:val="24"/>
        </w:rPr>
        <w:t xml:space="preserve"> and </w:t>
      </w:r>
      <w:r w:rsidRPr="009D5944">
        <w:rPr>
          <w:rFonts w:ascii="Times New Roman" w:eastAsia="Times New Roman" w:hAnsi="Times New Roman" w:cs="Times New Roman"/>
          <w:b/>
          <w:bCs/>
          <w:sz w:val="28"/>
          <w:szCs w:val="24"/>
        </w:rPr>
        <w:t>inference location</w:t>
      </w:r>
      <w:r w:rsidRPr="009D5944">
        <w:rPr>
          <w:rFonts w:ascii="Times New Roman" w:eastAsia="Times New Roman" w:hAnsi="Times New Roman" w:cs="Times New Roman"/>
          <w:sz w:val="28"/>
          <w:szCs w:val="24"/>
        </w:rPr>
        <w:t>.</w:t>
      </w:r>
    </w:p>
    <w:p w14:paraId="7E402EA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a document summarization service may route publicly available documents to a commercial foundation model while directing confidential internal reports toward an open-weight model hosted within organizational infrastructure. A software engineering assistant might rely on commercial reasoning models for complex analysis while executing lightweight completion models locally to minimize latency.</w:t>
      </w:r>
    </w:p>
    <w:p w14:paraId="7F4A341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invoke the same logical platform interface in both cases.</w:t>
      </w:r>
    </w:p>
    <w:p w14:paraId="5CBE94D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separation produces several important engineering benefits.</w:t>
      </w:r>
    </w:p>
    <w:p w14:paraId="1661585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First, organizations avoid committing permanently to a single deployment strategy. New commercial models can be evaluated rapidly without deploying additional infrastructure. Conversely, workloads demonstrating predictable usage patterns </w:t>
      </w:r>
      <w:r w:rsidRPr="009D5944">
        <w:rPr>
          <w:rFonts w:ascii="Times New Roman" w:eastAsia="Times New Roman" w:hAnsi="Times New Roman" w:cs="Times New Roman"/>
          <w:sz w:val="28"/>
          <w:szCs w:val="24"/>
        </w:rPr>
        <w:lastRenderedPageBreak/>
        <w:t>may later migrate to internally hosted inference environments if operational or regulatory considerations justify the additional engineering investment.</w:t>
      </w:r>
    </w:p>
    <w:p w14:paraId="2F86158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Second, hybrid architectures allow infrastructure ownership to evolve gradually.</w:t>
      </w:r>
    </w:p>
    <w:p w14:paraId="45F5EBA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Rather than replacing commercial APIs entirely, organizations incrementally internalize those capabilities where operational advantages outweigh increased maintenance responsibility. The platform therefore evolves continuously instead of through disruptive architectural redesign.</w:t>
      </w:r>
    </w:p>
    <w:p w14:paraId="065D9A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Third, workload specialization becomes possible.</w:t>
      </w:r>
    </w:p>
    <w:p w14:paraId="4FEF2D5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Different inference environments excel under different conditions. Commercial providers frequently deliver rapid access to frontier models and continuously updated capabilities. Self-hosted deployments provide tighter integration with internal infrastructure, deterministic deployment schedules, and greater operational control. Hybrid architectures enable organizations to exploit the strengths of both approaches simultaneously.</w:t>
      </w:r>
    </w:p>
    <w:p w14:paraId="25AA7F4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advantages, however, require additional architectural components.</w:t>
      </w:r>
    </w:p>
    <w:p w14:paraId="18E099A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Requests must be routed intelligently between inference environments.</w:t>
      </w:r>
    </w:p>
    <w:p w14:paraId="7B72BE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Authentication mechanisms must remain consistent.</w:t>
      </w:r>
    </w:p>
    <w:p w14:paraId="7C0169D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Governance policies must apply uniformly regardless of deployment location.</w:t>
      </w:r>
    </w:p>
    <w:p w14:paraId="5D46472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Operational telemetry should present a unified view of platform behavior despite heterogeneous infrastructure.</w:t>
      </w:r>
    </w:p>
    <w:p w14:paraId="6C2397B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Although these responsibilities significantly influence platform design, their implementation belongs to later chapters. Routing strategies are examined in Chapter 6, deployment automation in Chapter 16, observability in Chapter 15, and capacity planning in Chapter 17.</w:t>
      </w:r>
    </w:p>
    <w:p w14:paraId="2C8093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 important engineering principle emerges from hybrid architectures: </w:t>
      </w:r>
      <w:r w:rsidRPr="009D5944">
        <w:rPr>
          <w:rFonts w:ascii="Times New Roman" w:eastAsia="Times New Roman" w:hAnsi="Times New Roman" w:cs="Times New Roman"/>
          <w:b/>
          <w:bCs/>
          <w:sz w:val="28"/>
          <w:szCs w:val="24"/>
        </w:rPr>
        <w:t>heterogeneity should exist within the platform rather than within applications</w:t>
      </w:r>
      <w:r w:rsidRPr="009D5944">
        <w:rPr>
          <w:rFonts w:ascii="Times New Roman" w:eastAsia="Times New Roman" w:hAnsi="Times New Roman" w:cs="Times New Roman"/>
          <w:sz w:val="28"/>
          <w:szCs w:val="24"/>
        </w:rPr>
        <w:t>.</w:t>
      </w:r>
    </w:p>
    <w:p w14:paraId="5B99742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should not contain provider-specific routing logic or deployment-specific business rules. Those responsibilities belong to shared platform services that evolve independently from application software.</w:t>
      </w:r>
    </w:p>
    <w:p w14:paraId="290A4FE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2-7. Advantages and Challenges of Hybrid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4142"/>
        <w:gridCol w:w="3502"/>
      </w:tblGrid>
      <w:tr w:rsidR="009D5944" w:rsidRPr="008652E9" w14:paraId="27EF99B0" w14:textId="77777777" w:rsidTr="008652E9">
        <w:trPr>
          <w:tblHeader/>
          <w:tblCellSpacing w:w="15" w:type="dxa"/>
        </w:trPr>
        <w:tc>
          <w:tcPr>
            <w:tcW w:w="0" w:type="auto"/>
            <w:vAlign w:val="center"/>
            <w:hideMark/>
          </w:tcPr>
          <w:p w14:paraId="0BA8A9F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lastRenderedPageBreak/>
              <w:t>Aspect</w:t>
            </w:r>
          </w:p>
        </w:tc>
        <w:tc>
          <w:tcPr>
            <w:tcW w:w="0" w:type="auto"/>
            <w:vAlign w:val="center"/>
            <w:hideMark/>
          </w:tcPr>
          <w:p w14:paraId="608E0A8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Advantages</w:t>
            </w:r>
          </w:p>
        </w:tc>
        <w:tc>
          <w:tcPr>
            <w:tcW w:w="0" w:type="auto"/>
            <w:vAlign w:val="center"/>
            <w:hideMark/>
          </w:tcPr>
          <w:p w14:paraId="4437B38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Engineering Challenges</w:t>
            </w:r>
          </w:p>
        </w:tc>
      </w:tr>
      <w:tr w:rsidR="009D5944" w:rsidRPr="008652E9" w14:paraId="04E684C1" w14:textId="77777777" w:rsidTr="008652E9">
        <w:trPr>
          <w:tblCellSpacing w:w="15" w:type="dxa"/>
        </w:trPr>
        <w:tc>
          <w:tcPr>
            <w:tcW w:w="0" w:type="auto"/>
            <w:vAlign w:val="center"/>
            <w:hideMark/>
          </w:tcPr>
          <w:p w14:paraId="2DE7C5A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Deployment flexibility</w:t>
            </w:r>
          </w:p>
        </w:tc>
        <w:tc>
          <w:tcPr>
            <w:tcW w:w="0" w:type="auto"/>
            <w:vAlign w:val="center"/>
            <w:hideMark/>
          </w:tcPr>
          <w:p w14:paraId="2F95C9B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Workloads execute in environments appropriate to their technical and regulatory requirements.</w:t>
            </w:r>
          </w:p>
        </w:tc>
        <w:tc>
          <w:tcPr>
            <w:tcW w:w="0" w:type="auto"/>
            <w:vAlign w:val="center"/>
            <w:hideMark/>
          </w:tcPr>
          <w:p w14:paraId="20695B7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Routing policies become more sophisticated.</w:t>
            </w:r>
          </w:p>
        </w:tc>
      </w:tr>
      <w:tr w:rsidR="009D5944" w:rsidRPr="008652E9" w14:paraId="23CB241D" w14:textId="77777777" w:rsidTr="008652E9">
        <w:trPr>
          <w:tblCellSpacing w:w="15" w:type="dxa"/>
        </w:trPr>
        <w:tc>
          <w:tcPr>
            <w:tcW w:w="0" w:type="auto"/>
            <w:vAlign w:val="center"/>
            <w:hideMark/>
          </w:tcPr>
          <w:p w14:paraId="1A7F8D2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Incremental migration</w:t>
            </w:r>
          </w:p>
        </w:tc>
        <w:tc>
          <w:tcPr>
            <w:tcW w:w="0" w:type="auto"/>
            <w:vAlign w:val="center"/>
            <w:hideMark/>
          </w:tcPr>
          <w:p w14:paraId="2A56A4A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Commercial and self-hosted services coexist during platform evolution.</w:t>
            </w:r>
          </w:p>
        </w:tc>
        <w:tc>
          <w:tcPr>
            <w:tcW w:w="0" w:type="auto"/>
            <w:vAlign w:val="center"/>
            <w:hideMark/>
          </w:tcPr>
          <w:p w14:paraId="58F756D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Maintaining compatibility across providers requires architectural discipline.</w:t>
            </w:r>
          </w:p>
        </w:tc>
      </w:tr>
      <w:tr w:rsidR="009D5944" w:rsidRPr="008652E9" w14:paraId="282ECA7B" w14:textId="77777777" w:rsidTr="008652E9">
        <w:trPr>
          <w:tblCellSpacing w:w="15" w:type="dxa"/>
        </w:trPr>
        <w:tc>
          <w:tcPr>
            <w:tcW w:w="0" w:type="auto"/>
            <w:vAlign w:val="center"/>
            <w:hideMark/>
          </w:tcPr>
          <w:p w14:paraId="4335343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Regulatory compliance</w:t>
            </w:r>
          </w:p>
        </w:tc>
        <w:tc>
          <w:tcPr>
            <w:tcW w:w="0" w:type="auto"/>
            <w:vAlign w:val="center"/>
            <w:hideMark/>
          </w:tcPr>
          <w:p w14:paraId="6B2201D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Sensitive workloads remain under organizational control while other workloads use managed services.</w:t>
            </w:r>
          </w:p>
        </w:tc>
        <w:tc>
          <w:tcPr>
            <w:tcW w:w="0" w:type="auto"/>
            <w:vAlign w:val="center"/>
            <w:hideMark/>
          </w:tcPr>
          <w:p w14:paraId="12AD94B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Governance policies must remain consistent across heterogeneous environments.</w:t>
            </w:r>
          </w:p>
        </w:tc>
      </w:tr>
      <w:tr w:rsidR="009D5944" w:rsidRPr="008652E9" w14:paraId="6FD5F342" w14:textId="77777777" w:rsidTr="008652E9">
        <w:trPr>
          <w:tblCellSpacing w:w="15" w:type="dxa"/>
        </w:trPr>
        <w:tc>
          <w:tcPr>
            <w:tcW w:w="0" w:type="auto"/>
            <w:vAlign w:val="center"/>
            <w:hideMark/>
          </w:tcPr>
          <w:p w14:paraId="261AABA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Infrastructure utilization</w:t>
            </w:r>
          </w:p>
        </w:tc>
        <w:tc>
          <w:tcPr>
            <w:tcW w:w="0" w:type="auto"/>
            <w:vAlign w:val="center"/>
            <w:hideMark/>
          </w:tcPr>
          <w:p w14:paraId="6837C66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infrastructure can be reserved for workloads that benefit most from local execution.</w:t>
            </w:r>
          </w:p>
        </w:tc>
        <w:tc>
          <w:tcPr>
            <w:tcW w:w="0" w:type="auto"/>
            <w:vAlign w:val="center"/>
            <w:hideMark/>
          </w:tcPr>
          <w:p w14:paraId="3EC3927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 visibility must span multiple deployment environments.</w:t>
            </w:r>
          </w:p>
        </w:tc>
      </w:tr>
      <w:tr w:rsidR="009D5944" w:rsidRPr="008652E9" w14:paraId="303A59E6" w14:textId="77777777" w:rsidTr="008652E9">
        <w:trPr>
          <w:tblCellSpacing w:w="15" w:type="dxa"/>
        </w:trPr>
        <w:tc>
          <w:tcPr>
            <w:tcW w:w="0" w:type="auto"/>
            <w:vAlign w:val="center"/>
            <w:hideMark/>
          </w:tcPr>
          <w:p w14:paraId="7DE20EA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Technology adoption</w:t>
            </w:r>
          </w:p>
        </w:tc>
        <w:tc>
          <w:tcPr>
            <w:tcW w:w="0" w:type="auto"/>
            <w:vAlign w:val="center"/>
            <w:hideMark/>
          </w:tcPr>
          <w:p w14:paraId="645826C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New providers and models can be evaluated without replacing existing infrastructure.</w:t>
            </w:r>
          </w:p>
        </w:tc>
        <w:tc>
          <w:tcPr>
            <w:tcW w:w="0" w:type="auto"/>
            <w:vAlign w:val="center"/>
            <w:hideMark/>
          </w:tcPr>
          <w:p w14:paraId="24D5917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abstraction becomes increasingly important.</w:t>
            </w:r>
          </w:p>
        </w:tc>
      </w:tr>
    </w:tbl>
    <w:p w14:paraId="499793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architectures have become increasingly common because they align well with enterprise technology evolution. Few organizations transition directly from managed services to complete self-hosting. Instead, they gradually expand platform capabilities while preserving existing applications and operational processes.</w:t>
      </w:r>
    </w:p>
    <w:p w14:paraId="5714222D" w14:textId="77777777" w:rsidR="009D5944" w:rsidRPr="009D5944" w:rsidRDefault="00E02456" w:rsidP="009D5944">
      <w:pPr>
        <w:rPr>
          <w:rFonts w:ascii="Calibri" w:eastAsia="Calibri" w:hAnsi="Calibri" w:cs="Times New Roman"/>
          <w:sz w:val="24"/>
        </w:rPr>
      </w:pPr>
      <w:r>
        <w:rPr>
          <w:rFonts w:ascii="Calibri" w:eastAsia="Calibri" w:hAnsi="Calibri" w:cs="Times New Roman"/>
          <w:sz w:val="24"/>
        </w:rPr>
        <w:pict w14:anchorId="3370559A">
          <v:rect id="_x0000_i1030" style="width:0;height:1.5pt" o:hralign="center" o:hrstd="t" o:hr="t" fillcolor="#a0a0a0" stroked="f"/>
        </w:pict>
      </w:r>
    </w:p>
    <w:p w14:paraId="3A700212"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2.9 Reference Architecture C — Self-Hosted AI Platform</w:t>
      </w:r>
    </w:p>
    <w:p w14:paraId="760C51B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At the opposite end of the deployment spectrum lies the </w:t>
      </w:r>
      <w:r w:rsidRPr="009D5944">
        <w:rPr>
          <w:rFonts w:ascii="Times New Roman" w:eastAsia="Times New Roman" w:hAnsi="Times New Roman" w:cs="Times New Roman"/>
          <w:b/>
          <w:bCs/>
          <w:sz w:val="28"/>
          <w:szCs w:val="24"/>
        </w:rPr>
        <w:t>self-hosted AI platform</w:t>
      </w:r>
      <w:r w:rsidRPr="009D5944">
        <w:rPr>
          <w:rFonts w:ascii="Times New Roman" w:eastAsia="Times New Roman" w:hAnsi="Times New Roman" w:cs="Times New Roman"/>
          <w:sz w:val="28"/>
          <w:szCs w:val="24"/>
        </w:rPr>
        <w:t>, in which the organization assumes responsibility for operating the complete AI infrastructure stack. Models execute entirely within infrastructure under organizational control, and every major platform component—from inference services to networking, storage, gateways, orchestration, and operational tooling—is managed internally.</w:t>
      </w:r>
    </w:p>
    <w:p w14:paraId="51A6D56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architecture represents the highest degree of operational ownership presented in this chapter.</w:t>
      </w:r>
    </w:p>
    <w:p w14:paraId="0854E19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It is also the most frequently misunderstood.</w:t>
      </w:r>
    </w:p>
    <w:p w14:paraId="3B5F91F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Organizations sometimes assume that self-hosting is primarily a mechanism for reducing inference costs or avoiding commercial API pricing. While cost considerations may contribute to the decision, mature organizations rarely adopt self-hosting for that reason alone. Instead, the primary motivations typically include regulatory compliance, deployment control, predictable governance, infrastructure optimization, strategic independence, or sustained high-volume workloads that justify dedicated operational investment.</w:t>
      </w:r>
    </w:p>
    <w:p w14:paraId="5C703D7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a self-hosted architecture, inference services become part of the organization's cloud-native infrastructure.</w:t>
      </w:r>
    </w:p>
    <w:p w14:paraId="58F41FE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Foundation models are deployed using internally managed serving systems.</w:t>
      </w:r>
    </w:p>
    <w:p w14:paraId="2877E66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Accelerator resources are provisioned and scheduled by organizational infrastructure.</w:t>
      </w:r>
    </w:p>
    <w:p w14:paraId="1ACF24A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Networking policies, identity management, storage systems, monitoring, and deployment pipelines integrate directly with existing enterprise platform engineering practices.</w:t>
      </w:r>
    </w:p>
    <w:p w14:paraId="17BE2B0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integration provides substantial architectural flexibility.</w:t>
      </w:r>
    </w:p>
    <w:p w14:paraId="758692B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Model versions can be upgraded according to internal validation procedures rather than provider schedules.</w:t>
      </w:r>
    </w:p>
    <w:p w14:paraId="46B8A15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Inference infrastructure can be optimized for organizational workloads.</w:t>
      </w:r>
    </w:p>
    <w:p w14:paraId="3412A5D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controls become consistent with broader enterprise infrastructure.</w:t>
      </w:r>
    </w:p>
    <w:p w14:paraId="4A708F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Sensitive information remains within organizational administrative boundaries throughout processing.</w:t>
      </w:r>
    </w:p>
    <w:p w14:paraId="5B37772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the same time, operational responsibilities increase dramatically.</w:t>
      </w:r>
    </w:p>
    <w:p w14:paraId="79E2499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organization becomes responsible for hardware lifecycle management, capacity planning, inference optimization, reliability engineering, software upgrades, compatibility testing, vulnerability management, disaster recovery, and operational support.</w:t>
      </w:r>
    </w:p>
    <w:p w14:paraId="792DF1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Many of these responsibilities extend beyond traditional software engineering.</w:t>
      </w:r>
    </w:p>
    <w:p w14:paraId="7294F9F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Serving large language models efficiently requires expertise in accelerator hardware, distributed inference, memory optimization, scheduling algorithms, networking, storage performance, and workload management. Consequently, self-hosted AI platforms typically emerge within organizations possessing mature platform engineering capabilities rather than isolated application teams.</w:t>
      </w:r>
    </w:p>
    <w:p w14:paraId="584702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Another important characteristic of self-hosted platforms is the increasing separation between logical architecture and infrastructure implementation.</w:t>
      </w:r>
    </w:p>
    <w:p w14:paraId="37320D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Applications should remain independent of specific inference engines or deployment technologies. Whether inference is provided by </w:t>
      </w:r>
      <w:proofErr w:type="spellStart"/>
      <w:r w:rsidRPr="009D5944">
        <w:rPr>
          <w:rFonts w:ascii="Times New Roman" w:eastAsia="Times New Roman" w:hAnsi="Times New Roman" w:cs="Times New Roman"/>
          <w:sz w:val="28"/>
          <w:szCs w:val="24"/>
        </w:rPr>
        <w:t>vLLM</w:t>
      </w:r>
      <w:proofErr w:type="spellEnd"/>
      <w:r w:rsidRPr="009D5944">
        <w:rPr>
          <w:rFonts w:ascii="Times New Roman" w:eastAsia="Times New Roman" w:hAnsi="Times New Roman" w:cs="Times New Roman"/>
          <w:sz w:val="28"/>
          <w:szCs w:val="24"/>
        </w:rPr>
        <w:t xml:space="preserve">, </w:t>
      </w:r>
      <w:proofErr w:type="spellStart"/>
      <w:r w:rsidRPr="009D5944">
        <w:rPr>
          <w:rFonts w:ascii="Times New Roman" w:eastAsia="Times New Roman" w:hAnsi="Times New Roman" w:cs="Times New Roman"/>
          <w:sz w:val="28"/>
          <w:szCs w:val="24"/>
        </w:rPr>
        <w:t>TensorRT</w:t>
      </w:r>
      <w:proofErr w:type="spellEnd"/>
      <w:r w:rsidRPr="009D5944">
        <w:rPr>
          <w:rFonts w:ascii="Times New Roman" w:eastAsia="Times New Roman" w:hAnsi="Times New Roman" w:cs="Times New Roman"/>
          <w:sz w:val="28"/>
          <w:szCs w:val="24"/>
        </w:rPr>
        <w:t xml:space="preserve">-LLM, </w:t>
      </w:r>
      <w:proofErr w:type="spellStart"/>
      <w:r w:rsidRPr="009D5944">
        <w:rPr>
          <w:rFonts w:ascii="Times New Roman" w:eastAsia="Times New Roman" w:hAnsi="Times New Roman" w:cs="Times New Roman"/>
          <w:sz w:val="28"/>
          <w:szCs w:val="24"/>
        </w:rPr>
        <w:t>SGLang</w:t>
      </w:r>
      <w:proofErr w:type="spellEnd"/>
      <w:r w:rsidRPr="009D5944">
        <w:rPr>
          <w:rFonts w:ascii="Times New Roman" w:eastAsia="Times New Roman" w:hAnsi="Times New Roman" w:cs="Times New Roman"/>
          <w:sz w:val="28"/>
          <w:szCs w:val="24"/>
        </w:rPr>
        <w:t>, llama.cpp, or future serving systems should remain an infrastructure concern rather than an application dependency. This architectural abstraction preserves flexibility as serving technologies continue to evolve.</w:t>
      </w:r>
    </w:p>
    <w:p w14:paraId="16386EE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Self-hosted platforms also encourage standardization.</w:t>
      </w:r>
    </w:p>
    <w:p w14:paraId="0E024E0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Rather than allowing individual business units to deploy independent inference environments, organizations increasingly establish shared AI platform services supporting multiple applications through common gateways, governance mechanisms, identity providers, and operational tooling. This model resembles internal platform engineering practices already common within cloud-native organizations.</w:t>
      </w:r>
    </w:p>
    <w:p w14:paraId="09786DC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result is an internal AI platform functioning as shared organizational infrastructure rather than a collection of independent machine learning deployments.</w:t>
      </w:r>
    </w:p>
    <w:p w14:paraId="6C17980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2-8. Characteristics of a Self-Hosted AI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072"/>
        <w:gridCol w:w="6283"/>
      </w:tblGrid>
      <w:tr w:rsidR="009D5944" w:rsidRPr="008652E9" w14:paraId="391370E0" w14:textId="77777777" w:rsidTr="008652E9">
        <w:trPr>
          <w:tblHeader/>
          <w:tblCellSpacing w:w="15" w:type="dxa"/>
        </w:trPr>
        <w:tc>
          <w:tcPr>
            <w:tcW w:w="0" w:type="auto"/>
            <w:vAlign w:val="center"/>
            <w:hideMark/>
          </w:tcPr>
          <w:p w14:paraId="6030E5C4"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Characteristic</w:t>
            </w:r>
          </w:p>
        </w:tc>
        <w:tc>
          <w:tcPr>
            <w:tcW w:w="0" w:type="auto"/>
            <w:vAlign w:val="center"/>
            <w:hideMark/>
          </w:tcPr>
          <w:p w14:paraId="4EEB6F23"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Architectural Consequence</w:t>
            </w:r>
          </w:p>
        </w:tc>
      </w:tr>
      <w:tr w:rsidR="009D5944" w:rsidRPr="008652E9" w14:paraId="57C983C5" w14:textId="77777777" w:rsidTr="008652E9">
        <w:trPr>
          <w:tblCellSpacing w:w="15" w:type="dxa"/>
        </w:trPr>
        <w:tc>
          <w:tcPr>
            <w:tcW w:w="0" w:type="auto"/>
            <w:vAlign w:val="center"/>
            <w:hideMark/>
          </w:tcPr>
          <w:p w14:paraId="39DE0F1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 operates complete inference stack</w:t>
            </w:r>
          </w:p>
        </w:tc>
        <w:tc>
          <w:tcPr>
            <w:tcW w:w="0" w:type="auto"/>
            <w:vAlign w:val="center"/>
            <w:hideMark/>
          </w:tcPr>
          <w:p w14:paraId="16F5339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Maximum deployment flexibility and infrastructure ownership.</w:t>
            </w:r>
          </w:p>
        </w:tc>
      </w:tr>
      <w:tr w:rsidR="009D5944" w:rsidRPr="008652E9" w14:paraId="31A33415" w14:textId="77777777" w:rsidTr="008652E9">
        <w:trPr>
          <w:tblCellSpacing w:w="15" w:type="dxa"/>
        </w:trPr>
        <w:tc>
          <w:tcPr>
            <w:tcW w:w="0" w:type="auto"/>
            <w:vAlign w:val="center"/>
            <w:hideMark/>
          </w:tcPr>
          <w:p w14:paraId="68D0FAD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Models execute within enterprise infrastructure</w:t>
            </w:r>
          </w:p>
        </w:tc>
        <w:tc>
          <w:tcPr>
            <w:tcW w:w="0" w:type="auto"/>
            <w:vAlign w:val="center"/>
            <w:hideMark/>
          </w:tcPr>
          <w:p w14:paraId="34335DD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Strong support for regulatory compliance, sovereignty, and internal governance.</w:t>
            </w:r>
          </w:p>
        </w:tc>
      </w:tr>
      <w:tr w:rsidR="009D5944" w:rsidRPr="008652E9" w14:paraId="6E05DEC3" w14:textId="77777777" w:rsidTr="008652E9">
        <w:trPr>
          <w:tblCellSpacing w:w="15" w:type="dxa"/>
        </w:trPr>
        <w:tc>
          <w:tcPr>
            <w:tcW w:w="0" w:type="auto"/>
            <w:vAlign w:val="center"/>
            <w:hideMark/>
          </w:tcPr>
          <w:p w14:paraId="5D11C79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Shared platform services</w:t>
            </w:r>
          </w:p>
        </w:tc>
        <w:tc>
          <w:tcPr>
            <w:tcW w:w="0" w:type="auto"/>
            <w:vAlign w:val="center"/>
            <w:hideMark/>
          </w:tcPr>
          <w:p w14:paraId="0E22F4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Multiple applications consume common AI infrastructure rather than maintaining independent deployments.</w:t>
            </w:r>
          </w:p>
        </w:tc>
      </w:tr>
      <w:tr w:rsidR="009D5944" w:rsidRPr="008652E9" w14:paraId="08EE71FB" w14:textId="77777777" w:rsidTr="008652E9">
        <w:trPr>
          <w:tblCellSpacing w:w="15" w:type="dxa"/>
        </w:trPr>
        <w:tc>
          <w:tcPr>
            <w:tcW w:w="0" w:type="auto"/>
            <w:vAlign w:val="center"/>
            <w:hideMark/>
          </w:tcPr>
          <w:p w14:paraId="723FE18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lifecycle management</w:t>
            </w:r>
          </w:p>
        </w:tc>
        <w:tc>
          <w:tcPr>
            <w:tcW w:w="0" w:type="auto"/>
            <w:vAlign w:val="center"/>
            <w:hideMark/>
          </w:tcPr>
          <w:p w14:paraId="17BB566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control upgrades, validation, rollback, and release timing.</w:t>
            </w:r>
          </w:p>
        </w:tc>
      </w:tr>
      <w:tr w:rsidR="009D5944" w:rsidRPr="008652E9" w14:paraId="473E764E" w14:textId="77777777" w:rsidTr="008652E9">
        <w:trPr>
          <w:tblCellSpacing w:w="15" w:type="dxa"/>
        </w:trPr>
        <w:tc>
          <w:tcPr>
            <w:tcW w:w="0" w:type="auto"/>
            <w:vAlign w:val="center"/>
            <w:hideMark/>
          </w:tcPr>
          <w:p w14:paraId="3E9765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Specialized operational expertise required</w:t>
            </w:r>
          </w:p>
        </w:tc>
        <w:tc>
          <w:tcPr>
            <w:tcW w:w="0" w:type="auto"/>
            <w:vAlign w:val="center"/>
            <w:hideMark/>
          </w:tcPr>
          <w:p w14:paraId="511900B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engineering extends into accelerator infrastructure, serving optimization, and distributed systems.</w:t>
            </w:r>
          </w:p>
        </w:tc>
      </w:tr>
      <w:tr w:rsidR="009D5944" w:rsidRPr="008652E9" w14:paraId="2B48B1D4" w14:textId="77777777" w:rsidTr="008652E9">
        <w:trPr>
          <w:tblCellSpacing w:w="15" w:type="dxa"/>
        </w:trPr>
        <w:tc>
          <w:tcPr>
            <w:tcW w:w="0" w:type="auto"/>
            <w:vAlign w:val="center"/>
            <w:hideMark/>
          </w:tcPr>
          <w:p w14:paraId="424D5CC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High architectural flexibility</w:t>
            </w:r>
          </w:p>
        </w:tc>
        <w:tc>
          <w:tcPr>
            <w:tcW w:w="0" w:type="auto"/>
            <w:vAlign w:val="center"/>
            <w:hideMark/>
          </w:tcPr>
          <w:p w14:paraId="2CED6BA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Components can be optimized and integrated according to organizational priorities rather than provider capabilities.</w:t>
            </w:r>
          </w:p>
        </w:tc>
      </w:tr>
    </w:tbl>
    <w:p w14:paraId="1EDACDA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important to emphasize that self-hosting should not be interpreted as the inevitable destination for every AI platform. For many organizations, managed or hybrid deployments remain more appropriate throughout the lifetime of the </w:t>
      </w:r>
      <w:r w:rsidRPr="009D5944">
        <w:rPr>
          <w:rFonts w:ascii="Times New Roman" w:eastAsia="Times New Roman" w:hAnsi="Times New Roman" w:cs="Times New Roman"/>
          <w:sz w:val="28"/>
          <w:szCs w:val="24"/>
        </w:rPr>
        <w:lastRenderedPageBreak/>
        <w:t>platform. Self-hosting becomes advantageous only when its additional operational responsibilities are justified by corresponding business, regulatory, or technical requirements.</w:t>
      </w:r>
    </w:p>
    <w:p w14:paraId="4B10965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next section expands this progression by examining architectures that intentionally span multiple AI providers, enabling organizations to optimize workloads across heterogeneous model ecosystems while reducing dependence on any single vendor.</w:t>
      </w:r>
    </w:p>
    <w:p w14:paraId="5664B8E2"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2.10 Reference Architecture D — Multi-Provider AI Platform</w:t>
      </w:r>
    </w:p>
    <w:p w14:paraId="7115AD2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One of the most significant architectural trends in enterprise AI over the past several years has been the movement away from exclusive dependence on a single model provider. Early generative AI applications were often tightly coupled to one commercial API because only a small number of frontier models were widely available. As the ecosystem matured, organizations increasingly recognized that no individual provider consistently offers the best solution across every workload, geographic region, pricing model, or regulatory environment.</w:t>
      </w:r>
    </w:p>
    <w:p w14:paraId="67A0EFC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Consequently, many production AI platforms now adopt </w:t>
      </w:r>
      <w:r w:rsidRPr="009D5944">
        <w:rPr>
          <w:rFonts w:ascii="Times New Roman" w:eastAsia="Times New Roman" w:hAnsi="Times New Roman" w:cs="Times New Roman"/>
          <w:b/>
          <w:bCs/>
          <w:sz w:val="28"/>
          <w:szCs w:val="24"/>
        </w:rPr>
        <w:t>multi-provider architectures</w:t>
      </w:r>
      <w:r w:rsidRPr="009D5944">
        <w:rPr>
          <w:rFonts w:ascii="Times New Roman" w:eastAsia="Times New Roman" w:hAnsi="Times New Roman" w:cs="Times New Roman"/>
          <w:sz w:val="28"/>
          <w:szCs w:val="24"/>
        </w:rPr>
        <w:t>.</w:t>
      </w:r>
    </w:p>
    <w:p w14:paraId="241BCF7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a multi-provider platform, applications communicate with an internal platform interface rather than directly with individual model providers. The platform determines which inference backend should process each request according to organizational policies and technical requirements.</w:t>
      </w:r>
    </w:p>
    <w:p w14:paraId="59F282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Unlike the hybrid architecture discussed previously, the defining characteristic here is </w:t>
      </w:r>
      <w:r w:rsidRPr="009D5944">
        <w:rPr>
          <w:rFonts w:ascii="Times New Roman" w:eastAsia="Times New Roman" w:hAnsi="Times New Roman" w:cs="Times New Roman"/>
          <w:b/>
          <w:bCs/>
          <w:sz w:val="28"/>
          <w:szCs w:val="24"/>
        </w:rPr>
        <w:t>provider diversity rather than deployment diversity</w:t>
      </w:r>
      <w:r w:rsidRPr="009D5944">
        <w:rPr>
          <w:rFonts w:ascii="Times New Roman" w:eastAsia="Times New Roman" w:hAnsi="Times New Roman" w:cs="Times New Roman"/>
          <w:sz w:val="28"/>
          <w:szCs w:val="24"/>
        </w:rPr>
        <w:t>. A multi-provider platform may use only commercial APIs, only self-hosted models, or a combination of both. What distinguishes the architecture is that provider selection becomes an internal platform concern rather than an application responsibility.</w:t>
      </w:r>
    </w:p>
    <w:p w14:paraId="4780E35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Several factors motivate this architectural approach.</w:t>
      </w:r>
    </w:p>
    <w:p w14:paraId="369F20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first is </w:t>
      </w:r>
      <w:r w:rsidRPr="009D5944">
        <w:rPr>
          <w:rFonts w:ascii="Times New Roman" w:eastAsia="Times New Roman" w:hAnsi="Times New Roman" w:cs="Times New Roman"/>
          <w:b/>
          <w:bCs/>
          <w:sz w:val="28"/>
          <w:szCs w:val="24"/>
        </w:rPr>
        <w:t>capability specialization</w:t>
      </w:r>
      <w:r w:rsidRPr="009D5944">
        <w:rPr>
          <w:rFonts w:ascii="Times New Roman" w:eastAsia="Times New Roman" w:hAnsi="Times New Roman" w:cs="Times New Roman"/>
          <w:sz w:val="28"/>
          <w:szCs w:val="24"/>
        </w:rPr>
        <w:t>. Foundation models increasingly exhibit different strengths. Some perform exceptionally well on complex reasoning tasks, others are optimized for software engineering, multimodal understanding, structured output generation, long-context processing, or low-latency interactive applications. Selecting the most appropriate model for each workload frequently produces better overall platform performance than standardizing on a single provider.</w:t>
      </w:r>
    </w:p>
    <w:p w14:paraId="11B3A30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A second motivation is </w:t>
      </w:r>
      <w:r w:rsidRPr="009D5944">
        <w:rPr>
          <w:rFonts w:ascii="Times New Roman" w:eastAsia="Times New Roman" w:hAnsi="Times New Roman" w:cs="Times New Roman"/>
          <w:b/>
          <w:bCs/>
          <w:sz w:val="28"/>
          <w:szCs w:val="24"/>
        </w:rPr>
        <w:t>operational resilience</w:t>
      </w:r>
      <w:r w:rsidRPr="009D5944">
        <w:rPr>
          <w:rFonts w:ascii="Times New Roman" w:eastAsia="Times New Roman" w:hAnsi="Times New Roman" w:cs="Times New Roman"/>
          <w:sz w:val="28"/>
          <w:szCs w:val="24"/>
        </w:rPr>
        <w:t>.</w:t>
      </w:r>
    </w:p>
    <w:p w14:paraId="3381CB3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Like any distributed service, AI providers may experience regional outages, degraded performance, temporary capacity constraints, or API changes. Architectures capable of routing requests to alternative providers reduce operational risk by avoiding single-provider dependencies. Such redundancy should not be viewed merely as disaster recovery; it also supports planned migrations, provider maintenance, and incremental platform evolution.</w:t>
      </w:r>
    </w:p>
    <w:p w14:paraId="155CB82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Commercial considerations likewise encourage provider diversity. Pricing structures differ considerably across providers and evolve continuously. Organizations operating large-scale AI workloads may periodically adjust routing strategies in response to changing economic conditions, contractual agreements, or infrastructure investments.</w:t>
      </w:r>
    </w:p>
    <w:p w14:paraId="211136C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Regulatory requirements provide another motivation. Certain providers may offer regional deployments satisfying specific jurisdictional requirements, while others may not. Multi-provider architectures allow organizations to satisfy regional policies without requiring independent application implementations.</w:t>
      </w:r>
    </w:p>
    <w:p w14:paraId="2C6EB01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benefits are accompanied by increased architectural complexity.</w:t>
      </w:r>
    </w:p>
    <w:p w14:paraId="2D65D5E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Provider abstraction requires careful interface design because models expose different capabilities, context limits, streaming mechanisms, structured output formats, safety controls, and authentication models. A platform that simply exposes the lowest common denominator sacrifices useful functionality. Conversely, exposing every provider-specific capability directly to applications undermines the objective of abstraction.</w:t>
      </w:r>
    </w:p>
    <w:p w14:paraId="36CC6C5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Successful platforms therefore distinguish between </w:t>
      </w:r>
      <w:r w:rsidRPr="009D5944">
        <w:rPr>
          <w:rFonts w:ascii="Times New Roman" w:eastAsia="Times New Roman" w:hAnsi="Times New Roman" w:cs="Times New Roman"/>
          <w:b/>
          <w:bCs/>
          <w:sz w:val="28"/>
          <w:szCs w:val="24"/>
        </w:rPr>
        <w:t>standard platform capabilities</w:t>
      </w:r>
      <w:r w:rsidRPr="009D5944">
        <w:rPr>
          <w:rFonts w:ascii="Times New Roman" w:eastAsia="Times New Roman" w:hAnsi="Times New Roman" w:cs="Times New Roman"/>
          <w:sz w:val="28"/>
          <w:szCs w:val="24"/>
        </w:rPr>
        <w:t xml:space="preserve">, which remain provider-independent, and </w:t>
      </w:r>
      <w:r w:rsidRPr="009D5944">
        <w:rPr>
          <w:rFonts w:ascii="Times New Roman" w:eastAsia="Times New Roman" w:hAnsi="Times New Roman" w:cs="Times New Roman"/>
          <w:b/>
          <w:bCs/>
          <w:sz w:val="28"/>
          <w:szCs w:val="24"/>
        </w:rPr>
        <w:t>provider-specific extensions</w:t>
      </w:r>
      <w:r w:rsidRPr="009D5944">
        <w:rPr>
          <w:rFonts w:ascii="Times New Roman" w:eastAsia="Times New Roman" w:hAnsi="Times New Roman" w:cs="Times New Roman"/>
          <w:sz w:val="28"/>
          <w:szCs w:val="24"/>
        </w:rPr>
        <w:t>, which are deliberately isolated.</w:t>
      </w:r>
    </w:p>
    <w:p w14:paraId="5B661D6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Routing decisions likewise become more sophisticated. Requests may be directed according to latency objectives, model capability, regulatory policies, regional availability, or service health. In many organizations these routing policies evolve independently of application software, allowing infrastructure teams to optimize platform behavior without modifying business applications.</w:t>
      </w:r>
    </w:p>
    <w:p w14:paraId="7781D3C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implementation of routing mechanisms, policy engines, retries, traffic shaping, and failover strategies is intentionally deferred until Chapter 6. At the architectural level, the important principle is that </w:t>
      </w:r>
      <w:r w:rsidRPr="009D5944">
        <w:rPr>
          <w:rFonts w:ascii="Times New Roman" w:eastAsia="Times New Roman" w:hAnsi="Times New Roman" w:cs="Times New Roman"/>
          <w:b/>
          <w:bCs/>
          <w:sz w:val="28"/>
          <w:szCs w:val="24"/>
        </w:rPr>
        <w:t>provider diversity becomes a platform capability rather than an application concern</w:t>
      </w:r>
      <w:r w:rsidRPr="009D5944">
        <w:rPr>
          <w:rFonts w:ascii="Times New Roman" w:eastAsia="Times New Roman" w:hAnsi="Times New Roman" w:cs="Times New Roman"/>
          <w:sz w:val="28"/>
          <w:szCs w:val="24"/>
        </w:rPr>
        <w:t>.</w:t>
      </w:r>
    </w:p>
    <w:p w14:paraId="4AA736D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2-9. Typical Motivations for Multi-Provider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720"/>
        <w:gridCol w:w="3524"/>
      </w:tblGrid>
      <w:tr w:rsidR="009D5944" w:rsidRPr="008652E9" w14:paraId="58C6263D" w14:textId="77777777" w:rsidTr="008652E9">
        <w:trPr>
          <w:tblHeader/>
          <w:tblCellSpacing w:w="15" w:type="dxa"/>
        </w:trPr>
        <w:tc>
          <w:tcPr>
            <w:tcW w:w="0" w:type="auto"/>
            <w:vAlign w:val="center"/>
            <w:hideMark/>
          </w:tcPr>
          <w:p w14:paraId="0BEFA828"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lastRenderedPageBreak/>
              <w:t>Motivation</w:t>
            </w:r>
          </w:p>
        </w:tc>
        <w:tc>
          <w:tcPr>
            <w:tcW w:w="0" w:type="auto"/>
            <w:vAlign w:val="center"/>
            <w:hideMark/>
          </w:tcPr>
          <w:p w14:paraId="0412B60A"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Architectural Benefit</w:t>
            </w:r>
          </w:p>
        </w:tc>
        <w:tc>
          <w:tcPr>
            <w:tcW w:w="0" w:type="auto"/>
            <w:vAlign w:val="center"/>
            <w:hideMark/>
          </w:tcPr>
          <w:p w14:paraId="5CDE5740"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Operational Considerations</w:t>
            </w:r>
          </w:p>
        </w:tc>
      </w:tr>
      <w:tr w:rsidR="009D5944" w:rsidRPr="008652E9" w14:paraId="08870A42" w14:textId="77777777" w:rsidTr="008652E9">
        <w:trPr>
          <w:tblCellSpacing w:w="15" w:type="dxa"/>
        </w:trPr>
        <w:tc>
          <w:tcPr>
            <w:tcW w:w="0" w:type="auto"/>
            <w:vAlign w:val="center"/>
            <w:hideMark/>
          </w:tcPr>
          <w:p w14:paraId="44B5D2E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Capability specialization</w:t>
            </w:r>
          </w:p>
        </w:tc>
        <w:tc>
          <w:tcPr>
            <w:tcW w:w="0" w:type="auto"/>
            <w:vAlign w:val="center"/>
            <w:hideMark/>
          </w:tcPr>
          <w:p w14:paraId="0E6861C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Different workloads use providers best suited to their characteristics.</w:t>
            </w:r>
          </w:p>
        </w:tc>
        <w:tc>
          <w:tcPr>
            <w:tcW w:w="0" w:type="auto"/>
            <w:vAlign w:val="center"/>
            <w:hideMark/>
          </w:tcPr>
          <w:p w14:paraId="557BC6D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Requires consistent evaluation methodology across providers.</w:t>
            </w:r>
          </w:p>
        </w:tc>
      </w:tr>
      <w:tr w:rsidR="009D5944" w:rsidRPr="008652E9" w14:paraId="10700E56" w14:textId="77777777" w:rsidTr="008652E9">
        <w:trPr>
          <w:tblCellSpacing w:w="15" w:type="dxa"/>
        </w:trPr>
        <w:tc>
          <w:tcPr>
            <w:tcW w:w="0" w:type="auto"/>
            <w:vAlign w:val="center"/>
            <w:hideMark/>
          </w:tcPr>
          <w:p w14:paraId="3FA140A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Operational resilience</w:t>
            </w:r>
          </w:p>
        </w:tc>
        <w:tc>
          <w:tcPr>
            <w:tcW w:w="0" w:type="auto"/>
            <w:vAlign w:val="center"/>
            <w:hideMark/>
          </w:tcPr>
          <w:p w14:paraId="2839DC6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Reduces dependence on individual provider availability.</w:t>
            </w:r>
          </w:p>
        </w:tc>
        <w:tc>
          <w:tcPr>
            <w:tcW w:w="0" w:type="auto"/>
            <w:vAlign w:val="center"/>
            <w:hideMark/>
          </w:tcPr>
          <w:p w14:paraId="4EC9027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Routing and failover mechanisms increase platform complexity.</w:t>
            </w:r>
          </w:p>
        </w:tc>
      </w:tr>
      <w:tr w:rsidR="009D5944" w:rsidRPr="008652E9" w14:paraId="46C5888A" w14:textId="77777777" w:rsidTr="008652E9">
        <w:trPr>
          <w:tblCellSpacing w:w="15" w:type="dxa"/>
        </w:trPr>
        <w:tc>
          <w:tcPr>
            <w:tcW w:w="0" w:type="auto"/>
            <w:vAlign w:val="center"/>
            <w:hideMark/>
          </w:tcPr>
          <w:p w14:paraId="35E2A5D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Commercial flexibility</w:t>
            </w:r>
          </w:p>
        </w:tc>
        <w:tc>
          <w:tcPr>
            <w:tcW w:w="0" w:type="auto"/>
            <w:vAlign w:val="center"/>
            <w:hideMark/>
          </w:tcPr>
          <w:p w14:paraId="53006C6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Organizations can adapt to changing pricing and contractual arrangements.</w:t>
            </w:r>
          </w:p>
        </w:tc>
        <w:tc>
          <w:tcPr>
            <w:tcW w:w="0" w:type="auto"/>
            <w:vAlign w:val="center"/>
            <w:hideMark/>
          </w:tcPr>
          <w:p w14:paraId="524BF36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Governance policies should prevent uncontrolled routing behavior.</w:t>
            </w:r>
          </w:p>
        </w:tc>
      </w:tr>
      <w:tr w:rsidR="009D5944" w:rsidRPr="008652E9" w14:paraId="1332FB94" w14:textId="77777777" w:rsidTr="008652E9">
        <w:trPr>
          <w:tblCellSpacing w:w="15" w:type="dxa"/>
        </w:trPr>
        <w:tc>
          <w:tcPr>
            <w:tcW w:w="0" w:type="auto"/>
            <w:vAlign w:val="center"/>
            <w:hideMark/>
          </w:tcPr>
          <w:p w14:paraId="2313F2F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Regulatory compliance</w:t>
            </w:r>
          </w:p>
        </w:tc>
        <w:tc>
          <w:tcPr>
            <w:tcW w:w="0" w:type="auto"/>
            <w:vAlign w:val="center"/>
            <w:hideMark/>
          </w:tcPr>
          <w:p w14:paraId="4F5CEFF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Workloads may be directed to providers satisfying regional requirements.</w:t>
            </w:r>
          </w:p>
        </w:tc>
        <w:tc>
          <w:tcPr>
            <w:tcW w:w="0" w:type="auto"/>
            <w:vAlign w:val="center"/>
            <w:hideMark/>
          </w:tcPr>
          <w:p w14:paraId="3B6E580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Geographic routing policies must remain transparent and auditable.</w:t>
            </w:r>
          </w:p>
        </w:tc>
      </w:tr>
      <w:tr w:rsidR="009D5944" w:rsidRPr="008652E9" w14:paraId="7993B8C1" w14:textId="77777777" w:rsidTr="008652E9">
        <w:trPr>
          <w:tblCellSpacing w:w="15" w:type="dxa"/>
        </w:trPr>
        <w:tc>
          <w:tcPr>
            <w:tcW w:w="0" w:type="auto"/>
            <w:vAlign w:val="center"/>
            <w:hideMark/>
          </w:tcPr>
          <w:p w14:paraId="25EA0EB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Incremental technology adoption</w:t>
            </w:r>
          </w:p>
        </w:tc>
        <w:tc>
          <w:tcPr>
            <w:tcW w:w="0" w:type="auto"/>
            <w:vAlign w:val="center"/>
            <w:hideMark/>
          </w:tcPr>
          <w:p w14:paraId="1F446EC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New providers can be introduced without application redesign.</w:t>
            </w:r>
          </w:p>
        </w:tc>
        <w:tc>
          <w:tcPr>
            <w:tcW w:w="0" w:type="auto"/>
            <w:vAlign w:val="center"/>
            <w:hideMark/>
          </w:tcPr>
          <w:p w14:paraId="1F5ACDB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Provider abstraction layers require continuous maintenance.</w:t>
            </w:r>
          </w:p>
        </w:tc>
      </w:tr>
    </w:tbl>
    <w:p w14:paraId="3323AFF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multi-provider architecture illustrates one of the central themes of this book: modern AI platforms increasingly resemble mature distributed systems. Their value derives not from exclusive dependence on a particular technology but from the ability to integrate, govern, and evolve multiple technologies over time.</w:t>
      </w:r>
    </w:p>
    <w:p w14:paraId="7B214C59" w14:textId="77777777" w:rsidR="009D5944" w:rsidRPr="009D5944" w:rsidRDefault="00E02456"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790B741">
          <v:rect id="_x0000_i1031" style="width:0;height:1.5pt" o:hralign="center" o:hrstd="t" o:hr="t" fillcolor="#a0a0a0" stroked="f"/>
        </w:pict>
      </w:r>
    </w:p>
    <w:p w14:paraId="477ADB15"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2.11 Architectural Trade-offs</w:t>
      </w:r>
    </w:p>
    <w:p w14:paraId="4F338C1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reference architectures presented in the preceding sections demonstrate that AI platform design rarely involves choosing between "correct" and "incorrect" solutions. Instead, architects continually balance competing objectives whose relative importance varies across organizations.</w:t>
      </w:r>
    </w:p>
    <w:p w14:paraId="0791676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Every architectural decision improves some characteristics while constraining others.</w:t>
      </w:r>
    </w:p>
    <w:p w14:paraId="7038C49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Understanding these trade-offs is considerably more valuable than memorizing preferred technology stacks because the underlying engineering principles remain applicable even as individual products evolve.</w:t>
      </w:r>
    </w:p>
    <w:p w14:paraId="4CDABD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One of the most visible trade-offs concerns </w:t>
      </w:r>
      <w:r w:rsidRPr="009D5944">
        <w:rPr>
          <w:rFonts w:ascii="Times New Roman" w:eastAsia="Times New Roman" w:hAnsi="Times New Roman" w:cs="Times New Roman"/>
          <w:b/>
          <w:bCs/>
          <w:sz w:val="28"/>
          <w:szCs w:val="24"/>
        </w:rPr>
        <w:t>operational control versus operational responsibility</w:t>
      </w:r>
      <w:r w:rsidRPr="009D5944">
        <w:rPr>
          <w:rFonts w:ascii="Times New Roman" w:eastAsia="Times New Roman" w:hAnsi="Times New Roman" w:cs="Times New Roman"/>
          <w:sz w:val="28"/>
          <w:szCs w:val="24"/>
        </w:rPr>
        <w:t>.</w:t>
      </w:r>
    </w:p>
    <w:p w14:paraId="7EA2FAD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Managed AI services reduce infrastructure complexity by transferring responsibility for inference, scaling, hardware lifecycle management, and model deployment to external providers. Self-hosted platforms provide substantially greater flexibility but require corresponding investment in platform engineering, operational expertise, and infrastructure management. Neither approach is universally preferable because the optimal balance depends upon organizational priorities.</w:t>
      </w:r>
    </w:p>
    <w:p w14:paraId="4D7E9D1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Another recurring trade-off involves </w:t>
      </w:r>
      <w:r w:rsidRPr="009D5944">
        <w:rPr>
          <w:rFonts w:ascii="Times New Roman" w:eastAsia="Times New Roman" w:hAnsi="Times New Roman" w:cs="Times New Roman"/>
          <w:b/>
          <w:bCs/>
          <w:sz w:val="28"/>
          <w:szCs w:val="24"/>
        </w:rPr>
        <w:t>architectural flexibility versus implementation simplicity</w:t>
      </w:r>
      <w:r w:rsidRPr="009D5944">
        <w:rPr>
          <w:rFonts w:ascii="Times New Roman" w:eastAsia="Times New Roman" w:hAnsi="Times New Roman" w:cs="Times New Roman"/>
          <w:sz w:val="28"/>
          <w:szCs w:val="24"/>
        </w:rPr>
        <w:t>.</w:t>
      </w:r>
    </w:p>
    <w:p w14:paraId="0D5D6D2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Supporting multiple providers, deployment environments, or inference engines increases long-term adaptability while introducing additional abstraction layers and operational coordination. Organizations expecting rapid technological evolution often benefit from this flexibility, whereas narrowly scoped applications may reasonably prioritize simpler architectures.</w:t>
      </w:r>
    </w:p>
    <w:p w14:paraId="5432077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Performance introduces additional considerations.</w:t>
      </w:r>
    </w:p>
    <w:p w14:paraId="1E54B8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Direct integration with a single inference provider may minimize latency by reducing intermediate platform layers. Conversely, centralized gateways and routing services simplify governance, provider abstraction, and policy enforcement while introducing modest additional processing overhead. In most enterprise environments, the resulting architectural consistency outweighs the relatively small increase in request latency.</w:t>
      </w:r>
    </w:p>
    <w:p w14:paraId="3329367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and governance frequently interact with deployment flexibility.</w:t>
      </w:r>
    </w:p>
    <w:p w14:paraId="4F1B30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Keeping inference within organizational infrastructure simplifies certain regulatory requirements while increasing operational responsibilities. Managed services may accelerate adoption but require careful evaluation of data handling practices, contractual obligations, regional availability, and compliance controls.</w:t>
      </w:r>
    </w:p>
    <w:p w14:paraId="61242E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Organizational capability should also be viewed as an architectural constraint.</w:t>
      </w:r>
    </w:p>
    <w:p w14:paraId="44132B8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technically sophisticated platform requiring continuous GPU optimization, distributed inference expertise, and advanced operational engineering may perform exceptionally well in one organization while proving unsustainable in another with different staffing or operational priorities. Successful architecture reflects organizational capability as much as technological possibility.</w:t>
      </w:r>
    </w:p>
    <w:p w14:paraId="2E7ABFE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 equally important trade-off concerns </w:t>
      </w:r>
      <w:r w:rsidRPr="009D5944">
        <w:rPr>
          <w:rFonts w:ascii="Times New Roman" w:eastAsia="Times New Roman" w:hAnsi="Times New Roman" w:cs="Times New Roman"/>
          <w:b/>
          <w:bCs/>
          <w:sz w:val="28"/>
          <w:szCs w:val="24"/>
        </w:rPr>
        <w:t>present optimization versus future adaptability</w:t>
      </w:r>
      <w:r w:rsidRPr="009D5944">
        <w:rPr>
          <w:rFonts w:ascii="Times New Roman" w:eastAsia="Times New Roman" w:hAnsi="Times New Roman" w:cs="Times New Roman"/>
          <w:sz w:val="28"/>
          <w:szCs w:val="24"/>
        </w:rPr>
        <w:t>.</w:t>
      </w:r>
    </w:p>
    <w:p w14:paraId="3620C82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Architectures tightly optimized for current technologies often become difficult to evolve. Conversely, excessive abstraction may introduce unnecessary complexity before it becomes justified. Platform engineers must therefore anticipate technological change without designing speculative infrastructure for hypothetical future requirements.</w:t>
      </w:r>
    </w:p>
    <w:p w14:paraId="22AC363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objective is not maximal abstraction but </w:t>
      </w:r>
      <w:r w:rsidRPr="009D5944">
        <w:rPr>
          <w:rFonts w:ascii="Times New Roman" w:eastAsia="Times New Roman" w:hAnsi="Times New Roman" w:cs="Times New Roman"/>
          <w:b/>
          <w:bCs/>
          <w:sz w:val="28"/>
          <w:szCs w:val="24"/>
        </w:rPr>
        <w:t>appropriate abstraction</w:t>
      </w:r>
      <w:r w:rsidRPr="009D5944">
        <w:rPr>
          <w:rFonts w:ascii="Times New Roman" w:eastAsia="Times New Roman" w:hAnsi="Times New Roman" w:cs="Times New Roman"/>
          <w:sz w:val="28"/>
          <w:szCs w:val="24"/>
        </w:rPr>
        <w:t>.</w:t>
      </w:r>
    </w:p>
    <w:p w14:paraId="43A8F44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2-10. Common Architectural Trade-offs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2860"/>
        <w:gridCol w:w="2371"/>
        <w:gridCol w:w="2415"/>
      </w:tblGrid>
      <w:tr w:rsidR="009D5944" w:rsidRPr="008652E9" w14:paraId="29F47864" w14:textId="77777777" w:rsidTr="008652E9">
        <w:trPr>
          <w:tblHeader/>
          <w:tblCellSpacing w:w="15" w:type="dxa"/>
        </w:trPr>
        <w:tc>
          <w:tcPr>
            <w:tcW w:w="0" w:type="auto"/>
            <w:vAlign w:val="center"/>
            <w:hideMark/>
          </w:tcPr>
          <w:p w14:paraId="43B15F1A"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lastRenderedPageBreak/>
              <w:t>Engineering Objective</w:t>
            </w:r>
          </w:p>
        </w:tc>
        <w:tc>
          <w:tcPr>
            <w:tcW w:w="0" w:type="auto"/>
            <w:vAlign w:val="center"/>
            <w:hideMark/>
          </w:tcPr>
          <w:p w14:paraId="069A5193"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Benefits</w:t>
            </w:r>
          </w:p>
        </w:tc>
        <w:tc>
          <w:tcPr>
            <w:tcW w:w="0" w:type="auto"/>
            <w:vAlign w:val="center"/>
            <w:hideMark/>
          </w:tcPr>
          <w:p w14:paraId="693821CF"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Potential Costs</w:t>
            </w:r>
          </w:p>
        </w:tc>
        <w:tc>
          <w:tcPr>
            <w:tcW w:w="0" w:type="auto"/>
            <w:vAlign w:val="center"/>
            <w:hideMark/>
          </w:tcPr>
          <w:p w14:paraId="2975DEE3"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Typical Architectural Response</w:t>
            </w:r>
          </w:p>
        </w:tc>
      </w:tr>
      <w:tr w:rsidR="009D5944" w:rsidRPr="008652E9" w14:paraId="09642B18" w14:textId="77777777" w:rsidTr="008652E9">
        <w:trPr>
          <w:tblCellSpacing w:w="15" w:type="dxa"/>
        </w:trPr>
        <w:tc>
          <w:tcPr>
            <w:tcW w:w="0" w:type="auto"/>
            <w:vAlign w:val="center"/>
            <w:hideMark/>
          </w:tcPr>
          <w:p w14:paraId="22BB6A9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Maximum operational control</w:t>
            </w:r>
          </w:p>
        </w:tc>
        <w:tc>
          <w:tcPr>
            <w:tcW w:w="0" w:type="auto"/>
            <w:vAlign w:val="center"/>
            <w:hideMark/>
          </w:tcPr>
          <w:p w14:paraId="0AF43F8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Full deployment flexibility, infrastructure optimization, regulatory independence</w:t>
            </w:r>
          </w:p>
        </w:tc>
        <w:tc>
          <w:tcPr>
            <w:tcW w:w="0" w:type="auto"/>
            <w:vAlign w:val="center"/>
            <w:hideMark/>
          </w:tcPr>
          <w:p w14:paraId="5734F0E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Greater engineering investment and operational complexity</w:t>
            </w:r>
          </w:p>
        </w:tc>
        <w:tc>
          <w:tcPr>
            <w:tcW w:w="0" w:type="auto"/>
            <w:vAlign w:val="center"/>
            <w:hideMark/>
          </w:tcPr>
          <w:p w14:paraId="2509F0B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Self-hosted or hybrid architectures</w:t>
            </w:r>
          </w:p>
        </w:tc>
      </w:tr>
      <w:tr w:rsidR="009D5944" w:rsidRPr="008652E9" w14:paraId="22EF50EE" w14:textId="77777777" w:rsidTr="008652E9">
        <w:trPr>
          <w:tblCellSpacing w:w="15" w:type="dxa"/>
        </w:trPr>
        <w:tc>
          <w:tcPr>
            <w:tcW w:w="0" w:type="auto"/>
            <w:vAlign w:val="center"/>
            <w:hideMark/>
          </w:tcPr>
          <w:p w14:paraId="62D5FB4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Minimal operational overhead</w:t>
            </w:r>
          </w:p>
        </w:tc>
        <w:tc>
          <w:tcPr>
            <w:tcW w:w="0" w:type="auto"/>
            <w:vAlign w:val="center"/>
            <w:hideMark/>
          </w:tcPr>
          <w:p w14:paraId="4616B30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Rapid adoption, simplified operations, reduced infrastructure ownership</w:t>
            </w:r>
          </w:p>
        </w:tc>
        <w:tc>
          <w:tcPr>
            <w:tcW w:w="0" w:type="auto"/>
            <w:vAlign w:val="center"/>
            <w:hideMark/>
          </w:tcPr>
          <w:p w14:paraId="6FDF0F9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Provider dependence and reduced deployment flexibility</w:t>
            </w:r>
          </w:p>
        </w:tc>
        <w:tc>
          <w:tcPr>
            <w:tcW w:w="0" w:type="auto"/>
            <w:vAlign w:val="center"/>
            <w:hideMark/>
          </w:tcPr>
          <w:p w14:paraId="5B673F2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Managed AI services</w:t>
            </w:r>
          </w:p>
        </w:tc>
      </w:tr>
      <w:tr w:rsidR="009D5944" w:rsidRPr="008652E9" w14:paraId="7CDCD935" w14:textId="77777777" w:rsidTr="008652E9">
        <w:trPr>
          <w:tblCellSpacing w:w="15" w:type="dxa"/>
        </w:trPr>
        <w:tc>
          <w:tcPr>
            <w:tcW w:w="0" w:type="auto"/>
            <w:vAlign w:val="center"/>
            <w:hideMark/>
          </w:tcPr>
          <w:p w14:paraId="52007B0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Multi-provider flexibility</w:t>
            </w:r>
          </w:p>
        </w:tc>
        <w:tc>
          <w:tcPr>
            <w:tcW w:w="0" w:type="auto"/>
            <w:vAlign w:val="center"/>
            <w:hideMark/>
          </w:tcPr>
          <w:p w14:paraId="777D6B3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Improved resilience and provider independence</w:t>
            </w:r>
          </w:p>
        </w:tc>
        <w:tc>
          <w:tcPr>
            <w:tcW w:w="0" w:type="auto"/>
            <w:vAlign w:val="center"/>
            <w:hideMark/>
          </w:tcPr>
          <w:p w14:paraId="2187712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Increased abstraction and governance complexity</w:t>
            </w:r>
          </w:p>
        </w:tc>
        <w:tc>
          <w:tcPr>
            <w:tcW w:w="0" w:type="auto"/>
            <w:vAlign w:val="center"/>
            <w:hideMark/>
          </w:tcPr>
          <w:p w14:paraId="640DB4C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Centralized AI gateway and routing layer</w:t>
            </w:r>
          </w:p>
        </w:tc>
      </w:tr>
      <w:tr w:rsidR="009D5944" w:rsidRPr="008652E9" w14:paraId="1D779A57" w14:textId="77777777" w:rsidTr="008652E9">
        <w:trPr>
          <w:tblCellSpacing w:w="15" w:type="dxa"/>
        </w:trPr>
        <w:tc>
          <w:tcPr>
            <w:tcW w:w="0" w:type="auto"/>
            <w:vAlign w:val="center"/>
            <w:hideMark/>
          </w:tcPr>
          <w:p w14:paraId="3F85B8D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Lowest possible latency</w:t>
            </w:r>
          </w:p>
        </w:tc>
        <w:tc>
          <w:tcPr>
            <w:tcW w:w="0" w:type="auto"/>
            <w:vAlign w:val="center"/>
            <w:hideMark/>
          </w:tcPr>
          <w:p w14:paraId="08101FCB"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Reduced response time for interactive applications</w:t>
            </w:r>
          </w:p>
        </w:tc>
        <w:tc>
          <w:tcPr>
            <w:tcW w:w="0" w:type="auto"/>
            <w:vAlign w:val="center"/>
            <w:hideMark/>
          </w:tcPr>
          <w:p w14:paraId="6DA0578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Less architectural flexibility and fewer governance layers</w:t>
            </w:r>
          </w:p>
        </w:tc>
        <w:tc>
          <w:tcPr>
            <w:tcW w:w="0" w:type="auto"/>
            <w:vAlign w:val="center"/>
            <w:hideMark/>
          </w:tcPr>
          <w:p w14:paraId="3B49E8E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Regional deployment and workload-specific optimization</w:t>
            </w:r>
          </w:p>
        </w:tc>
      </w:tr>
      <w:tr w:rsidR="009D5944" w:rsidRPr="008652E9" w14:paraId="6E8C7E0F" w14:textId="77777777" w:rsidTr="008652E9">
        <w:trPr>
          <w:tblCellSpacing w:w="15" w:type="dxa"/>
        </w:trPr>
        <w:tc>
          <w:tcPr>
            <w:tcW w:w="0" w:type="auto"/>
            <w:vAlign w:val="center"/>
            <w:hideMark/>
          </w:tcPr>
          <w:p w14:paraId="1068C19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Strong governance</w:t>
            </w:r>
          </w:p>
        </w:tc>
        <w:tc>
          <w:tcPr>
            <w:tcW w:w="0" w:type="auto"/>
            <w:vAlign w:val="center"/>
            <w:hideMark/>
          </w:tcPr>
          <w:p w14:paraId="1DD78A5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Consistent policy enforcement and auditability</w:t>
            </w:r>
          </w:p>
        </w:tc>
        <w:tc>
          <w:tcPr>
            <w:tcW w:w="0" w:type="auto"/>
            <w:vAlign w:val="center"/>
            <w:hideMark/>
          </w:tcPr>
          <w:p w14:paraId="70E3B05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Additional architectural components and operational processes</w:t>
            </w:r>
          </w:p>
        </w:tc>
        <w:tc>
          <w:tcPr>
            <w:tcW w:w="0" w:type="auto"/>
            <w:vAlign w:val="center"/>
            <w:hideMark/>
          </w:tcPr>
          <w:p w14:paraId="69F1711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Shared platform services with centralized control</w:t>
            </w:r>
          </w:p>
        </w:tc>
      </w:tr>
      <w:tr w:rsidR="009D5944" w:rsidRPr="008652E9" w14:paraId="43E876AB" w14:textId="77777777" w:rsidTr="008652E9">
        <w:trPr>
          <w:tblCellSpacing w:w="15" w:type="dxa"/>
        </w:trPr>
        <w:tc>
          <w:tcPr>
            <w:tcW w:w="0" w:type="auto"/>
            <w:vAlign w:val="center"/>
            <w:hideMark/>
          </w:tcPr>
          <w:p w14:paraId="1ECCE53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Rapid technology adoption</w:t>
            </w:r>
          </w:p>
        </w:tc>
        <w:tc>
          <w:tcPr>
            <w:tcW w:w="0" w:type="auto"/>
            <w:vAlign w:val="center"/>
            <w:hideMark/>
          </w:tcPr>
          <w:p w14:paraId="3582017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Access to new capabilities with minimal disruption</w:t>
            </w:r>
          </w:p>
        </w:tc>
        <w:tc>
          <w:tcPr>
            <w:tcW w:w="0" w:type="auto"/>
            <w:vAlign w:val="center"/>
            <w:hideMark/>
          </w:tcPr>
          <w:p w14:paraId="577FED1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Continuous evaluation and integration effort</w:t>
            </w:r>
          </w:p>
        </w:tc>
        <w:tc>
          <w:tcPr>
            <w:tcW w:w="0" w:type="auto"/>
            <w:vAlign w:val="center"/>
            <w:hideMark/>
          </w:tcPr>
          <w:p w14:paraId="61B6FBD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Modular architecture with stable interfaces</w:t>
            </w:r>
          </w:p>
        </w:tc>
      </w:tr>
    </w:tbl>
    <w:p w14:paraId="481D58D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important observation emerges from these comparisons.</w:t>
      </w:r>
    </w:p>
    <w:p w14:paraId="28E6C87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trade-offs themselves remain remarkably stable even though individual technologies continue to evolve. Organizations have always balanced flexibility against complexity, operational responsibility against convenience, and performance against maintainability. AI introduces new technologies but not entirely new architectural principles.</w:t>
      </w:r>
    </w:p>
    <w:p w14:paraId="38A631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this reason, platform engineers should resist evaluating technologies in isolation. Architectural quality depends upon how well multiple design decisions reinforce one another within the context of organizational requirements.</w:t>
      </w:r>
    </w:p>
    <w:p w14:paraId="5ACDE5D6" w14:textId="77777777" w:rsidR="009D5944" w:rsidRPr="009D5944" w:rsidRDefault="00E02456"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05D32F4E">
          <v:rect id="_x0000_i1032" style="width:0;height:1.5pt" o:hralign="center" o:hrstd="t" o:hr="t" fillcolor="#a0a0a0" stroked="f"/>
        </w:pict>
      </w:r>
    </w:p>
    <w:p w14:paraId="27F730F7"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2.12 Common Architectural Anti-Patterns</w:t>
      </w:r>
    </w:p>
    <w:p w14:paraId="511E2EA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describe proven design approaches, but understanding common failure modes is equally valuable. Many difficulties encountered during AI platform adoption arise not from limitations of foundation models but from architectural decisions that unnecessarily increase operational complexity, reduce flexibility, or couple applications to rapidly evolving technologies.</w:t>
      </w:r>
    </w:p>
    <w:p w14:paraId="0DEF812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One recurring anti-pattern is </w:t>
      </w:r>
      <w:r w:rsidRPr="009D5944">
        <w:rPr>
          <w:rFonts w:ascii="Times New Roman" w:eastAsia="Times New Roman" w:hAnsi="Times New Roman" w:cs="Times New Roman"/>
          <w:b/>
          <w:bCs/>
          <w:sz w:val="28"/>
          <w:szCs w:val="24"/>
        </w:rPr>
        <w:t>selecting technologies before defining architectural requirements</w:t>
      </w:r>
      <w:r w:rsidRPr="009D5944">
        <w:rPr>
          <w:rFonts w:ascii="Times New Roman" w:eastAsia="Times New Roman" w:hAnsi="Times New Roman" w:cs="Times New Roman"/>
          <w:sz w:val="28"/>
          <w:szCs w:val="24"/>
        </w:rPr>
        <w:t>.</w:t>
      </w:r>
    </w:p>
    <w:p w14:paraId="383969A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Organizations sometimes begin projects by evaluating model leaderboards, orchestration frameworks, or vector databases before understanding business objectives, operational constraints, or governance requirements. As discussed earlier in this chapter, this sequence frequently produces architectures optimized around product capabilities rather than organizational needs.</w:t>
      </w:r>
    </w:p>
    <w:p w14:paraId="0D976B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second anti-pattern involves </w:t>
      </w:r>
      <w:r w:rsidRPr="009D5944">
        <w:rPr>
          <w:rFonts w:ascii="Times New Roman" w:eastAsia="Times New Roman" w:hAnsi="Times New Roman" w:cs="Times New Roman"/>
          <w:b/>
          <w:bCs/>
          <w:sz w:val="28"/>
          <w:szCs w:val="24"/>
        </w:rPr>
        <w:t>coupling applications directly to provider APIs</w:t>
      </w:r>
      <w:r w:rsidRPr="009D5944">
        <w:rPr>
          <w:rFonts w:ascii="Times New Roman" w:eastAsia="Times New Roman" w:hAnsi="Times New Roman" w:cs="Times New Roman"/>
          <w:sz w:val="28"/>
          <w:szCs w:val="24"/>
        </w:rPr>
        <w:t>.</w:t>
      </w:r>
    </w:p>
    <w:p w14:paraId="050BED8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While direct integration may accelerate initial development, it often complicates future migration, governance, authentication, and provider replacement. Even organizations using a single provider generally benefit from an internal platform interface that isolates business applications from external implementation details.</w:t>
      </w:r>
    </w:p>
    <w:p w14:paraId="35A30C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Another common mistake is </w:t>
      </w:r>
      <w:r w:rsidRPr="009D5944">
        <w:rPr>
          <w:rFonts w:ascii="Times New Roman" w:eastAsia="Times New Roman" w:hAnsi="Times New Roman" w:cs="Times New Roman"/>
          <w:b/>
          <w:bCs/>
          <w:sz w:val="28"/>
          <w:szCs w:val="24"/>
        </w:rPr>
        <w:t>premature self-hosting</w:t>
      </w:r>
      <w:r w:rsidRPr="009D5944">
        <w:rPr>
          <w:rFonts w:ascii="Times New Roman" w:eastAsia="Times New Roman" w:hAnsi="Times New Roman" w:cs="Times New Roman"/>
          <w:sz w:val="28"/>
          <w:szCs w:val="24"/>
        </w:rPr>
        <w:t>.</w:t>
      </w:r>
    </w:p>
    <w:p w14:paraId="4B2F3B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Operating inference infrastructure introduces responsibilities extending well beyond software deployment. Accelerator management, serving optimization, infrastructure monitoring, capacity planning, and hardware lifecycle management require specialized operational expertise. Organizations sometimes underestimate these requirements by comparing only infrastructure costs while overlooking long-term engineering investment.</w:t>
      </w:r>
    </w:p>
    <w:p w14:paraId="6E129F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opposite mistake also occurs.</w:t>
      </w:r>
    </w:p>
    <w:p w14:paraId="5B7002B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organizations remain permanently dependent upon provider-specific capabilities despite growing regulatory, operational, or commercial requirements that would justify greater architectural flexibility. Mature platforms evolve as organizational needs evolve rather than remaining permanently committed to initial implementation choices.</w:t>
      </w:r>
    </w:p>
    <w:p w14:paraId="732604C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further anti-pattern is </w:t>
      </w:r>
      <w:r w:rsidRPr="009D5944">
        <w:rPr>
          <w:rFonts w:ascii="Times New Roman" w:eastAsia="Times New Roman" w:hAnsi="Times New Roman" w:cs="Times New Roman"/>
          <w:b/>
          <w:bCs/>
          <w:sz w:val="28"/>
          <w:szCs w:val="24"/>
        </w:rPr>
        <w:t>framework-driven architecture</w:t>
      </w:r>
      <w:r w:rsidRPr="009D5944">
        <w:rPr>
          <w:rFonts w:ascii="Times New Roman" w:eastAsia="Times New Roman" w:hAnsi="Times New Roman" w:cs="Times New Roman"/>
          <w:sz w:val="28"/>
          <w:szCs w:val="24"/>
        </w:rPr>
        <w:t>.</w:t>
      </w:r>
    </w:p>
    <w:p w14:paraId="1491D9E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Rapidly evolving orchestration frameworks, agent runtimes, and application libraries often encourage developers to organize systems according to framework abstractions rather than business responsibilities. While frameworks provide valuable implementation tools, they should support architectural decisions rather than define them. Business capabilities should remain understandable independently of the frameworks used to implement them.</w:t>
      </w:r>
    </w:p>
    <w:p w14:paraId="3A6223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Organizations also frequently underestimate the importance of </w:t>
      </w:r>
      <w:r w:rsidRPr="009D5944">
        <w:rPr>
          <w:rFonts w:ascii="Times New Roman" w:eastAsia="Times New Roman" w:hAnsi="Times New Roman" w:cs="Times New Roman"/>
          <w:b/>
          <w:bCs/>
          <w:sz w:val="28"/>
          <w:szCs w:val="24"/>
        </w:rPr>
        <w:t>shared platform services</w:t>
      </w:r>
      <w:r w:rsidRPr="009D5944">
        <w:rPr>
          <w:rFonts w:ascii="Times New Roman" w:eastAsia="Times New Roman" w:hAnsi="Times New Roman" w:cs="Times New Roman"/>
          <w:sz w:val="28"/>
          <w:szCs w:val="24"/>
        </w:rPr>
        <w:t>.</w:t>
      </w:r>
    </w:p>
    <w:p w14:paraId="61F30DC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Allowing individual teams to implement independent authentication mechanisms, provider integrations, evaluation pipelines, or governance controls increases duplication and produces inconsistent operational behavior. Shared platform </w:t>
      </w:r>
      <w:r w:rsidRPr="009D5944">
        <w:rPr>
          <w:rFonts w:ascii="Times New Roman" w:eastAsia="Times New Roman" w:hAnsi="Times New Roman" w:cs="Times New Roman"/>
          <w:sz w:val="28"/>
          <w:szCs w:val="24"/>
        </w:rPr>
        <w:lastRenderedPageBreak/>
        <w:t>capabilities encourage architectural consistency while reducing long-term maintenance effort.</w:t>
      </w:r>
    </w:p>
    <w:p w14:paraId="4463B20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Finally, some organizations treat AI platforms primarily as collections of models.</w:t>
      </w:r>
    </w:p>
    <w:p w14:paraId="3FB290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reality, production systems derive much of their reliability from surrounding infrastructure including gateways, identity management, retrieval systems, evaluation pipelines, deployment automation, observability, and governance. These components frequently determine operational success more than incremental improvements in model capability.</w:t>
      </w:r>
    </w:p>
    <w:p w14:paraId="404F77E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2-11. Common AI Platform Architectural Anti-Patterns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2575"/>
        <w:gridCol w:w="2653"/>
        <w:gridCol w:w="2516"/>
      </w:tblGrid>
      <w:tr w:rsidR="009D5944" w:rsidRPr="008652E9" w14:paraId="300990FB" w14:textId="77777777" w:rsidTr="008652E9">
        <w:trPr>
          <w:tblHeader/>
          <w:tblCellSpacing w:w="15" w:type="dxa"/>
        </w:trPr>
        <w:tc>
          <w:tcPr>
            <w:tcW w:w="0" w:type="auto"/>
            <w:vAlign w:val="center"/>
            <w:hideMark/>
          </w:tcPr>
          <w:p w14:paraId="43B700A7"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Anti-Pattern</w:t>
            </w:r>
          </w:p>
        </w:tc>
        <w:tc>
          <w:tcPr>
            <w:tcW w:w="0" w:type="auto"/>
            <w:vAlign w:val="center"/>
            <w:hideMark/>
          </w:tcPr>
          <w:p w14:paraId="5EA0E18E"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Why It Occurs</w:t>
            </w:r>
          </w:p>
        </w:tc>
        <w:tc>
          <w:tcPr>
            <w:tcW w:w="0" w:type="auto"/>
            <w:vAlign w:val="center"/>
            <w:hideMark/>
          </w:tcPr>
          <w:p w14:paraId="5CF9EB16"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Long-Term Consequences</w:t>
            </w:r>
          </w:p>
        </w:tc>
        <w:tc>
          <w:tcPr>
            <w:tcW w:w="0" w:type="auto"/>
            <w:vAlign w:val="center"/>
            <w:hideMark/>
          </w:tcPr>
          <w:p w14:paraId="7ABC9769"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Better Architectural Practice</w:t>
            </w:r>
          </w:p>
        </w:tc>
      </w:tr>
      <w:tr w:rsidR="009D5944" w:rsidRPr="008652E9" w14:paraId="38BABA06" w14:textId="77777777" w:rsidTr="008652E9">
        <w:trPr>
          <w:tblCellSpacing w:w="15" w:type="dxa"/>
        </w:trPr>
        <w:tc>
          <w:tcPr>
            <w:tcW w:w="0" w:type="auto"/>
            <w:vAlign w:val="center"/>
            <w:hideMark/>
          </w:tcPr>
          <w:p w14:paraId="7A0BAE2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Technology-first planning</w:t>
            </w:r>
          </w:p>
        </w:tc>
        <w:tc>
          <w:tcPr>
            <w:tcW w:w="0" w:type="auto"/>
            <w:vAlign w:val="center"/>
            <w:hideMark/>
          </w:tcPr>
          <w:p w14:paraId="2D24ADC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Excitement around new products and benchmarks</w:t>
            </w:r>
          </w:p>
        </w:tc>
        <w:tc>
          <w:tcPr>
            <w:tcW w:w="0" w:type="auto"/>
            <w:vAlign w:val="center"/>
            <w:hideMark/>
          </w:tcPr>
          <w:p w14:paraId="732BEB0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Misalignment between architecture and organizational requirements</w:t>
            </w:r>
          </w:p>
        </w:tc>
        <w:tc>
          <w:tcPr>
            <w:tcW w:w="0" w:type="auto"/>
            <w:vAlign w:val="center"/>
            <w:hideMark/>
          </w:tcPr>
          <w:p w14:paraId="76E48B2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Begin with requirements, then architecture, then technology selection</w:t>
            </w:r>
          </w:p>
        </w:tc>
      </w:tr>
      <w:tr w:rsidR="009D5944" w:rsidRPr="008652E9" w14:paraId="74D86F93" w14:textId="77777777" w:rsidTr="008652E9">
        <w:trPr>
          <w:tblCellSpacing w:w="15" w:type="dxa"/>
        </w:trPr>
        <w:tc>
          <w:tcPr>
            <w:tcW w:w="0" w:type="auto"/>
            <w:vAlign w:val="center"/>
            <w:hideMark/>
          </w:tcPr>
          <w:p w14:paraId="6E7F38D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Direct provider integration</w:t>
            </w:r>
          </w:p>
        </w:tc>
        <w:tc>
          <w:tcPr>
            <w:tcW w:w="0" w:type="auto"/>
            <w:vAlign w:val="center"/>
            <w:hideMark/>
          </w:tcPr>
          <w:p w14:paraId="21B486F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Simplifies early prototypes</w:t>
            </w:r>
          </w:p>
        </w:tc>
        <w:tc>
          <w:tcPr>
            <w:tcW w:w="0" w:type="auto"/>
            <w:vAlign w:val="center"/>
            <w:hideMark/>
          </w:tcPr>
          <w:p w14:paraId="25A9A8B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Difficult migration, duplicated integration logic, inconsistent governance</w:t>
            </w:r>
          </w:p>
        </w:tc>
        <w:tc>
          <w:tcPr>
            <w:tcW w:w="0" w:type="auto"/>
            <w:vAlign w:val="center"/>
            <w:hideMark/>
          </w:tcPr>
          <w:p w14:paraId="78B9394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Introduce a platform abstraction layer between applications and providers</w:t>
            </w:r>
          </w:p>
        </w:tc>
      </w:tr>
      <w:tr w:rsidR="009D5944" w:rsidRPr="008652E9" w14:paraId="71837ADF" w14:textId="77777777" w:rsidTr="008652E9">
        <w:trPr>
          <w:tblCellSpacing w:w="15" w:type="dxa"/>
        </w:trPr>
        <w:tc>
          <w:tcPr>
            <w:tcW w:w="0" w:type="auto"/>
            <w:vAlign w:val="center"/>
            <w:hideMark/>
          </w:tcPr>
          <w:p w14:paraId="2E3D5F8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Premature self-hosting</w:t>
            </w:r>
          </w:p>
        </w:tc>
        <w:tc>
          <w:tcPr>
            <w:tcW w:w="0" w:type="auto"/>
            <w:vAlign w:val="center"/>
            <w:hideMark/>
          </w:tcPr>
          <w:p w14:paraId="0387758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Focus on infrastructure ownership or API pricing</w:t>
            </w:r>
          </w:p>
        </w:tc>
        <w:tc>
          <w:tcPr>
            <w:tcW w:w="0" w:type="auto"/>
            <w:vAlign w:val="center"/>
            <w:hideMark/>
          </w:tcPr>
          <w:p w14:paraId="7EB44C3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Increased operational burden without corresponding business value</w:t>
            </w:r>
          </w:p>
        </w:tc>
        <w:tc>
          <w:tcPr>
            <w:tcW w:w="0" w:type="auto"/>
            <w:vAlign w:val="center"/>
            <w:hideMark/>
          </w:tcPr>
          <w:p w14:paraId="65DD2FE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Adopt self-hosting only when justified by clear requirements</w:t>
            </w:r>
          </w:p>
        </w:tc>
      </w:tr>
      <w:tr w:rsidR="009D5944" w:rsidRPr="008652E9" w14:paraId="31CF1AD9" w14:textId="77777777" w:rsidTr="008652E9">
        <w:trPr>
          <w:tblCellSpacing w:w="15" w:type="dxa"/>
        </w:trPr>
        <w:tc>
          <w:tcPr>
            <w:tcW w:w="0" w:type="auto"/>
            <w:vAlign w:val="center"/>
            <w:hideMark/>
          </w:tcPr>
          <w:p w14:paraId="5C0DA19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Framework-driven architecture</w:t>
            </w:r>
          </w:p>
        </w:tc>
        <w:tc>
          <w:tcPr>
            <w:tcW w:w="0" w:type="auto"/>
            <w:vAlign w:val="center"/>
            <w:hideMark/>
          </w:tcPr>
          <w:p w14:paraId="11FC088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Frameworks encourage application structure around implementation details</w:t>
            </w:r>
          </w:p>
        </w:tc>
        <w:tc>
          <w:tcPr>
            <w:tcW w:w="0" w:type="auto"/>
            <w:vAlign w:val="center"/>
            <w:hideMark/>
          </w:tcPr>
          <w:p w14:paraId="0CDFD62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Reduced flexibility as frameworks evolve</w:t>
            </w:r>
          </w:p>
        </w:tc>
        <w:tc>
          <w:tcPr>
            <w:tcW w:w="0" w:type="auto"/>
            <w:vAlign w:val="center"/>
            <w:hideMark/>
          </w:tcPr>
          <w:p w14:paraId="02271EA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Design around business capabilities and platform responsibilities</w:t>
            </w:r>
          </w:p>
        </w:tc>
      </w:tr>
      <w:tr w:rsidR="009D5944" w:rsidRPr="008652E9" w14:paraId="767C08D6" w14:textId="77777777" w:rsidTr="008652E9">
        <w:trPr>
          <w:tblCellSpacing w:w="15" w:type="dxa"/>
        </w:trPr>
        <w:tc>
          <w:tcPr>
            <w:tcW w:w="0" w:type="auto"/>
            <w:vAlign w:val="center"/>
            <w:hideMark/>
          </w:tcPr>
          <w:p w14:paraId="7145C32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Fragmented platform services</w:t>
            </w:r>
          </w:p>
        </w:tc>
        <w:tc>
          <w:tcPr>
            <w:tcW w:w="0" w:type="auto"/>
            <w:vAlign w:val="center"/>
            <w:hideMark/>
          </w:tcPr>
          <w:p w14:paraId="1C5DD67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Independent team decisions</w:t>
            </w:r>
          </w:p>
        </w:tc>
        <w:tc>
          <w:tcPr>
            <w:tcW w:w="0" w:type="auto"/>
            <w:vAlign w:val="center"/>
            <w:hideMark/>
          </w:tcPr>
          <w:p w14:paraId="56F863F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Duplicated functionality and inconsistent operational behavior</w:t>
            </w:r>
          </w:p>
        </w:tc>
        <w:tc>
          <w:tcPr>
            <w:tcW w:w="0" w:type="auto"/>
            <w:vAlign w:val="center"/>
            <w:hideMark/>
          </w:tcPr>
          <w:p w14:paraId="122026C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Centralize common platform capabilities where appropriate</w:t>
            </w:r>
          </w:p>
        </w:tc>
      </w:tr>
      <w:tr w:rsidR="009D5944" w:rsidRPr="008652E9" w14:paraId="0803745A" w14:textId="77777777" w:rsidTr="008652E9">
        <w:trPr>
          <w:tblCellSpacing w:w="15" w:type="dxa"/>
        </w:trPr>
        <w:tc>
          <w:tcPr>
            <w:tcW w:w="0" w:type="auto"/>
            <w:vAlign w:val="center"/>
            <w:hideMark/>
          </w:tcPr>
          <w:p w14:paraId="0F6BFF9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Model-centric thinking</w:t>
            </w:r>
          </w:p>
        </w:tc>
        <w:tc>
          <w:tcPr>
            <w:tcW w:w="0" w:type="auto"/>
            <w:vAlign w:val="center"/>
            <w:hideMark/>
          </w:tcPr>
          <w:p w14:paraId="3D38210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Public attention focuses on foundation models</w:t>
            </w:r>
          </w:p>
        </w:tc>
        <w:tc>
          <w:tcPr>
            <w:tcW w:w="0" w:type="auto"/>
            <w:vAlign w:val="center"/>
            <w:hideMark/>
          </w:tcPr>
          <w:p w14:paraId="2D583B6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Underinvestment in governance, operations, and platform engineering</w:t>
            </w:r>
          </w:p>
        </w:tc>
        <w:tc>
          <w:tcPr>
            <w:tcW w:w="0" w:type="auto"/>
            <w:vAlign w:val="center"/>
            <w:hideMark/>
          </w:tcPr>
          <w:p w14:paraId="2CEC805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Treat AI models as one component within a broader production platform</w:t>
            </w:r>
          </w:p>
        </w:tc>
      </w:tr>
    </w:tbl>
    <w:p w14:paraId="07935AC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Most of these anti-patterns share a common characteristic: they optimize for short-term implementation convenience at the expense of long-term architectural adaptability. Well-designed platforms instead prioritize modularity, stable interfaces, and clear separation of responsibilities.</w:t>
      </w:r>
    </w:p>
    <w:p w14:paraId="3B0DE247" w14:textId="77777777" w:rsidR="009D5944" w:rsidRPr="009D5944" w:rsidRDefault="00E02456"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11CA6C06">
          <v:rect id="_x0000_i1033" style="width:0;height:1.5pt" o:hralign="center" o:hrstd="t" o:hr="t" fillcolor="#a0a0a0" stroked="f"/>
        </w:pict>
      </w:r>
    </w:p>
    <w:p w14:paraId="1EAE85C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lastRenderedPageBreak/>
        <w:t>2.13 Connecting Architecture to the Rest of the Book</w:t>
      </w:r>
    </w:p>
    <w:p w14:paraId="284FD24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purpose of this chapter has been to establish a structured framework for selecting AI platform architectures rather than recommending individual technologies. By examining deployment models, architectural dimensions, reference architectures, and engineering trade-offs, the discussion has emphasized that successful AI platforms emerge from deliberate architectural reasoning rather than product selection alone.</w:t>
      </w:r>
    </w:p>
    <w:p w14:paraId="1943C31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remainder of this book examines each major architectural layer introduced in this chapter in progressively greater technical depth.</w:t>
      </w:r>
    </w:p>
    <w:p w14:paraId="57A0318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model layer</w:t>
      </w:r>
      <w:r w:rsidRPr="009D5944">
        <w:rPr>
          <w:rFonts w:ascii="Times New Roman" w:eastAsia="Times New Roman" w:hAnsi="Times New Roman" w:cs="Times New Roman"/>
          <w:sz w:val="28"/>
          <w:szCs w:val="24"/>
        </w:rPr>
        <w:t xml:space="preserve">, introduced here as one architectural dimension, becomes the focus of </w:t>
      </w:r>
      <w:r w:rsidRPr="009D5944">
        <w:rPr>
          <w:rFonts w:ascii="Times New Roman" w:eastAsia="Times New Roman" w:hAnsi="Times New Roman" w:cs="Times New Roman"/>
          <w:b/>
          <w:bCs/>
          <w:sz w:val="28"/>
          <w:szCs w:val="24"/>
        </w:rPr>
        <w:t>Part II</w:t>
      </w:r>
      <w:r w:rsidRPr="009D5944">
        <w:rPr>
          <w:rFonts w:ascii="Times New Roman" w:eastAsia="Times New Roman" w:hAnsi="Times New Roman" w:cs="Times New Roman"/>
          <w:sz w:val="28"/>
          <w:szCs w:val="24"/>
        </w:rPr>
        <w:t>. Chapters 3 through 5 examine commercial AI services, open-weight models, licensing considerations, inference engines, and serving architectures. The objective is to understand how inference capabilities are provided without losing sight of the broader platform architecture established in this chapter.</w:t>
      </w:r>
    </w:p>
    <w:p w14:paraId="37980E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control plane</w:t>
      </w:r>
      <w:r w:rsidRPr="009D5944">
        <w:rPr>
          <w:rFonts w:ascii="Times New Roman" w:eastAsia="Times New Roman" w:hAnsi="Times New Roman" w:cs="Times New Roman"/>
          <w:sz w:val="28"/>
          <w:szCs w:val="24"/>
        </w:rPr>
        <w:t xml:space="preserve"> discussed conceptually throughout the reference architectures is explored in </w:t>
      </w:r>
      <w:r w:rsidRPr="009D5944">
        <w:rPr>
          <w:rFonts w:ascii="Times New Roman" w:eastAsia="Times New Roman" w:hAnsi="Times New Roman" w:cs="Times New Roman"/>
          <w:b/>
          <w:bCs/>
          <w:sz w:val="28"/>
          <w:szCs w:val="24"/>
        </w:rPr>
        <w:t>Part III</w:t>
      </w:r>
      <w:r w:rsidRPr="009D5944">
        <w:rPr>
          <w:rFonts w:ascii="Times New Roman" w:eastAsia="Times New Roman" w:hAnsi="Times New Roman" w:cs="Times New Roman"/>
          <w:sz w:val="28"/>
          <w:szCs w:val="24"/>
        </w:rPr>
        <w:t>. AI gateways, provider abstraction, orchestration frameworks, durable workflows, and the Model Context Protocol are examined as mechanisms for coordinating increasingly complex AI applications while preserving architectural modularity.</w:t>
      </w:r>
    </w:p>
    <w:p w14:paraId="5F631A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knowledge layer</w:t>
      </w:r>
      <w:r w:rsidRPr="009D5944">
        <w:rPr>
          <w:rFonts w:ascii="Times New Roman" w:eastAsia="Times New Roman" w:hAnsi="Times New Roman" w:cs="Times New Roman"/>
          <w:sz w:val="28"/>
          <w:szCs w:val="24"/>
        </w:rPr>
        <w:t xml:space="preserve"> becomes the subject of </w:t>
      </w:r>
      <w:r w:rsidRPr="009D5944">
        <w:rPr>
          <w:rFonts w:ascii="Times New Roman" w:eastAsia="Times New Roman" w:hAnsi="Times New Roman" w:cs="Times New Roman"/>
          <w:b/>
          <w:bCs/>
          <w:sz w:val="28"/>
          <w:szCs w:val="24"/>
        </w:rPr>
        <w:t>Part IV</w:t>
      </w:r>
      <w:r w:rsidRPr="009D5944">
        <w:rPr>
          <w:rFonts w:ascii="Times New Roman" w:eastAsia="Times New Roman" w:hAnsi="Times New Roman" w:cs="Times New Roman"/>
          <w:sz w:val="28"/>
          <w:szCs w:val="24"/>
        </w:rPr>
        <w:t>, where storage systems, ingestion pipelines, retrieval architectures, embeddings, and retrieval-augmented generation are analyzed as components of enterprise information systems rather than isolated AI techniques.</w:t>
      </w:r>
    </w:p>
    <w:p w14:paraId="77F2D24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cross-cutting concerns intentionally introduced only at a conceptual level throughout this chapter receive dedicated treatment in </w:t>
      </w:r>
      <w:r w:rsidRPr="009D5944">
        <w:rPr>
          <w:rFonts w:ascii="Times New Roman" w:eastAsia="Times New Roman" w:hAnsi="Times New Roman" w:cs="Times New Roman"/>
          <w:b/>
          <w:bCs/>
          <w:sz w:val="28"/>
          <w:szCs w:val="24"/>
        </w:rPr>
        <w:t>Parts V and VI</w:t>
      </w:r>
      <w:r w:rsidRPr="009D5944">
        <w:rPr>
          <w:rFonts w:ascii="Times New Roman" w:eastAsia="Times New Roman" w:hAnsi="Times New Roman" w:cs="Times New Roman"/>
          <w:sz w:val="28"/>
          <w:szCs w:val="24"/>
        </w:rPr>
        <w:t>.</w:t>
      </w:r>
    </w:p>
    <w:p w14:paraId="397AD7F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Evaluation methodologies and testing strategies are examined in Chapter 13.</w:t>
      </w:r>
    </w:p>
    <w:p w14:paraId="38BD2D9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governance, and policy enforcement are presented comprehensively in Chapter 14.</w:t>
      </w:r>
    </w:p>
    <w:p w14:paraId="4C8A355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Observability—including telemetry, distributed tracing, AI-specific metrics, and incident investigation—is intentionally deferred until </w:t>
      </w:r>
      <w:r w:rsidRPr="009D5944">
        <w:rPr>
          <w:rFonts w:ascii="Times New Roman" w:eastAsia="Times New Roman" w:hAnsi="Times New Roman" w:cs="Times New Roman"/>
          <w:b/>
          <w:bCs/>
          <w:sz w:val="28"/>
          <w:szCs w:val="24"/>
        </w:rPr>
        <w:t>Chapter 15</w:t>
      </w:r>
      <w:r w:rsidRPr="009D5944">
        <w:rPr>
          <w:rFonts w:ascii="Times New Roman" w:eastAsia="Times New Roman" w:hAnsi="Times New Roman" w:cs="Times New Roman"/>
          <w:sz w:val="28"/>
          <w:szCs w:val="24"/>
        </w:rPr>
        <w:t>, where operational visibility is discussed as an engineering discipline rather than as an architectural abstraction.</w:t>
      </w:r>
    </w:p>
    <w:p w14:paraId="6D2E56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Similarly, deployment architecture introduced conceptually in the reference architectures becomes the subject of </w:t>
      </w:r>
      <w:r w:rsidRPr="009D5944">
        <w:rPr>
          <w:rFonts w:ascii="Times New Roman" w:eastAsia="Times New Roman" w:hAnsi="Times New Roman" w:cs="Times New Roman"/>
          <w:b/>
          <w:bCs/>
          <w:sz w:val="28"/>
          <w:szCs w:val="24"/>
        </w:rPr>
        <w:t>Chapter 16</w:t>
      </w:r>
      <w:r w:rsidRPr="009D5944">
        <w:rPr>
          <w:rFonts w:ascii="Times New Roman" w:eastAsia="Times New Roman" w:hAnsi="Times New Roman" w:cs="Times New Roman"/>
          <w:sz w:val="28"/>
          <w:szCs w:val="24"/>
        </w:rPr>
        <w:t xml:space="preserve">, covering registries, deployment strategies, continuous integration, continuous delivery, </w:t>
      </w:r>
      <w:proofErr w:type="spellStart"/>
      <w:r w:rsidRPr="009D5944">
        <w:rPr>
          <w:rFonts w:ascii="Times New Roman" w:eastAsia="Times New Roman" w:hAnsi="Times New Roman" w:cs="Times New Roman"/>
          <w:sz w:val="28"/>
          <w:szCs w:val="24"/>
        </w:rPr>
        <w:t>GitOps</w:t>
      </w:r>
      <w:proofErr w:type="spellEnd"/>
      <w:r w:rsidRPr="009D5944">
        <w:rPr>
          <w:rFonts w:ascii="Times New Roman" w:eastAsia="Times New Roman" w:hAnsi="Times New Roman" w:cs="Times New Roman"/>
          <w:sz w:val="28"/>
          <w:szCs w:val="24"/>
        </w:rPr>
        <w:t xml:space="preserve"> practices, and production rollout mechanisms. Those implementation details were deliberately excluded from this chapter so that deployment could be examined independently of logical architecture.</w:t>
      </w:r>
    </w:p>
    <w:p w14:paraId="25BD2AA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financial implications of architectural decisions also remain largely outside the scope of the present discussion. While deployment models clearly influence long-term operating costs, detailed analysis of GPU utilization, token economics, capacity planning, routing optimization, caching strategies, and FinOps practices is reserved for </w:t>
      </w:r>
      <w:r w:rsidRPr="009D5944">
        <w:rPr>
          <w:rFonts w:ascii="Times New Roman" w:eastAsia="Times New Roman" w:hAnsi="Times New Roman" w:cs="Times New Roman"/>
          <w:b/>
          <w:bCs/>
          <w:sz w:val="28"/>
          <w:szCs w:val="24"/>
        </w:rPr>
        <w:t>Chapter 17</w:t>
      </w:r>
      <w:r w:rsidRPr="009D5944">
        <w:rPr>
          <w:rFonts w:ascii="Times New Roman" w:eastAsia="Times New Roman" w:hAnsi="Times New Roman" w:cs="Times New Roman"/>
          <w:sz w:val="28"/>
          <w:szCs w:val="24"/>
        </w:rPr>
        <w:t>. Treating cost engineering as a distinct discipline avoids reducing architectural decisions to short-term infrastructure pricing.</w:t>
      </w:r>
    </w:p>
    <w:p w14:paraId="651A71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Finally, the concluding chapters synthesize the material developed throughout the book. Comparative reference architectures, engineering decision matrices, production case studies, and long-term platform maintenance demonstrate how the individual technologies examined in earlier chapters combine into coherent production AI platforms.</w:t>
      </w:r>
    </w:p>
    <w:p w14:paraId="42861E5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progression mirrors the engineering process itself.</w:t>
      </w:r>
    </w:p>
    <w:p w14:paraId="2E466B7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Architects begin by understanding requirements and selecting an overall platform structure. They then evaluate individual technologies within that structure, implement operational capabilities, and continuously refine the platform as technologies evolve. By following the same sequence, the remainder of this book builds from architectural principles toward increasingly detailed engineering guidance while preserving a consistent systems perspective.</w:t>
      </w:r>
    </w:p>
    <w:p w14:paraId="0585B6C7" w14:textId="77777777" w:rsidR="00FB1517" w:rsidRDefault="00FB1517"/>
    <w:sectPr w:rsidR="00FB1517"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D7"/>
    <w:rsid w:val="008652E9"/>
    <w:rsid w:val="009D5944"/>
    <w:rsid w:val="00B36192"/>
    <w:rsid w:val="00C01DD7"/>
    <w:rsid w:val="00E02456"/>
    <w:rsid w:val="00FB15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63C8"/>
  <w15:chartTrackingRefBased/>
  <w15:docId w15:val="{F9E9168B-50A6-4026-A637-62A02F59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281896">
      <w:bodyDiv w:val="1"/>
      <w:marLeft w:val="0"/>
      <w:marRight w:val="0"/>
      <w:marTop w:val="0"/>
      <w:marBottom w:val="0"/>
      <w:divBdr>
        <w:top w:val="none" w:sz="0" w:space="0" w:color="auto"/>
        <w:left w:val="none" w:sz="0" w:space="0" w:color="auto"/>
        <w:bottom w:val="none" w:sz="0" w:space="0" w:color="auto"/>
        <w:right w:val="none" w:sz="0" w:space="0" w:color="auto"/>
      </w:divBdr>
      <w:divsChild>
        <w:div w:id="581257016">
          <w:marLeft w:val="0"/>
          <w:marRight w:val="0"/>
          <w:marTop w:val="0"/>
          <w:marBottom w:val="0"/>
          <w:divBdr>
            <w:top w:val="none" w:sz="0" w:space="0" w:color="auto"/>
            <w:left w:val="none" w:sz="0" w:space="0" w:color="auto"/>
            <w:bottom w:val="none" w:sz="0" w:space="0" w:color="auto"/>
            <w:right w:val="none" w:sz="0" w:space="0" w:color="auto"/>
          </w:divBdr>
          <w:divsChild>
            <w:div w:id="3353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11539</Words>
  <Characters>65775</Characters>
  <Application>Microsoft Office Word</Application>
  <DocSecurity>0</DocSecurity>
  <Lines>548</Lines>
  <Paragraphs>154</Paragraphs>
  <ScaleCrop>false</ScaleCrop>
  <Company/>
  <LinksUpToDate>false</LinksUpToDate>
  <CharactersWithSpaces>77160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Bogdan Shevtcov</cp:lastModifiedBy>
  <cp:revision>4</cp:revision>
  <dcterms:created xsi:type="dcterms:W3CDTF">2026-08-07T16:28:00Z</dcterms:created>
  <dcterms:modified xsi:type="dcterms:W3CDTF">2026-08-08T13:24:00Z</dcterms:modified>
</cp:coreProperties>
</file>