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625A6D" w14:textId="77777777" w:rsidR="00370E1E" w:rsidRPr="00370E1E" w:rsidRDefault="00370E1E" w:rsidP="004538ED">
      <w:pPr>
        <w:pStyle w:val="Title"/>
        <w:rPr>
          <w:rFonts w:eastAsia="Times New Roman"/>
        </w:rPr>
      </w:pPr>
      <w:r w:rsidRPr="00370E1E">
        <w:rPr>
          <w:rFonts w:eastAsia="Times New Roman"/>
        </w:rPr>
        <w:t>Part II — Models and Inference</w:t>
      </w:r>
    </w:p>
    <w:p w14:paraId="2055E739" w14:textId="573E91D4" w:rsidR="003A510B" w:rsidRDefault="003A510B" w:rsidP="003A510B">
      <w:pPr>
        <w:pStyle w:val="Heading1"/>
      </w:pPr>
      <w:r>
        <w:t xml:space="preserve">Chapter </w:t>
      </w:r>
      <w:r w:rsidRPr="003A510B">
        <w:t>3. Commercial Models, APIs, and Managed AI Platforms</w:t>
      </w:r>
    </w:p>
    <w:p w14:paraId="6D33C6E9" w14:textId="43B8B71F" w:rsidR="00370E1E" w:rsidRPr="00370E1E" w:rsidRDefault="00370E1E" w:rsidP="003A510B">
      <w:pPr>
        <w:pStyle w:val="Heading1"/>
      </w:pPr>
      <w:r w:rsidRPr="00370E1E">
        <w:t>3.1 Introduction</w:t>
      </w:r>
    </w:p>
    <w:p w14:paraId="7662C52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previous chapter examined AI platforms from the perspective of overall architecture. It int</w:t>
      </w:r>
      <w:bookmarkStart w:id="0" w:name="_GoBack"/>
      <w:bookmarkEnd w:id="0"/>
      <w:r w:rsidRPr="00370E1E">
        <w:rPr>
          <w:rFonts w:ascii="Times New Roman" w:eastAsia="Times New Roman" w:hAnsi="Times New Roman" w:cs="Times New Roman"/>
          <w:sz w:val="28"/>
          <w:szCs w:val="24"/>
        </w:rPr>
        <w:t>roduced the major deployment models, reference architectures, and engineering trade-offs that influence platform design. One of the most important architectural decisions identified in Chapter 2 was whether organizations should consume foundation models as managed services or operate them within their own infrastructure.</w:t>
      </w:r>
    </w:p>
    <w:p w14:paraId="4631D08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This chapter explores the first of those approaches: </w:t>
      </w:r>
      <w:r w:rsidRPr="00370E1E">
        <w:rPr>
          <w:rFonts w:ascii="Times New Roman" w:eastAsia="Times New Roman" w:hAnsi="Times New Roman" w:cs="Times New Roman"/>
          <w:b/>
          <w:bCs/>
          <w:sz w:val="28"/>
          <w:szCs w:val="24"/>
        </w:rPr>
        <w:t>commercial AI services</w:t>
      </w:r>
      <w:r w:rsidRPr="00370E1E">
        <w:rPr>
          <w:rFonts w:ascii="Times New Roman" w:eastAsia="Times New Roman" w:hAnsi="Times New Roman" w:cs="Times New Roman"/>
          <w:sz w:val="28"/>
          <w:szCs w:val="24"/>
        </w:rPr>
        <w:t>.</w:t>
      </w:r>
    </w:p>
    <w:p w14:paraId="00193B1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Rather than discussing how foundation models are trained or how inference engines execute them internally, the focus is on how organizations consume AI capabilities as production services. Modern enterprises increasingly access frontier models through managed APIs, cloud AI platforms, and model marketplaces that abstract away the underlying infrastructure. From the perspective of an application developer or platform engineer, these services expose AI capabilities through stable interfaces while hiding the complexity of accelerator management, distributed inference, model deployment, scaling, and hardware lifecycle management.</w:t>
      </w:r>
    </w:p>
    <w:p w14:paraId="62FC7A6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abstraction has fundamentally changed how AI systems are adopted. During the early years of deep learning, organizations wishing to use advanced models typically downloaded research checkpoints, provisioned specialized hardware, implemented serving infrastructure, and accepted responsibility for every aspect of deployment and operations. Such an approach demanded expertise spanning machine learning, distributed systems, GPU optimization, and infrastructure engineering.</w:t>
      </w:r>
    </w:p>
    <w:p w14:paraId="0AEFCEB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AI services altered this model.</w:t>
      </w:r>
    </w:p>
    <w:p w14:paraId="2CD9B35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Instead of operating models directly, organizations increasingly consume intelligence as a managed platform capability. The provider assumes responsibility for infrastructure provisioning, model deployment, capacity management, hardware upgrades, fault tolerance, and many operational aspects of inference. Customers interact with documented APIs, enterprise authentication mechanisms, service quotas, and billing interfaces rather than with GPU clusters or inference servers. </w:t>
      </w:r>
      <w:proofErr w:type="spellStart"/>
      <w:r w:rsidRPr="00370E1E">
        <w:rPr>
          <w:rFonts w:ascii="Times New Roman" w:eastAsia="Times New Roman" w:hAnsi="Times New Roman" w:cs="Times New Roman"/>
          <w:sz w:val="28"/>
          <w:szCs w:val="24"/>
        </w:rPr>
        <w:t>OpenAI's</w:t>
      </w:r>
      <w:proofErr w:type="spellEnd"/>
      <w:r w:rsidRPr="00370E1E">
        <w:rPr>
          <w:rFonts w:ascii="Times New Roman" w:eastAsia="Times New Roman" w:hAnsi="Times New Roman" w:cs="Times New Roman"/>
          <w:sz w:val="28"/>
          <w:szCs w:val="24"/>
        </w:rPr>
        <w:t xml:space="preserve"> platform, </w:t>
      </w:r>
      <w:proofErr w:type="spellStart"/>
      <w:r w:rsidRPr="00370E1E">
        <w:rPr>
          <w:rFonts w:ascii="Times New Roman" w:eastAsia="Times New Roman" w:hAnsi="Times New Roman" w:cs="Times New Roman"/>
          <w:sz w:val="28"/>
          <w:szCs w:val="24"/>
        </w:rPr>
        <w:t>Anthropic's</w:t>
      </w:r>
      <w:proofErr w:type="spellEnd"/>
      <w:r w:rsidRPr="00370E1E">
        <w:rPr>
          <w:rFonts w:ascii="Times New Roman" w:eastAsia="Times New Roman" w:hAnsi="Times New Roman" w:cs="Times New Roman"/>
          <w:sz w:val="28"/>
          <w:szCs w:val="24"/>
        </w:rPr>
        <w:t xml:space="preserve"> API, Google Vertex AI, Azure AI </w:t>
      </w:r>
      <w:r w:rsidRPr="00370E1E">
        <w:rPr>
          <w:rFonts w:ascii="Times New Roman" w:eastAsia="Times New Roman" w:hAnsi="Times New Roman" w:cs="Times New Roman"/>
          <w:sz w:val="28"/>
          <w:szCs w:val="24"/>
        </w:rPr>
        <w:lastRenderedPageBreak/>
        <w:t xml:space="preserve">Foundry, and Amazon Bedrock all follow this general architectural principle despite differing in implementation details and service portfolios. </w:t>
      </w:r>
    </w:p>
    <w:p w14:paraId="36C21CA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This transition closely resembles earlier developments in cloud computing. Organizations once managed physical web servers, database clusters, and networking equipment directly. Over time, infrastructure evolved toward managed services, allowing engineering teams to focus increasingly on application logic while cloud providers assumed operational responsibility for commodity infrastructure. Commercial AI platforms </w:t>
      </w:r>
      <w:proofErr w:type="gramStart"/>
      <w:r w:rsidRPr="00370E1E">
        <w:rPr>
          <w:rFonts w:ascii="Times New Roman" w:eastAsia="Times New Roman" w:hAnsi="Times New Roman" w:cs="Times New Roman"/>
          <w:sz w:val="28"/>
          <w:szCs w:val="24"/>
        </w:rPr>
        <w:t>represent</w:t>
      </w:r>
      <w:proofErr w:type="gramEnd"/>
      <w:r w:rsidRPr="00370E1E">
        <w:rPr>
          <w:rFonts w:ascii="Times New Roman" w:eastAsia="Times New Roman" w:hAnsi="Times New Roman" w:cs="Times New Roman"/>
          <w:sz w:val="28"/>
          <w:szCs w:val="24"/>
        </w:rPr>
        <w:t xml:space="preserve"> a similar shift. Rather than purchasing access to a single model, customers consume an operational service that integrates models, APIs, security controls, scaling mechanisms, lifecycle management, and enterprise governance.</w:t>
      </w:r>
    </w:p>
    <w:p w14:paraId="4FD1D27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It is important to distinguish between </w:t>
      </w:r>
      <w:r w:rsidRPr="00370E1E">
        <w:rPr>
          <w:rFonts w:ascii="Times New Roman" w:eastAsia="Times New Roman" w:hAnsi="Times New Roman" w:cs="Times New Roman"/>
          <w:b/>
          <w:bCs/>
          <w:sz w:val="28"/>
          <w:szCs w:val="24"/>
        </w:rPr>
        <w:t>commercial AI services</w:t>
      </w:r>
      <w:r w:rsidRPr="00370E1E">
        <w:rPr>
          <w:rFonts w:ascii="Times New Roman" w:eastAsia="Times New Roman" w:hAnsi="Times New Roman" w:cs="Times New Roman"/>
          <w:sz w:val="28"/>
          <w:szCs w:val="24"/>
        </w:rPr>
        <w:t xml:space="preserve"> and </w:t>
      </w:r>
      <w:r w:rsidRPr="00370E1E">
        <w:rPr>
          <w:rFonts w:ascii="Times New Roman" w:eastAsia="Times New Roman" w:hAnsi="Times New Roman" w:cs="Times New Roman"/>
          <w:b/>
          <w:bCs/>
          <w:sz w:val="28"/>
          <w:szCs w:val="24"/>
        </w:rPr>
        <w:t>foundation models</w:t>
      </w:r>
      <w:r w:rsidRPr="00370E1E">
        <w:rPr>
          <w:rFonts w:ascii="Times New Roman" w:eastAsia="Times New Roman" w:hAnsi="Times New Roman" w:cs="Times New Roman"/>
          <w:sz w:val="28"/>
          <w:szCs w:val="24"/>
        </w:rPr>
        <w:t xml:space="preserve"> themselves.</w:t>
      </w:r>
    </w:p>
    <w:p w14:paraId="3F82ED2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 foundation model is a machine learning artifact: a set of trained parameters capable of performing inference. A commercial AI service is the operational system that makes those parameters usable within production software. The service encompasses considerably more than the model. Authentication, authorization, request validation, streaming protocols, usage accounting, model versioning, regional deployment, rate limiting, availability engineering, operational support, and enterprise compliance collectively transform a trained model into a production platform.</w:t>
      </w:r>
    </w:p>
    <w:p w14:paraId="1CCFC7A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Consequently, organizations selecting commercial AI services evaluate much more than benchmark performance. Operational reliability, API stability, regional availability, security capabilities, governance integration, version management, and ecosystem maturity frequently influence long-term architectural decisions as much as raw model capability.</w:t>
      </w:r>
    </w:p>
    <w:p w14:paraId="6A2C3CF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Another important development since approximately 2024 has been the convergence of commercial AI platforms. Early services typically exposed proprietary APIs tightly coupled to individual providers. More recent platforms increasingly support compatible interfaces, standardized tool-calling patterns, structured outputs, and multiple model families through unified APIs. Amazon Bedrock, for example, now supports </w:t>
      </w:r>
      <w:proofErr w:type="spellStart"/>
      <w:r w:rsidRPr="00370E1E">
        <w:rPr>
          <w:rFonts w:ascii="Times New Roman" w:eastAsia="Times New Roman" w:hAnsi="Times New Roman" w:cs="Times New Roman"/>
          <w:sz w:val="28"/>
          <w:szCs w:val="24"/>
        </w:rPr>
        <w:t>OpenAI</w:t>
      </w:r>
      <w:proofErr w:type="spellEnd"/>
      <w:r w:rsidRPr="00370E1E">
        <w:rPr>
          <w:rFonts w:ascii="Times New Roman" w:eastAsia="Times New Roman" w:hAnsi="Times New Roman" w:cs="Times New Roman"/>
          <w:sz w:val="28"/>
          <w:szCs w:val="24"/>
        </w:rPr>
        <w:t xml:space="preserve">-compatible Responses APIs alongside Anthropic-compatible Messages APIs for supported models, illustrating an industry trend toward interoperability rather than completely isolated ecosystems. </w:t>
      </w:r>
    </w:p>
    <w:p w14:paraId="3E2CD3D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This convergence reflects broader enterprise requirements. Organizations increasingly seek portability across providers, gradual migration paths, unified governance, and reduced vendor lock-in. As a result, commercial AI platforms are evolving beyond simple model endpoints into broader application platforms </w:t>
      </w:r>
      <w:r w:rsidRPr="00370E1E">
        <w:rPr>
          <w:rFonts w:ascii="Times New Roman" w:eastAsia="Times New Roman" w:hAnsi="Times New Roman" w:cs="Times New Roman"/>
          <w:sz w:val="28"/>
          <w:szCs w:val="24"/>
        </w:rPr>
        <w:lastRenderedPageBreak/>
        <w:t>capable of integrating multiple model vendors under consistent operational controls.</w:t>
      </w:r>
    </w:p>
    <w:p w14:paraId="58C874D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Throughout this chapter, the emphasis remains on engineering decisions rather than product comparisons. Individual models evolve rapidly and market leadership changes frequently. The architectural principles governing managed AI services, however, are considerably more stable. Understanding those principles enables engineers to evaluate new platforms as they emerge rather than optimizing for the characteristics of today's model landscape.</w:t>
      </w:r>
    </w:p>
    <w:p w14:paraId="1D38293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Table 3-1. Evolution of Commercial AI Services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859"/>
        <w:gridCol w:w="3621"/>
        <w:gridCol w:w="3875"/>
      </w:tblGrid>
      <w:tr w:rsidR="00370E1E" w:rsidRPr="0017187C" w14:paraId="2A675E66" w14:textId="77777777" w:rsidTr="0017187C">
        <w:trPr>
          <w:tblHeader/>
          <w:tblCellSpacing w:w="15" w:type="dxa"/>
        </w:trPr>
        <w:tc>
          <w:tcPr>
            <w:tcW w:w="0" w:type="auto"/>
            <w:vAlign w:val="center"/>
            <w:hideMark/>
          </w:tcPr>
          <w:p w14:paraId="0E92D2AB"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Period</w:t>
            </w:r>
          </w:p>
        </w:tc>
        <w:tc>
          <w:tcPr>
            <w:tcW w:w="0" w:type="auto"/>
            <w:vAlign w:val="center"/>
            <w:hideMark/>
          </w:tcPr>
          <w:p w14:paraId="31A8A4DE"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Dominant Characteristics</w:t>
            </w:r>
          </w:p>
        </w:tc>
        <w:tc>
          <w:tcPr>
            <w:tcW w:w="0" w:type="auto"/>
            <w:vAlign w:val="center"/>
            <w:hideMark/>
          </w:tcPr>
          <w:p w14:paraId="2DC99BB6"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Architectural Impact</w:t>
            </w:r>
          </w:p>
        </w:tc>
      </w:tr>
      <w:tr w:rsidR="00370E1E" w:rsidRPr="0017187C" w14:paraId="74B08B2B" w14:textId="77777777" w:rsidTr="0017187C">
        <w:trPr>
          <w:tblCellSpacing w:w="15" w:type="dxa"/>
        </w:trPr>
        <w:tc>
          <w:tcPr>
            <w:tcW w:w="0" w:type="auto"/>
            <w:vAlign w:val="center"/>
            <w:hideMark/>
          </w:tcPr>
          <w:p w14:paraId="5A9D3B4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Early deep learning deployments</w:t>
            </w:r>
          </w:p>
        </w:tc>
        <w:tc>
          <w:tcPr>
            <w:tcW w:w="0" w:type="auto"/>
            <w:vAlign w:val="center"/>
            <w:hideMark/>
          </w:tcPr>
          <w:p w14:paraId="5CF72266"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Organizations downloaded models and operated inference infrastructure themselves.</w:t>
            </w:r>
          </w:p>
        </w:tc>
        <w:tc>
          <w:tcPr>
            <w:tcW w:w="0" w:type="auto"/>
            <w:vAlign w:val="center"/>
            <w:hideMark/>
          </w:tcPr>
          <w:p w14:paraId="0FEF919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Machine learning expertise and infrastructure engineering were tightly coupled.</w:t>
            </w:r>
          </w:p>
        </w:tc>
      </w:tr>
      <w:tr w:rsidR="00370E1E" w:rsidRPr="0017187C" w14:paraId="02F74D15" w14:textId="77777777" w:rsidTr="0017187C">
        <w:trPr>
          <w:tblCellSpacing w:w="15" w:type="dxa"/>
        </w:trPr>
        <w:tc>
          <w:tcPr>
            <w:tcW w:w="0" w:type="auto"/>
            <w:vAlign w:val="center"/>
            <w:hideMark/>
          </w:tcPr>
          <w:p w14:paraId="33D7D780"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First commercial model APIs</w:t>
            </w:r>
          </w:p>
        </w:tc>
        <w:tc>
          <w:tcPr>
            <w:tcW w:w="0" w:type="auto"/>
            <w:vAlign w:val="center"/>
            <w:hideMark/>
          </w:tcPr>
          <w:p w14:paraId="7A730C1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Individual providers exposed proprietary inference endpoints for their own models.</w:t>
            </w:r>
          </w:p>
        </w:tc>
        <w:tc>
          <w:tcPr>
            <w:tcW w:w="0" w:type="auto"/>
            <w:vAlign w:val="center"/>
            <w:hideMark/>
          </w:tcPr>
          <w:p w14:paraId="2AA47A5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Organizations could consume AI without managing infrastructure but remained tightly coupled to provider-specific APIs.</w:t>
            </w:r>
          </w:p>
        </w:tc>
      </w:tr>
      <w:tr w:rsidR="00370E1E" w:rsidRPr="0017187C" w14:paraId="564CF428" w14:textId="77777777" w:rsidTr="0017187C">
        <w:trPr>
          <w:tblCellSpacing w:w="15" w:type="dxa"/>
        </w:trPr>
        <w:tc>
          <w:tcPr>
            <w:tcW w:w="0" w:type="auto"/>
            <w:vAlign w:val="center"/>
            <w:hideMark/>
          </w:tcPr>
          <w:p w14:paraId="6454C57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Managed AI platforms</w:t>
            </w:r>
          </w:p>
        </w:tc>
        <w:tc>
          <w:tcPr>
            <w:tcW w:w="0" w:type="auto"/>
            <w:vAlign w:val="center"/>
            <w:hideMark/>
          </w:tcPr>
          <w:p w14:paraId="23275D57"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Providers expanded beyond inference to include authentication, evaluation, governance, storage, and enterprise integration.</w:t>
            </w:r>
          </w:p>
        </w:tc>
        <w:tc>
          <w:tcPr>
            <w:tcW w:w="0" w:type="auto"/>
            <w:vAlign w:val="center"/>
            <w:hideMark/>
          </w:tcPr>
          <w:p w14:paraId="3834A28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AI became a broader platform capability rather than a standalone API.</w:t>
            </w:r>
          </w:p>
        </w:tc>
      </w:tr>
      <w:tr w:rsidR="00370E1E" w:rsidRPr="0017187C" w14:paraId="6784D2E4" w14:textId="77777777" w:rsidTr="0017187C">
        <w:trPr>
          <w:tblCellSpacing w:w="15" w:type="dxa"/>
        </w:trPr>
        <w:tc>
          <w:tcPr>
            <w:tcW w:w="0" w:type="auto"/>
            <w:vAlign w:val="center"/>
            <w:hideMark/>
          </w:tcPr>
          <w:p w14:paraId="613F82D0"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Multi-model platforms and marketplaces</w:t>
            </w:r>
          </w:p>
        </w:tc>
        <w:tc>
          <w:tcPr>
            <w:tcW w:w="0" w:type="auto"/>
            <w:vAlign w:val="center"/>
            <w:hideMark/>
          </w:tcPr>
          <w:p w14:paraId="5C8A4F0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Cloud providers and specialized platforms expose multiple model families through unified interfaces.</w:t>
            </w:r>
          </w:p>
        </w:tc>
        <w:tc>
          <w:tcPr>
            <w:tcW w:w="0" w:type="auto"/>
            <w:vAlign w:val="center"/>
            <w:hideMark/>
          </w:tcPr>
          <w:p w14:paraId="4107E910"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Platform engineering increasingly focuses on provider abstraction, governance, and workload routing rather than individual model integrations.</w:t>
            </w:r>
          </w:p>
        </w:tc>
      </w:tr>
    </w:tbl>
    <w:p w14:paraId="6D9B6AF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remainder of this chapter examines the architecture of commercial AI services, distinguishes between model developers and platform providers, and explains how enterprises evaluate managed AI offerings independently of individual model performance.</w:t>
      </w:r>
    </w:p>
    <w:p w14:paraId="7E6456E7" w14:textId="77777777" w:rsidR="00370E1E" w:rsidRPr="00370E1E" w:rsidRDefault="004538ED" w:rsidP="00370E1E">
      <w:pPr>
        <w:rPr>
          <w:rFonts w:ascii="Calibri" w:eastAsia="Calibri" w:hAnsi="Calibri" w:cs="Times New Roman"/>
          <w:sz w:val="24"/>
        </w:rPr>
      </w:pPr>
      <w:r>
        <w:rPr>
          <w:rFonts w:ascii="Calibri" w:eastAsia="Calibri" w:hAnsi="Calibri" w:cs="Times New Roman"/>
          <w:sz w:val="24"/>
        </w:rPr>
        <w:pict w14:anchorId="023C12C5">
          <v:rect id="_x0000_i1025" style="width:0;height:1.5pt" o:hralign="center" o:hrstd="t" o:hr="t" fillcolor="#a0a0a0" stroked="f"/>
        </w:pict>
      </w:r>
    </w:p>
    <w:p w14:paraId="6A66EACE"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t>3.2 What Is a Commercial AI Service?</w:t>
      </w:r>
    </w:p>
    <w:p w14:paraId="094AC9A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From an engineering perspective, a commercial AI service is </w:t>
      </w:r>
      <w:r w:rsidRPr="00370E1E">
        <w:rPr>
          <w:rFonts w:ascii="Times New Roman" w:eastAsia="Times New Roman" w:hAnsi="Times New Roman" w:cs="Times New Roman"/>
          <w:b/>
          <w:bCs/>
          <w:sz w:val="28"/>
          <w:szCs w:val="24"/>
        </w:rPr>
        <w:t>not simply an API exposing a large language model</w:t>
      </w:r>
      <w:r w:rsidRPr="00370E1E">
        <w:rPr>
          <w:rFonts w:ascii="Times New Roman" w:eastAsia="Times New Roman" w:hAnsi="Times New Roman" w:cs="Times New Roman"/>
          <w:sz w:val="28"/>
          <w:szCs w:val="24"/>
        </w:rPr>
        <w:t xml:space="preserve">. It is a managed distributed system that </w:t>
      </w:r>
      <w:r w:rsidRPr="00370E1E">
        <w:rPr>
          <w:rFonts w:ascii="Times New Roman" w:eastAsia="Times New Roman" w:hAnsi="Times New Roman" w:cs="Times New Roman"/>
          <w:sz w:val="28"/>
          <w:szCs w:val="24"/>
        </w:rPr>
        <w:lastRenderedPageBreak/>
        <w:t>packages one or more foundation models together with the operational capabilities required to deliver reliable production inference.</w:t>
      </w:r>
    </w:p>
    <w:p w14:paraId="152736A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distinction is fundamental.</w:t>
      </w:r>
    </w:p>
    <w:p w14:paraId="1C6891D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Public discussion often focuses almost exclusively on the models themselves. Model benchmarks, reasoning ability, context length, and multimodal capabilities receive significant attention because they are easily compared. Yet organizations rarely purchase a model in isolation. They purchase a managed service that makes the model usable within production environments.</w:t>
      </w:r>
    </w:p>
    <w:p w14:paraId="72AFB18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 commercial AI service therefore consists of multiple architectural layers.</w:t>
      </w:r>
    </w:p>
    <w:p w14:paraId="593A92B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At its center lies the </w:t>
      </w:r>
      <w:r w:rsidRPr="00370E1E">
        <w:rPr>
          <w:rFonts w:ascii="Times New Roman" w:eastAsia="Times New Roman" w:hAnsi="Times New Roman" w:cs="Times New Roman"/>
          <w:b/>
          <w:bCs/>
          <w:sz w:val="28"/>
          <w:szCs w:val="24"/>
        </w:rPr>
        <w:t>foundation model</w:t>
      </w:r>
      <w:r w:rsidRPr="00370E1E">
        <w:rPr>
          <w:rFonts w:ascii="Times New Roman" w:eastAsia="Times New Roman" w:hAnsi="Times New Roman" w:cs="Times New Roman"/>
          <w:sz w:val="28"/>
          <w:szCs w:val="24"/>
        </w:rPr>
        <w:t xml:space="preserve">, responsible for transforming input into generated output. Surrounding the model is the </w:t>
      </w:r>
      <w:r w:rsidRPr="00370E1E">
        <w:rPr>
          <w:rFonts w:ascii="Times New Roman" w:eastAsia="Times New Roman" w:hAnsi="Times New Roman" w:cs="Times New Roman"/>
          <w:b/>
          <w:bCs/>
          <w:sz w:val="28"/>
          <w:szCs w:val="24"/>
        </w:rPr>
        <w:t>inference infrastructure</w:t>
      </w:r>
      <w:r w:rsidRPr="00370E1E">
        <w:rPr>
          <w:rFonts w:ascii="Times New Roman" w:eastAsia="Times New Roman" w:hAnsi="Times New Roman" w:cs="Times New Roman"/>
          <w:sz w:val="28"/>
          <w:szCs w:val="24"/>
        </w:rPr>
        <w:t>, including specialized hardware accelerators, serving software, scheduling systems, memory management, batching algorithms, and distributed execution mechanisms. Although customers generally never interact directly with these components, they largely determine latency, throughput, availability, and scalability.</w:t>
      </w:r>
    </w:p>
    <w:p w14:paraId="371C188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Above the inference layer sits the </w:t>
      </w:r>
      <w:r w:rsidRPr="00370E1E">
        <w:rPr>
          <w:rFonts w:ascii="Times New Roman" w:eastAsia="Times New Roman" w:hAnsi="Times New Roman" w:cs="Times New Roman"/>
          <w:b/>
          <w:bCs/>
          <w:sz w:val="28"/>
          <w:szCs w:val="24"/>
        </w:rPr>
        <w:t>service interface</w:t>
      </w:r>
      <w:r w:rsidRPr="00370E1E">
        <w:rPr>
          <w:rFonts w:ascii="Times New Roman" w:eastAsia="Times New Roman" w:hAnsi="Times New Roman" w:cs="Times New Roman"/>
          <w:sz w:val="28"/>
          <w:szCs w:val="24"/>
        </w:rPr>
        <w:t>.</w:t>
      </w:r>
    </w:p>
    <w:p w14:paraId="4BE5D1E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This interface exposes standardized APIs through which client applications submit requests, stream responses, upload files, invoke tools, generate embeddings, or execute multimodal workloads. Modern commercial platforms increasingly expose not only text generation but also image understanding, audio processing, structured output generation, agent-oriented capabilities, and long-running asynchronous operations through integrated API families. </w:t>
      </w:r>
      <w:proofErr w:type="spellStart"/>
      <w:r w:rsidRPr="00370E1E">
        <w:rPr>
          <w:rFonts w:ascii="Times New Roman" w:eastAsia="Times New Roman" w:hAnsi="Times New Roman" w:cs="Times New Roman"/>
          <w:sz w:val="28"/>
          <w:szCs w:val="24"/>
        </w:rPr>
        <w:t>OpenAI's</w:t>
      </w:r>
      <w:proofErr w:type="spellEnd"/>
      <w:r w:rsidRPr="00370E1E">
        <w:rPr>
          <w:rFonts w:ascii="Times New Roman" w:eastAsia="Times New Roman" w:hAnsi="Times New Roman" w:cs="Times New Roman"/>
          <w:sz w:val="28"/>
          <w:szCs w:val="24"/>
        </w:rPr>
        <w:t xml:space="preserve"> Responses API, for example, unifies model interaction with built-in tools such as web search, file search, computer use, and remote MCP integration, reflecting a shift from simple completion APIs toward broader application platforms. </w:t>
      </w:r>
    </w:p>
    <w:p w14:paraId="4AB2631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Enterprise services additionally include authentication, authorization, identity management, usage accounting, audit logging, quota enforcement, billing, regional deployment, operational monitoring, customer support, and contractual service commitments. None of these capabilities change how a model reasons, yet they determine whether the model can be incorporated into enterprise production systems.</w:t>
      </w:r>
    </w:p>
    <w:p w14:paraId="3890FAF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An important consequence follows from this architecture.</w:t>
      </w:r>
    </w:p>
    <w:p w14:paraId="2CF9C99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Two providers may expose identical or closely related models while offering substantially different operational characteristics. Authentication mechanisms, networking options, supported regions, compliance certifications, deployment flexibility, latency, quota management, and integration with enterprise identity systems frequently differ even when underlying models are similar.</w:t>
      </w:r>
    </w:p>
    <w:p w14:paraId="05B7DEE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 xml:space="preserve">This explains why engineering teams evaluate </w:t>
      </w:r>
      <w:r w:rsidRPr="00370E1E">
        <w:rPr>
          <w:rFonts w:ascii="Times New Roman" w:eastAsia="Times New Roman" w:hAnsi="Times New Roman" w:cs="Times New Roman"/>
          <w:b/>
          <w:bCs/>
          <w:sz w:val="28"/>
          <w:szCs w:val="24"/>
        </w:rPr>
        <w:t>services</w:t>
      </w:r>
      <w:r w:rsidRPr="00370E1E">
        <w:rPr>
          <w:rFonts w:ascii="Times New Roman" w:eastAsia="Times New Roman" w:hAnsi="Times New Roman" w:cs="Times New Roman"/>
          <w:sz w:val="28"/>
          <w:szCs w:val="24"/>
        </w:rPr>
        <w:t xml:space="preserve"> rather than simply evaluating </w:t>
      </w:r>
      <w:r w:rsidRPr="00370E1E">
        <w:rPr>
          <w:rFonts w:ascii="Times New Roman" w:eastAsia="Times New Roman" w:hAnsi="Times New Roman" w:cs="Times New Roman"/>
          <w:b/>
          <w:bCs/>
          <w:sz w:val="28"/>
          <w:szCs w:val="24"/>
        </w:rPr>
        <w:t>models</w:t>
      </w:r>
      <w:r w:rsidRPr="00370E1E">
        <w:rPr>
          <w:rFonts w:ascii="Times New Roman" w:eastAsia="Times New Roman" w:hAnsi="Times New Roman" w:cs="Times New Roman"/>
          <w:sz w:val="28"/>
          <w:szCs w:val="24"/>
        </w:rPr>
        <w:t>.</w:t>
      </w:r>
    </w:p>
    <w:p w14:paraId="79F01CF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distinction also clarifies why replacing one provider with another is rarely a matter of changing an endpoint URL. Although models may appear equivalent, surrounding operational capabilities frequently differ in ways that affect application architecture.</w:t>
      </w:r>
    </w:p>
    <w:p w14:paraId="0B93F4A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AI services generally provide several categories of operational responsibility on behalf of customers: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840"/>
        <w:gridCol w:w="3923"/>
        <w:gridCol w:w="3592"/>
      </w:tblGrid>
      <w:tr w:rsidR="00370E1E" w:rsidRPr="0017187C" w14:paraId="15FF24F2" w14:textId="77777777" w:rsidTr="0017187C">
        <w:trPr>
          <w:tblHeader/>
          <w:tblCellSpacing w:w="15" w:type="dxa"/>
        </w:trPr>
        <w:tc>
          <w:tcPr>
            <w:tcW w:w="0" w:type="auto"/>
            <w:vAlign w:val="center"/>
            <w:hideMark/>
          </w:tcPr>
          <w:p w14:paraId="461DFBCB"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Responsibility</w:t>
            </w:r>
          </w:p>
        </w:tc>
        <w:tc>
          <w:tcPr>
            <w:tcW w:w="0" w:type="auto"/>
            <w:vAlign w:val="center"/>
            <w:hideMark/>
          </w:tcPr>
          <w:p w14:paraId="07517304"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Managed by Provider</w:t>
            </w:r>
          </w:p>
        </w:tc>
        <w:tc>
          <w:tcPr>
            <w:tcW w:w="0" w:type="auto"/>
            <w:vAlign w:val="center"/>
            <w:hideMark/>
          </w:tcPr>
          <w:p w14:paraId="5AB612E1"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Architectural Benefit</w:t>
            </w:r>
          </w:p>
        </w:tc>
      </w:tr>
      <w:tr w:rsidR="00370E1E" w:rsidRPr="0017187C" w14:paraId="12C14765" w14:textId="77777777" w:rsidTr="0017187C">
        <w:trPr>
          <w:tblCellSpacing w:w="15" w:type="dxa"/>
        </w:trPr>
        <w:tc>
          <w:tcPr>
            <w:tcW w:w="0" w:type="auto"/>
            <w:vAlign w:val="center"/>
            <w:hideMark/>
          </w:tcPr>
          <w:p w14:paraId="78391E45"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Model hosting</w:t>
            </w:r>
          </w:p>
        </w:tc>
        <w:tc>
          <w:tcPr>
            <w:tcW w:w="0" w:type="auto"/>
            <w:vAlign w:val="center"/>
            <w:hideMark/>
          </w:tcPr>
          <w:p w14:paraId="424B2C6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Deployment, lifecycle management, upgrades, rollback capabilities</w:t>
            </w:r>
          </w:p>
        </w:tc>
        <w:tc>
          <w:tcPr>
            <w:tcW w:w="0" w:type="auto"/>
            <w:vAlign w:val="center"/>
            <w:hideMark/>
          </w:tcPr>
          <w:p w14:paraId="58F38EF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Customers avoid managing model artifacts and inference infrastructure.</w:t>
            </w:r>
          </w:p>
        </w:tc>
      </w:tr>
      <w:tr w:rsidR="00370E1E" w:rsidRPr="0017187C" w14:paraId="7B5CB71E" w14:textId="77777777" w:rsidTr="0017187C">
        <w:trPr>
          <w:tblCellSpacing w:w="15" w:type="dxa"/>
        </w:trPr>
        <w:tc>
          <w:tcPr>
            <w:tcW w:w="0" w:type="auto"/>
            <w:vAlign w:val="center"/>
            <w:hideMark/>
          </w:tcPr>
          <w:p w14:paraId="1BDCAC1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Inference infrastructure</w:t>
            </w:r>
          </w:p>
        </w:tc>
        <w:tc>
          <w:tcPr>
            <w:tcW w:w="0" w:type="auto"/>
            <w:vAlign w:val="center"/>
            <w:hideMark/>
          </w:tcPr>
          <w:p w14:paraId="7BC36D6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Accelerators, serving systems, scheduling, scaling</w:t>
            </w:r>
          </w:p>
        </w:tc>
        <w:tc>
          <w:tcPr>
            <w:tcW w:w="0" w:type="auto"/>
            <w:vAlign w:val="center"/>
            <w:hideMark/>
          </w:tcPr>
          <w:p w14:paraId="13493AAD"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Eliminates operational responsibility for GPU infrastructure.</w:t>
            </w:r>
          </w:p>
        </w:tc>
      </w:tr>
      <w:tr w:rsidR="00370E1E" w:rsidRPr="0017187C" w14:paraId="6363F4DB" w14:textId="77777777" w:rsidTr="0017187C">
        <w:trPr>
          <w:tblCellSpacing w:w="15" w:type="dxa"/>
        </w:trPr>
        <w:tc>
          <w:tcPr>
            <w:tcW w:w="0" w:type="auto"/>
            <w:vAlign w:val="center"/>
            <w:hideMark/>
          </w:tcPr>
          <w:p w14:paraId="2EE9E38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API management</w:t>
            </w:r>
          </w:p>
        </w:tc>
        <w:tc>
          <w:tcPr>
            <w:tcW w:w="0" w:type="auto"/>
            <w:vAlign w:val="center"/>
            <w:hideMark/>
          </w:tcPr>
          <w:p w14:paraId="5DCB503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Authentication, request validation, quotas, versioning</w:t>
            </w:r>
          </w:p>
        </w:tc>
        <w:tc>
          <w:tcPr>
            <w:tcW w:w="0" w:type="auto"/>
            <w:vAlign w:val="center"/>
            <w:hideMark/>
          </w:tcPr>
          <w:p w14:paraId="5BD05BF0"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Provides stable integration points for applications.</w:t>
            </w:r>
          </w:p>
        </w:tc>
      </w:tr>
      <w:tr w:rsidR="00370E1E" w:rsidRPr="0017187C" w14:paraId="530AE5FE" w14:textId="77777777" w:rsidTr="0017187C">
        <w:trPr>
          <w:tblCellSpacing w:w="15" w:type="dxa"/>
        </w:trPr>
        <w:tc>
          <w:tcPr>
            <w:tcW w:w="0" w:type="auto"/>
            <w:vAlign w:val="center"/>
            <w:hideMark/>
          </w:tcPr>
          <w:p w14:paraId="0CB55A4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Operational reliability</w:t>
            </w:r>
          </w:p>
        </w:tc>
        <w:tc>
          <w:tcPr>
            <w:tcW w:w="0" w:type="auto"/>
            <w:vAlign w:val="center"/>
            <w:hideMark/>
          </w:tcPr>
          <w:p w14:paraId="24549AFA"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Capacity management, fault tolerance, regional deployment</w:t>
            </w:r>
          </w:p>
        </w:tc>
        <w:tc>
          <w:tcPr>
            <w:tcW w:w="0" w:type="auto"/>
            <w:vAlign w:val="center"/>
            <w:hideMark/>
          </w:tcPr>
          <w:p w14:paraId="5CCA2C1B"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Simplifies production operations for customers.</w:t>
            </w:r>
          </w:p>
        </w:tc>
      </w:tr>
      <w:tr w:rsidR="00370E1E" w:rsidRPr="0017187C" w14:paraId="65311C9F" w14:textId="77777777" w:rsidTr="0017187C">
        <w:trPr>
          <w:tblCellSpacing w:w="15" w:type="dxa"/>
        </w:trPr>
        <w:tc>
          <w:tcPr>
            <w:tcW w:w="0" w:type="auto"/>
            <w:vAlign w:val="center"/>
            <w:hideMark/>
          </w:tcPr>
          <w:p w14:paraId="6426277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Platform services</w:t>
            </w:r>
          </w:p>
        </w:tc>
        <w:tc>
          <w:tcPr>
            <w:tcW w:w="0" w:type="auto"/>
            <w:vAlign w:val="center"/>
            <w:hideMark/>
          </w:tcPr>
          <w:p w14:paraId="26C543D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Tool execution, embeddings, multimodal APIs, file handling, agent capabilities</w:t>
            </w:r>
          </w:p>
        </w:tc>
        <w:tc>
          <w:tcPr>
            <w:tcW w:w="0" w:type="auto"/>
            <w:vAlign w:val="center"/>
            <w:hideMark/>
          </w:tcPr>
          <w:p w14:paraId="78C97F9A"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Expands functionality beyond raw text generation.</w:t>
            </w:r>
          </w:p>
        </w:tc>
      </w:tr>
      <w:tr w:rsidR="00370E1E" w:rsidRPr="0017187C" w14:paraId="6B551E4C" w14:textId="77777777" w:rsidTr="0017187C">
        <w:trPr>
          <w:tblCellSpacing w:w="15" w:type="dxa"/>
        </w:trPr>
        <w:tc>
          <w:tcPr>
            <w:tcW w:w="0" w:type="auto"/>
            <w:vAlign w:val="center"/>
            <w:hideMark/>
          </w:tcPr>
          <w:p w14:paraId="2823EC56"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Enterprise integration</w:t>
            </w:r>
          </w:p>
        </w:tc>
        <w:tc>
          <w:tcPr>
            <w:tcW w:w="0" w:type="auto"/>
            <w:vAlign w:val="center"/>
            <w:hideMark/>
          </w:tcPr>
          <w:p w14:paraId="052E5A4A"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IAM, audit logging, billing, governance capabilities</w:t>
            </w:r>
          </w:p>
        </w:tc>
        <w:tc>
          <w:tcPr>
            <w:tcW w:w="0" w:type="auto"/>
            <w:vAlign w:val="center"/>
            <w:hideMark/>
          </w:tcPr>
          <w:p w14:paraId="5E4A817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Facilitates adoption within existing enterprise environments.</w:t>
            </w:r>
          </w:p>
        </w:tc>
      </w:tr>
    </w:tbl>
    <w:p w14:paraId="3B783DA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From a platform engineering perspective, the commercial service therefore becomes another managed infrastructure dependency analogous to managed databases, message queues, or object storage. Organizations remain responsible for application architecture, testing, governance, and operational integration, but many infrastructure concerns are delegated to the service provider.</w:t>
      </w:r>
    </w:p>
    <w:p w14:paraId="0EE2D74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delegation should not be interpreted as eliminating operational responsibility altogether.</w:t>
      </w:r>
    </w:p>
    <w:p w14:paraId="2F68EEC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Customers must still design resilient applications, manage credentials, validate outputs, perform regression testing when models evolve, monitor service health, and enforce organizational policies. Those topics are introduced where appropriate throughout this chapter, while their implementation is discussed in detail in later </w:t>
      </w:r>
      <w:r w:rsidRPr="00370E1E">
        <w:rPr>
          <w:rFonts w:ascii="Times New Roman" w:eastAsia="Times New Roman" w:hAnsi="Times New Roman" w:cs="Times New Roman"/>
          <w:sz w:val="28"/>
          <w:szCs w:val="24"/>
        </w:rPr>
        <w:lastRenderedPageBreak/>
        <w:t>chapters. Evaluation methodologies are covered in Chapter 13, security architecture in Chapter 14, observability in Chapter 15, deployment practices in Chapter 16, and cost engineering in Chapter 17.</w:t>
      </w:r>
    </w:p>
    <w:p w14:paraId="679CD5B4" w14:textId="77777777" w:rsidR="00370E1E" w:rsidRPr="00370E1E" w:rsidRDefault="004538ED" w:rsidP="00370E1E">
      <w:pPr>
        <w:rPr>
          <w:rFonts w:ascii="Calibri" w:eastAsia="Calibri" w:hAnsi="Calibri" w:cs="Times New Roman"/>
          <w:sz w:val="24"/>
        </w:rPr>
      </w:pPr>
      <w:r>
        <w:rPr>
          <w:rFonts w:ascii="Calibri" w:eastAsia="Calibri" w:hAnsi="Calibri" w:cs="Times New Roman"/>
          <w:sz w:val="24"/>
        </w:rPr>
        <w:pict w14:anchorId="55A8B255">
          <v:rect id="_x0000_i1026" style="width:0;height:1.5pt" o:hralign="center" o:hrstd="t" o:hr="t" fillcolor="#a0a0a0" stroked="f"/>
        </w:pict>
      </w:r>
    </w:p>
    <w:p w14:paraId="06BF47F1"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t>3.3 Model Developers, Platform Providers, and AI Marketplaces</w:t>
      </w:r>
    </w:p>
    <w:p w14:paraId="73378B1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One of the most common sources of confusion in contemporary AI engineering is the tendency to treat every AI vendor as performing the same role. In reality, the commercial AI ecosystem has become increasingly specialized. Organizations developing frontier foundation models, organizations operating enterprise AI platforms, and organizations aggregating models from multiple vendors frequently represent distinct layers within the overall ecosystem.</w:t>
      </w:r>
    </w:p>
    <w:p w14:paraId="34DFE77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Understanding these distinctions is essential for making informed architectural decisions.</w:t>
      </w:r>
    </w:p>
    <w:p w14:paraId="0CBEBE1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The first category consists of </w:t>
      </w:r>
      <w:r w:rsidRPr="00370E1E">
        <w:rPr>
          <w:rFonts w:ascii="Times New Roman" w:eastAsia="Times New Roman" w:hAnsi="Times New Roman" w:cs="Times New Roman"/>
          <w:b/>
          <w:bCs/>
          <w:sz w:val="28"/>
          <w:szCs w:val="24"/>
        </w:rPr>
        <w:t>model developers</w:t>
      </w:r>
      <w:r w:rsidRPr="00370E1E">
        <w:rPr>
          <w:rFonts w:ascii="Times New Roman" w:eastAsia="Times New Roman" w:hAnsi="Times New Roman" w:cs="Times New Roman"/>
          <w:sz w:val="28"/>
          <w:szCs w:val="24"/>
        </w:rPr>
        <w:t>.</w:t>
      </w:r>
    </w:p>
    <w:p w14:paraId="0C8EF1E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These organizations primarily invest in research, large-scale training infrastructure, data curation, post-training alignment, and model development. Their principal intellectual property is the foundation model itself. Examples include </w:t>
      </w:r>
      <w:proofErr w:type="spellStart"/>
      <w:r w:rsidRPr="00370E1E">
        <w:rPr>
          <w:rFonts w:ascii="Times New Roman" w:eastAsia="Times New Roman" w:hAnsi="Times New Roman" w:cs="Times New Roman"/>
          <w:sz w:val="28"/>
          <w:szCs w:val="24"/>
        </w:rPr>
        <w:t>OpenAI</w:t>
      </w:r>
      <w:proofErr w:type="spellEnd"/>
      <w:r w:rsidRPr="00370E1E">
        <w:rPr>
          <w:rFonts w:ascii="Times New Roman" w:eastAsia="Times New Roman" w:hAnsi="Times New Roman" w:cs="Times New Roman"/>
          <w:sz w:val="28"/>
          <w:szCs w:val="24"/>
        </w:rPr>
        <w:t xml:space="preserve">, Anthropic, Google DeepMind, Cohere, Mistral AI, and </w:t>
      </w:r>
      <w:proofErr w:type="spellStart"/>
      <w:r w:rsidRPr="00370E1E">
        <w:rPr>
          <w:rFonts w:ascii="Times New Roman" w:eastAsia="Times New Roman" w:hAnsi="Times New Roman" w:cs="Times New Roman"/>
          <w:sz w:val="28"/>
          <w:szCs w:val="24"/>
        </w:rPr>
        <w:t>xAI</w:t>
      </w:r>
      <w:proofErr w:type="spellEnd"/>
      <w:r w:rsidRPr="00370E1E">
        <w:rPr>
          <w:rFonts w:ascii="Times New Roman" w:eastAsia="Times New Roman" w:hAnsi="Times New Roman" w:cs="Times New Roman"/>
          <w:sz w:val="28"/>
          <w:szCs w:val="24"/>
        </w:rPr>
        <w:t>. Some of these organizations also operate commercial APIs directly, but model development remains their defining activity.</w:t>
      </w:r>
    </w:p>
    <w:p w14:paraId="62E3600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The second category consists of </w:t>
      </w:r>
      <w:r w:rsidRPr="00370E1E">
        <w:rPr>
          <w:rFonts w:ascii="Times New Roman" w:eastAsia="Times New Roman" w:hAnsi="Times New Roman" w:cs="Times New Roman"/>
          <w:b/>
          <w:bCs/>
          <w:sz w:val="28"/>
          <w:szCs w:val="24"/>
        </w:rPr>
        <w:t>managed AI platform providers</w:t>
      </w:r>
      <w:r w:rsidRPr="00370E1E">
        <w:rPr>
          <w:rFonts w:ascii="Times New Roman" w:eastAsia="Times New Roman" w:hAnsi="Times New Roman" w:cs="Times New Roman"/>
          <w:sz w:val="28"/>
          <w:szCs w:val="24"/>
        </w:rPr>
        <w:t>.</w:t>
      </w:r>
    </w:p>
    <w:p w14:paraId="47E77AA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Rather than focusing exclusively on developing proprietary models, these platforms provide enterprise infrastructure for consuming AI services. They integrate authentication, networking, governance, compliance, billing, model catalogs, private connectivity, operational tooling, and lifecycle management into environments suitable for enterprise deployment.</w:t>
      </w:r>
    </w:p>
    <w:p w14:paraId="1658520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Major cloud providers </w:t>
      </w:r>
      <w:proofErr w:type="gramStart"/>
      <w:r w:rsidRPr="00370E1E">
        <w:rPr>
          <w:rFonts w:ascii="Times New Roman" w:eastAsia="Times New Roman" w:hAnsi="Times New Roman" w:cs="Times New Roman"/>
          <w:sz w:val="28"/>
          <w:szCs w:val="24"/>
        </w:rPr>
        <w:t>illustrate</w:t>
      </w:r>
      <w:proofErr w:type="gramEnd"/>
      <w:r w:rsidRPr="00370E1E">
        <w:rPr>
          <w:rFonts w:ascii="Times New Roman" w:eastAsia="Times New Roman" w:hAnsi="Times New Roman" w:cs="Times New Roman"/>
          <w:sz w:val="28"/>
          <w:szCs w:val="24"/>
        </w:rPr>
        <w:t xml:space="preserve"> this approach. Amazon Web Services offers Amazon Bedrock, Google Cloud provides Vertex AI, and Microsoft offers Azure AI Foundry. These platforms increasingly expose models from multiple vendors through consistent operational environments rather than restricting customers to models developed internally. Amazon Bedrock, for example, provides managed access to foundation models from several AI companies while integrating those models with AWS identity, networking, monitoring, and governance capabilities. </w:t>
      </w:r>
    </w:p>
    <w:p w14:paraId="554F7A5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 xml:space="preserve">A third category comprises </w:t>
      </w:r>
      <w:r w:rsidRPr="00370E1E">
        <w:rPr>
          <w:rFonts w:ascii="Times New Roman" w:eastAsia="Times New Roman" w:hAnsi="Times New Roman" w:cs="Times New Roman"/>
          <w:b/>
          <w:bCs/>
          <w:sz w:val="28"/>
          <w:szCs w:val="24"/>
        </w:rPr>
        <w:t>AI marketplaces and inference providers</w:t>
      </w:r>
      <w:r w:rsidRPr="00370E1E">
        <w:rPr>
          <w:rFonts w:ascii="Times New Roman" w:eastAsia="Times New Roman" w:hAnsi="Times New Roman" w:cs="Times New Roman"/>
          <w:sz w:val="28"/>
          <w:szCs w:val="24"/>
        </w:rPr>
        <w:t>.</w:t>
      </w:r>
    </w:p>
    <w:p w14:paraId="6515EE8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These organizations emphasize interoperability and provider abstraction rather than developing frontier models themselves. Platforms such as </w:t>
      </w:r>
      <w:proofErr w:type="spellStart"/>
      <w:r w:rsidRPr="00370E1E">
        <w:rPr>
          <w:rFonts w:ascii="Times New Roman" w:eastAsia="Times New Roman" w:hAnsi="Times New Roman" w:cs="Times New Roman"/>
          <w:sz w:val="28"/>
          <w:szCs w:val="24"/>
        </w:rPr>
        <w:t>OpenRouter</w:t>
      </w:r>
      <w:proofErr w:type="spellEnd"/>
      <w:r w:rsidRPr="00370E1E">
        <w:rPr>
          <w:rFonts w:ascii="Times New Roman" w:eastAsia="Times New Roman" w:hAnsi="Times New Roman" w:cs="Times New Roman"/>
          <w:sz w:val="28"/>
          <w:szCs w:val="24"/>
        </w:rPr>
        <w:t xml:space="preserve">, Together AI, Fireworks AI, </w:t>
      </w:r>
      <w:proofErr w:type="spellStart"/>
      <w:r w:rsidRPr="00370E1E">
        <w:rPr>
          <w:rFonts w:ascii="Times New Roman" w:eastAsia="Times New Roman" w:hAnsi="Times New Roman" w:cs="Times New Roman"/>
          <w:sz w:val="28"/>
          <w:szCs w:val="24"/>
        </w:rPr>
        <w:t>GroqCloud</w:t>
      </w:r>
      <w:proofErr w:type="spellEnd"/>
      <w:r w:rsidRPr="00370E1E">
        <w:rPr>
          <w:rFonts w:ascii="Times New Roman" w:eastAsia="Times New Roman" w:hAnsi="Times New Roman" w:cs="Times New Roman"/>
          <w:sz w:val="28"/>
          <w:szCs w:val="24"/>
        </w:rPr>
        <w:t xml:space="preserve">, </w:t>
      </w:r>
      <w:proofErr w:type="spellStart"/>
      <w:r w:rsidRPr="00370E1E">
        <w:rPr>
          <w:rFonts w:ascii="Times New Roman" w:eastAsia="Times New Roman" w:hAnsi="Times New Roman" w:cs="Times New Roman"/>
          <w:sz w:val="28"/>
          <w:szCs w:val="24"/>
        </w:rPr>
        <w:t>Cerebras</w:t>
      </w:r>
      <w:proofErr w:type="spellEnd"/>
      <w:r w:rsidRPr="00370E1E">
        <w:rPr>
          <w:rFonts w:ascii="Times New Roman" w:eastAsia="Times New Roman" w:hAnsi="Times New Roman" w:cs="Times New Roman"/>
          <w:sz w:val="28"/>
          <w:szCs w:val="24"/>
        </w:rPr>
        <w:t xml:space="preserve"> Inference, </w:t>
      </w:r>
      <w:proofErr w:type="spellStart"/>
      <w:r w:rsidRPr="00370E1E">
        <w:rPr>
          <w:rFonts w:ascii="Times New Roman" w:eastAsia="Times New Roman" w:hAnsi="Times New Roman" w:cs="Times New Roman"/>
          <w:sz w:val="28"/>
          <w:szCs w:val="24"/>
        </w:rPr>
        <w:t>DeepInfra</w:t>
      </w:r>
      <w:proofErr w:type="spellEnd"/>
      <w:r w:rsidRPr="00370E1E">
        <w:rPr>
          <w:rFonts w:ascii="Times New Roman" w:eastAsia="Times New Roman" w:hAnsi="Times New Roman" w:cs="Times New Roman"/>
          <w:sz w:val="28"/>
          <w:szCs w:val="24"/>
        </w:rPr>
        <w:t>, Hugging Face Inference Providers, and others expose multiple model families through unified APIs or specialized inference infrastructure. Some focus on simplified multi-provider access, others optimize inference performance through specialized hardware or serving systems, while still others emphasize hosting open-weight models.</w:t>
      </w:r>
    </w:p>
    <w:p w14:paraId="156C28A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This layered ecosystem produces an important architectural consequence: </w:t>
      </w:r>
      <w:r w:rsidRPr="00370E1E">
        <w:rPr>
          <w:rFonts w:ascii="Times New Roman" w:eastAsia="Times New Roman" w:hAnsi="Times New Roman" w:cs="Times New Roman"/>
          <w:b/>
          <w:bCs/>
          <w:sz w:val="28"/>
          <w:szCs w:val="24"/>
        </w:rPr>
        <w:t>the same model may be available through multiple services</w:t>
      </w:r>
      <w:r w:rsidRPr="00370E1E">
        <w:rPr>
          <w:rFonts w:ascii="Times New Roman" w:eastAsia="Times New Roman" w:hAnsi="Times New Roman" w:cs="Times New Roman"/>
          <w:sz w:val="28"/>
          <w:szCs w:val="24"/>
        </w:rPr>
        <w:t>.</w:t>
      </w:r>
    </w:p>
    <w:p w14:paraId="71605B5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For example, a model developed by one organization may later become accessible through its own first-party API, through a major cloud provider, and through several inference platforms simultaneously. The customer therefore chooses not only the model but also the operational environment through which that model is consumed.</w:t>
      </w:r>
    </w:p>
    <w:p w14:paraId="189C2BA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This separation between </w:t>
      </w:r>
      <w:r w:rsidRPr="00370E1E">
        <w:rPr>
          <w:rFonts w:ascii="Times New Roman" w:eastAsia="Times New Roman" w:hAnsi="Times New Roman" w:cs="Times New Roman"/>
          <w:b/>
          <w:bCs/>
          <w:sz w:val="28"/>
          <w:szCs w:val="24"/>
        </w:rPr>
        <w:t>model ownership</w:t>
      </w:r>
      <w:r w:rsidRPr="00370E1E">
        <w:rPr>
          <w:rFonts w:ascii="Times New Roman" w:eastAsia="Times New Roman" w:hAnsi="Times New Roman" w:cs="Times New Roman"/>
          <w:sz w:val="28"/>
          <w:szCs w:val="24"/>
        </w:rPr>
        <w:t xml:space="preserve"> and </w:t>
      </w:r>
      <w:r w:rsidRPr="00370E1E">
        <w:rPr>
          <w:rFonts w:ascii="Times New Roman" w:eastAsia="Times New Roman" w:hAnsi="Times New Roman" w:cs="Times New Roman"/>
          <w:b/>
          <w:bCs/>
          <w:sz w:val="28"/>
          <w:szCs w:val="24"/>
        </w:rPr>
        <w:t>service delivery</w:t>
      </w:r>
      <w:r w:rsidRPr="00370E1E">
        <w:rPr>
          <w:rFonts w:ascii="Times New Roman" w:eastAsia="Times New Roman" w:hAnsi="Times New Roman" w:cs="Times New Roman"/>
          <w:sz w:val="28"/>
          <w:szCs w:val="24"/>
        </w:rPr>
        <w:t xml:space="preserve"> represents a significant evolution from earlier generations of cloud software. Increasingly, enterprises evaluate providers according to factors extending beyond model quality:</w:t>
      </w:r>
    </w:p>
    <w:p w14:paraId="3A43C857" w14:textId="77777777" w:rsidR="00370E1E" w:rsidRPr="0017187C" w:rsidRDefault="00370E1E" w:rsidP="00370E1E">
      <w:pPr>
        <w:numPr>
          <w:ilvl w:val="0"/>
          <w:numId w:val="5"/>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enterprise identity integration, </w:t>
      </w:r>
    </w:p>
    <w:p w14:paraId="55697231" w14:textId="77777777" w:rsidR="00370E1E" w:rsidRPr="0017187C" w:rsidRDefault="00370E1E" w:rsidP="00370E1E">
      <w:pPr>
        <w:numPr>
          <w:ilvl w:val="0"/>
          <w:numId w:val="5"/>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private networking capabilities, </w:t>
      </w:r>
    </w:p>
    <w:p w14:paraId="494EB1AB" w14:textId="77777777" w:rsidR="00370E1E" w:rsidRPr="0017187C" w:rsidRDefault="00370E1E" w:rsidP="00370E1E">
      <w:pPr>
        <w:numPr>
          <w:ilvl w:val="0"/>
          <w:numId w:val="5"/>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regional deployment, </w:t>
      </w:r>
    </w:p>
    <w:p w14:paraId="6B02CE3A" w14:textId="77777777" w:rsidR="00370E1E" w:rsidRPr="0017187C" w:rsidRDefault="00370E1E" w:rsidP="00370E1E">
      <w:pPr>
        <w:numPr>
          <w:ilvl w:val="0"/>
          <w:numId w:val="5"/>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compliance certifications, </w:t>
      </w:r>
    </w:p>
    <w:p w14:paraId="65AE707E" w14:textId="77777777" w:rsidR="00370E1E" w:rsidRPr="0017187C" w:rsidRDefault="00370E1E" w:rsidP="00370E1E">
      <w:pPr>
        <w:numPr>
          <w:ilvl w:val="0"/>
          <w:numId w:val="5"/>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operational tooling, </w:t>
      </w:r>
    </w:p>
    <w:p w14:paraId="701E817D" w14:textId="77777777" w:rsidR="00370E1E" w:rsidRPr="0017187C" w:rsidRDefault="00370E1E" w:rsidP="00370E1E">
      <w:pPr>
        <w:numPr>
          <w:ilvl w:val="0"/>
          <w:numId w:val="5"/>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governance features, </w:t>
      </w:r>
    </w:p>
    <w:p w14:paraId="5D5A91F1" w14:textId="77777777" w:rsidR="00370E1E" w:rsidRPr="0017187C" w:rsidRDefault="00370E1E" w:rsidP="00370E1E">
      <w:pPr>
        <w:numPr>
          <w:ilvl w:val="0"/>
          <w:numId w:val="5"/>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API compatibility, </w:t>
      </w:r>
    </w:p>
    <w:p w14:paraId="769DBC5D" w14:textId="77777777" w:rsidR="00370E1E" w:rsidRPr="0017187C" w:rsidRDefault="00370E1E" w:rsidP="00370E1E">
      <w:pPr>
        <w:numPr>
          <w:ilvl w:val="0"/>
          <w:numId w:val="5"/>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support agreements, </w:t>
      </w:r>
    </w:p>
    <w:p w14:paraId="1C50389E" w14:textId="77777777" w:rsidR="00370E1E" w:rsidRPr="0017187C" w:rsidRDefault="00370E1E" w:rsidP="00370E1E">
      <w:pPr>
        <w:numPr>
          <w:ilvl w:val="0"/>
          <w:numId w:val="5"/>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and integration with existing cloud infrastructure. </w:t>
      </w:r>
    </w:p>
    <w:p w14:paraId="4C98D08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characteristics often determine procurement decisions even when model capability differences are relatively small.</w:t>
      </w:r>
    </w:p>
    <w:p w14:paraId="1D85922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Another important industry trend is the gradual convergence of API designs.</w:t>
      </w:r>
    </w:p>
    <w:p w14:paraId="2845CA3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Although providers continue to maintain proprietary capabilities, many now support similar interaction patterns, including structured outputs, streaming, tool calling, multimodal requests, and increasingly compatible API schemas. Some managed platforms even expose compatibility layers for widely adopted APIs. Amazon Bedrock's support for </w:t>
      </w:r>
      <w:proofErr w:type="spellStart"/>
      <w:r w:rsidRPr="00370E1E">
        <w:rPr>
          <w:rFonts w:ascii="Times New Roman" w:eastAsia="Times New Roman" w:hAnsi="Times New Roman" w:cs="Times New Roman"/>
          <w:sz w:val="28"/>
          <w:szCs w:val="24"/>
        </w:rPr>
        <w:t>OpenAI</w:t>
      </w:r>
      <w:proofErr w:type="spellEnd"/>
      <w:r w:rsidRPr="00370E1E">
        <w:rPr>
          <w:rFonts w:ascii="Times New Roman" w:eastAsia="Times New Roman" w:hAnsi="Times New Roman" w:cs="Times New Roman"/>
          <w:sz w:val="28"/>
          <w:szCs w:val="24"/>
        </w:rPr>
        <w:t xml:space="preserve">-compatible Responses APIs alongside </w:t>
      </w:r>
      <w:r w:rsidRPr="00370E1E">
        <w:rPr>
          <w:rFonts w:ascii="Times New Roman" w:eastAsia="Times New Roman" w:hAnsi="Times New Roman" w:cs="Times New Roman"/>
          <w:sz w:val="28"/>
          <w:szCs w:val="24"/>
        </w:rPr>
        <w:lastRenderedPageBreak/>
        <w:t xml:space="preserve">Anthropic-compatible Messages APIs illustrates this movement toward interoperability while preserving provider-specific operational controls. </w:t>
      </w:r>
    </w:p>
    <w:p w14:paraId="186AD80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convergence benefits enterprise platform engineering by reducing migration effort and encouraging architectural abstraction. However, compatibility should not be mistaken for complete interchangeability. Behavioral differences, supported features, quota models, latency characteristics, safety policies, and version lifecycles continue to vary among providers. Consequently, platform engineers should evaluate compatibility as one factor within a broader architectural assessment rather than assuming that API similarity guarantees identical production behavior.</w:t>
      </w:r>
    </w:p>
    <w:p w14:paraId="55EF362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Table 3-2. Roles Within the Commercial AI Ecosystem</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599"/>
        <w:gridCol w:w="2574"/>
        <w:gridCol w:w="2842"/>
        <w:gridCol w:w="2340"/>
      </w:tblGrid>
      <w:tr w:rsidR="00370E1E" w:rsidRPr="0017187C" w14:paraId="7F660047" w14:textId="77777777" w:rsidTr="0017187C">
        <w:trPr>
          <w:tblHeader/>
          <w:tblCellSpacing w:w="15" w:type="dxa"/>
        </w:trPr>
        <w:tc>
          <w:tcPr>
            <w:tcW w:w="0" w:type="auto"/>
            <w:vAlign w:val="center"/>
            <w:hideMark/>
          </w:tcPr>
          <w:p w14:paraId="54FE32D0"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Ecosystem Role</w:t>
            </w:r>
          </w:p>
        </w:tc>
        <w:tc>
          <w:tcPr>
            <w:tcW w:w="0" w:type="auto"/>
            <w:vAlign w:val="center"/>
            <w:hideMark/>
          </w:tcPr>
          <w:p w14:paraId="36F046EE"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Primary Responsibility</w:t>
            </w:r>
          </w:p>
        </w:tc>
        <w:tc>
          <w:tcPr>
            <w:tcW w:w="0" w:type="auto"/>
            <w:vAlign w:val="center"/>
            <w:hideMark/>
          </w:tcPr>
          <w:p w14:paraId="3ADDEB7B"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Representative Examples</w:t>
            </w:r>
          </w:p>
        </w:tc>
        <w:tc>
          <w:tcPr>
            <w:tcW w:w="0" w:type="auto"/>
            <w:vAlign w:val="center"/>
            <w:hideMark/>
          </w:tcPr>
          <w:p w14:paraId="6E9FB169"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Primary Value to Customers</w:t>
            </w:r>
          </w:p>
        </w:tc>
      </w:tr>
      <w:tr w:rsidR="00370E1E" w:rsidRPr="0017187C" w14:paraId="096657AA" w14:textId="77777777" w:rsidTr="0017187C">
        <w:trPr>
          <w:tblCellSpacing w:w="15" w:type="dxa"/>
        </w:trPr>
        <w:tc>
          <w:tcPr>
            <w:tcW w:w="0" w:type="auto"/>
            <w:vAlign w:val="center"/>
            <w:hideMark/>
          </w:tcPr>
          <w:p w14:paraId="07259CC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Model developer</w:t>
            </w:r>
          </w:p>
        </w:tc>
        <w:tc>
          <w:tcPr>
            <w:tcW w:w="0" w:type="auto"/>
            <w:vAlign w:val="center"/>
            <w:hideMark/>
          </w:tcPr>
          <w:p w14:paraId="48FD4BC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Research, model training, alignment, and model lifecycle</w:t>
            </w:r>
          </w:p>
        </w:tc>
        <w:tc>
          <w:tcPr>
            <w:tcW w:w="0" w:type="auto"/>
            <w:vAlign w:val="center"/>
            <w:hideMark/>
          </w:tcPr>
          <w:p w14:paraId="3851BD75" w14:textId="77777777" w:rsidR="00370E1E" w:rsidRPr="0017187C" w:rsidRDefault="00370E1E" w:rsidP="00370E1E">
            <w:pPr>
              <w:rPr>
                <w:rFonts w:ascii="Times New Roman" w:eastAsia="Calibri" w:hAnsi="Times New Roman" w:cs="Times New Roman"/>
                <w:sz w:val="24"/>
              </w:rPr>
            </w:pPr>
            <w:proofErr w:type="spellStart"/>
            <w:r w:rsidRPr="0017187C">
              <w:rPr>
                <w:rFonts w:ascii="Times New Roman" w:eastAsia="Calibri" w:hAnsi="Times New Roman" w:cs="Times New Roman"/>
                <w:sz w:val="24"/>
              </w:rPr>
              <w:t>OpenAI</w:t>
            </w:r>
            <w:proofErr w:type="spellEnd"/>
            <w:r w:rsidRPr="0017187C">
              <w:rPr>
                <w:rFonts w:ascii="Times New Roman" w:eastAsia="Calibri" w:hAnsi="Times New Roman" w:cs="Times New Roman"/>
                <w:sz w:val="24"/>
              </w:rPr>
              <w:t>, Anthropic, Google DeepMind, Cohere, Mistral AI</w:t>
            </w:r>
          </w:p>
        </w:tc>
        <w:tc>
          <w:tcPr>
            <w:tcW w:w="0" w:type="auto"/>
            <w:vAlign w:val="center"/>
            <w:hideMark/>
          </w:tcPr>
          <w:p w14:paraId="32DDFE02"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Frontier model capabilities and continuous model improvement</w:t>
            </w:r>
          </w:p>
        </w:tc>
      </w:tr>
      <w:tr w:rsidR="00370E1E" w:rsidRPr="0017187C" w14:paraId="7D06E837" w14:textId="77777777" w:rsidTr="0017187C">
        <w:trPr>
          <w:tblCellSpacing w:w="15" w:type="dxa"/>
        </w:trPr>
        <w:tc>
          <w:tcPr>
            <w:tcW w:w="0" w:type="auto"/>
            <w:vAlign w:val="center"/>
            <w:hideMark/>
          </w:tcPr>
          <w:p w14:paraId="363DCC6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Managed AI platform</w:t>
            </w:r>
          </w:p>
        </w:tc>
        <w:tc>
          <w:tcPr>
            <w:tcW w:w="0" w:type="auto"/>
            <w:vAlign w:val="center"/>
            <w:hideMark/>
          </w:tcPr>
          <w:p w14:paraId="7BD8703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Enterprise infrastructure, governance, identity integration, networking, model catalogs</w:t>
            </w:r>
          </w:p>
        </w:tc>
        <w:tc>
          <w:tcPr>
            <w:tcW w:w="0" w:type="auto"/>
            <w:vAlign w:val="center"/>
            <w:hideMark/>
          </w:tcPr>
          <w:p w14:paraId="395639D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Amazon Bedrock, Vertex AI, Azure AI Foundry</w:t>
            </w:r>
          </w:p>
        </w:tc>
        <w:tc>
          <w:tcPr>
            <w:tcW w:w="0" w:type="auto"/>
            <w:vAlign w:val="center"/>
            <w:hideMark/>
          </w:tcPr>
          <w:p w14:paraId="3BF6903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Operational integration, security, compliance, and enterprise deployment</w:t>
            </w:r>
          </w:p>
        </w:tc>
      </w:tr>
      <w:tr w:rsidR="00370E1E" w:rsidRPr="0017187C" w14:paraId="533C44B2" w14:textId="77777777" w:rsidTr="0017187C">
        <w:trPr>
          <w:tblCellSpacing w:w="15" w:type="dxa"/>
        </w:trPr>
        <w:tc>
          <w:tcPr>
            <w:tcW w:w="0" w:type="auto"/>
            <w:vAlign w:val="center"/>
            <w:hideMark/>
          </w:tcPr>
          <w:p w14:paraId="0D077135"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AI marketplace / inference provider</w:t>
            </w:r>
          </w:p>
        </w:tc>
        <w:tc>
          <w:tcPr>
            <w:tcW w:w="0" w:type="auto"/>
            <w:vAlign w:val="center"/>
            <w:hideMark/>
          </w:tcPr>
          <w:p w14:paraId="718EAF0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Multi-model access, provider abstraction, optimized inference services</w:t>
            </w:r>
          </w:p>
        </w:tc>
        <w:tc>
          <w:tcPr>
            <w:tcW w:w="0" w:type="auto"/>
            <w:vAlign w:val="center"/>
            <w:hideMark/>
          </w:tcPr>
          <w:p w14:paraId="09DDA944" w14:textId="77777777" w:rsidR="00370E1E" w:rsidRPr="0017187C" w:rsidRDefault="00370E1E" w:rsidP="00370E1E">
            <w:pPr>
              <w:rPr>
                <w:rFonts w:ascii="Times New Roman" w:eastAsia="Calibri" w:hAnsi="Times New Roman" w:cs="Times New Roman"/>
                <w:sz w:val="24"/>
              </w:rPr>
            </w:pPr>
            <w:proofErr w:type="spellStart"/>
            <w:r w:rsidRPr="0017187C">
              <w:rPr>
                <w:rFonts w:ascii="Times New Roman" w:eastAsia="Calibri" w:hAnsi="Times New Roman" w:cs="Times New Roman"/>
                <w:sz w:val="24"/>
              </w:rPr>
              <w:t>OpenRouter</w:t>
            </w:r>
            <w:proofErr w:type="spellEnd"/>
            <w:r w:rsidRPr="0017187C">
              <w:rPr>
                <w:rFonts w:ascii="Times New Roman" w:eastAsia="Calibri" w:hAnsi="Times New Roman" w:cs="Times New Roman"/>
                <w:sz w:val="24"/>
              </w:rPr>
              <w:t xml:space="preserve">, Together AI, Fireworks AI, </w:t>
            </w:r>
            <w:proofErr w:type="spellStart"/>
            <w:r w:rsidRPr="0017187C">
              <w:rPr>
                <w:rFonts w:ascii="Times New Roman" w:eastAsia="Calibri" w:hAnsi="Times New Roman" w:cs="Times New Roman"/>
                <w:sz w:val="24"/>
              </w:rPr>
              <w:t>GroqCloud</w:t>
            </w:r>
            <w:proofErr w:type="spellEnd"/>
            <w:r w:rsidRPr="0017187C">
              <w:rPr>
                <w:rFonts w:ascii="Times New Roman" w:eastAsia="Calibri" w:hAnsi="Times New Roman" w:cs="Times New Roman"/>
                <w:sz w:val="24"/>
              </w:rPr>
              <w:t xml:space="preserve">, </w:t>
            </w:r>
            <w:proofErr w:type="spellStart"/>
            <w:r w:rsidRPr="0017187C">
              <w:rPr>
                <w:rFonts w:ascii="Times New Roman" w:eastAsia="Calibri" w:hAnsi="Times New Roman" w:cs="Times New Roman"/>
                <w:sz w:val="24"/>
              </w:rPr>
              <w:t>DeepInfra</w:t>
            </w:r>
            <w:proofErr w:type="spellEnd"/>
            <w:r w:rsidRPr="0017187C">
              <w:rPr>
                <w:rFonts w:ascii="Times New Roman" w:eastAsia="Calibri" w:hAnsi="Times New Roman" w:cs="Times New Roman"/>
                <w:sz w:val="24"/>
              </w:rPr>
              <w:t>, Hugging Face Inference Providers</w:t>
            </w:r>
          </w:p>
        </w:tc>
        <w:tc>
          <w:tcPr>
            <w:tcW w:w="0" w:type="auto"/>
            <w:vAlign w:val="center"/>
            <w:hideMark/>
          </w:tcPr>
          <w:p w14:paraId="17B343C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Flexibility, simplified access to multiple models, infrastructure specialization</w:t>
            </w:r>
          </w:p>
        </w:tc>
      </w:tr>
    </w:tbl>
    <w:p w14:paraId="4A242FD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Recognizing these distinct roles provides the foundation for the remainder of the chapter. Subsequent sections examine how these services expose APIs, authenticate enterprise workloads, manage model lifecycles, and support production applications while deliberately separating application development from the rapidly evolving ecosystem of foundation models.</w:t>
      </w:r>
    </w:p>
    <w:p w14:paraId="694D0AE6"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t>3.4 API Design Patterns</w:t>
      </w:r>
    </w:p>
    <w:p w14:paraId="4BA7FCA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Although commercial AI providers differ in the models they offer and the platforms through which those models are delivered, their APIs have gradually converged toward a relatively small set of architectural patterns. This convergence has been driven by enterprise demand for interoperability, the emergence of common application requirements, and the practical experience accumulated from operating large-scale AI services.</w:t>
      </w:r>
    </w:p>
    <w:p w14:paraId="0695AB5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Understanding these patterns is more valuable than memorizing the details of any individual provider's API. APIs evolve continuously, endpoint names change, and new capabilities appear regularly. The underlying interaction models, however, have remained comparatively stable.</w:t>
      </w:r>
    </w:p>
    <w:p w14:paraId="36DA829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From a platform engineering perspective, an AI API defines far more than a mechanism for sending prompts and receiving generated text. It establishes how applications authenticate, stream responses, invoke external tools, exchange structured data, process multimodal inputs, and manage long-running operations. These interface decisions influence application architecture, portability, observability, and operational resilience.</w:t>
      </w:r>
    </w:p>
    <w:p w14:paraId="77D1BDB6"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Synchronous Request–Response</w:t>
      </w:r>
    </w:p>
    <w:p w14:paraId="4467F8E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simplest interaction pattern resembles traditional REST services.</w:t>
      </w:r>
    </w:p>
    <w:p w14:paraId="63C4DDF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 client submits a request containing instructions, optional context, model selection, generation parameters, and supporting inputs. The service performs inference and returns the completed response within a single HTTP request.</w:t>
      </w:r>
    </w:p>
    <w:p w14:paraId="1284D02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pattern is appropriate when responses are relatively short and latency requirements permit waiting for the complete generation before returning control to the application.</w:t>
      </w:r>
    </w:p>
    <w:p w14:paraId="0C317C0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Its primary advantages are simplicity and compatibility with existing API infrastructure. Standard HTTP clients, authentication libraries, load balancers, API gateways, and retry mechanisms can generally be reused without modification.</w:t>
      </w:r>
    </w:p>
    <w:p w14:paraId="6170AE1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However, synchronous APIs become less suitable as generated outputs increase in length or as applications require progressive interaction.</w:t>
      </w:r>
    </w:p>
    <w:p w14:paraId="3AD30750"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Streaming Responses</w:t>
      </w:r>
    </w:p>
    <w:p w14:paraId="4CCC5DE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Streaming addresses these limitations by returning generated tokens incrementally as inference progresses.</w:t>
      </w:r>
    </w:p>
    <w:p w14:paraId="573C537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Rather than waiting for the complete response, applications receive partial output continuously. Modern providers commonly implement streaming using Server-Sent Events (SSE), allowing clients to process generated content while inference continues. Although </w:t>
      </w:r>
      <w:proofErr w:type="spellStart"/>
      <w:r w:rsidRPr="00370E1E">
        <w:rPr>
          <w:rFonts w:ascii="Times New Roman" w:eastAsia="Times New Roman" w:hAnsi="Times New Roman" w:cs="Times New Roman"/>
          <w:sz w:val="28"/>
          <w:szCs w:val="24"/>
        </w:rPr>
        <w:t>WebSockets</w:t>
      </w:r>
      <w:proofErr w:type="spellEnd"/>
      <w:r w:rsidRPr="00370E1E">
        <w:rPr>
          <w:rFonts w:ascii="Times New Roman" w:eastAsia="Times New Roman" w:hAnsi="Times New Roman" w:cs="Times New Roman"/>
          <w:sz w:val="28"/>
          <w:szCs w:val="24"/>
        </w:rPr>
        <w:t xml:space="preserve"> are used for certain real-time scenarios, SSE remains the dominant approach for conventional text generation because it integrates naturally with HTTP infrastructure and simplifies client implementation.</w:t>
      </w:r>
    </w:p>
    <w:p w14:paraId="405A0A0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Streaming significantly improves perceived responsiveness for interactive applications. Users begin reading responses almost immediately instead of waiting </w:t>
      </w:r>
      <w:r w:rsidRPr="00370E1E">
        <w:rPr>
          <w:rFonts w:ascii="Times New Roman" w:eastAsia="Times New Roman" w:hAnsi="Times New Roman" w:cs="Times New Roman"/>
          <w:sz w:val="28"/>
          <w:szCs w:val="24"/>
        </w:rPr>
        <w:lastRenderedPageBreak/>
        <w:t>for complete generation. For long outputs, the difference in user experience can be substantial even when total inference time remains unchanged.</w:t>
      </w:r>
    </w:p>
    <w:p w14:paraId="5940025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From an architectural perspective, streaming also influences downstream application design. User interfaces, gateways, proxies, and middleware must all support incremental response processing. Error handling likewise becomes more complex because failures may occur after partial output has already been delivered.</w:t>
      </w:r>
    </w:p>
    <w:p w14:paraId="07A796BC"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Unified Response APIs</w:t>
      </w:r>
    </w:p>
    <w:p w14:paraId="434E61D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Early commercial AI platforms frequently exposed multiple specialized endpoints for different interaction styles. Separate APIs existed for text completion, chat completion, embeddings, image generation, or multimodal processing.</w:t>
      </w:r>
    </w:p>
    <w:p w14:paraId="310B7F9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Recent platform evolution has moved toward more unified interfaces.</w:t>
      </w:r>
    </w:p>
    <w:p w14:paraId="212BB16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proofErr w:type="spellStart"/>
      <w:r w:rsidRPr="00370E1E">
        <w:rPr>
          <w:rFonts w:ascii="Times New Roman" w:eastAsia="Times New Roman" w:hAnsi="Times New Roman" w:cs="Times New Roman"/>
          <w:sz w:val="28"/>
          <w:szCs w:val="24"/>
        </w:rPr>
        <w:t>OpenAI's</w:t>
      </w:r>
      <w:proofErr w:type="spellEnd"/>
      <w:r w:rsidRPr="00370E1E">
        <w:rPr>
          <w:rFonts w:ascii="Times New Roman" w:eastAsia="Times New Roman" w:hAnsi="Times New Roman" w:cs="Times New Roman"/>
          <w:sz w:val="28"/>
          <w:szCs w:val="24"/>
        </w:rPr>
        <w:t xml:space="preserve"> Responses API, for example, consolidates multiple interaction patterns into a single interface supporting text generation, structured outputs, tool invocation, multimodal inputs, and built-in platform capabilities. Similar trends are visible across other providers, even when endpoint names differ. The architectural objective is to simplify application development by reducing the number of distinct integration patterns developers must understand. (</w:t>
      </w:r>
      <w:proofErr w:type="spellStart"/>
      <w:r w:rsidRPr="00370E1E">
        <w:rPr>
          <w:rFonts w:ascii="Times New Roman" w:eastAsia="Times New Roman" w:hAnsi="Times New Roman" w:cs="Times New Roman"/>
          <w:sz w:val="28"/>
          <w:szCs w:val="24"/>
        </w:rPr>
        <w:t>OpenAI</w:t>
      </w:r>
      <w:proofErr w:type="spellEnd"/>
      <w:r w:rsidRPr="00370E1E">
        <w:rPr>
          <w:rFonts w:ascii="Times New Roman" w:eastAsia="Times New Roman" w:hAnsi="Times New Roman" w:cs="Times New Roman"/>
          <w:sz w:val="28"/>
          <w:szCs w:val="24"/>
        </w:rPr>
        <w:t xml:space="preserve"> Platform Documentation, </w:t>
      </w:r>
      <w:r w:rsidRPr="00370E1E">
        <w:rPr>
          <w:rFonts w:ascii="Times New Roman" w:eastAsia="Times New Roman" w:hAnsi="Times New Roman" w:cs="Times New Roman"/>
          <w:i/>
          <w:iCs/>
          <w:sz w:val="28"/>
          <w:szCs w:val="24"/>
        </w:rPr>
        <w:t>Responses API</w:t>
      </w:r>
      <w:r w:rsidRPr="00370E1E">
        <w:rPr>
          <w:rFonts w:ascii="Times New Roman" w:eastAsia="Times New Roman" w:hAnsi="Times New Roman" w:cs="Times New Roman"/>
          <w:sz w:val="28"/>
          <w:szCs w:val="24"/>
        </w:rPr>
        <w:t>, 2026.)</w:t>
      </w:r>
    </w:p>
    <w:p w14:paraId="2442AB6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evolution reflects a broader shift in AI applications. Modern systems rarely perform isolated text generation. They increasingly combine reasoning, retrieval, structured output generation, tool execution, and multimodal processing within a single workflow. Unified APIs provide a consistent abstraction over these capabilities.</w:t>
      </w:r>
    </w:p>
    <w:p w14:paraId="2CB6F546"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Structured Outputs</w:t>
      </w:r>
    </w:p>
    <w:p w14:paraId="01EC4A4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One of the most important developments in production AI systems has been the transition from free-form text generation toward structured machine-readable outputs.</w:t>
      </w:r>
    </w:p>
    <w:p w14:paraId="60E998E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Rather than requesting natural language alone, applications increasingly require responses conforming to predefined schemas such as JSON objects, arrays, or domain-specific data structures. Providers now commonly support schema validation mechanisms based on JSON Schema or comparable specifications, allowing generated outputs to satisfy deterministic structural constraints.</w:t>
      </w:r>
    </w:p>
    <w:p w14:paraId="7C9C727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Structured outputs significantly improve reliability for downstream automation. Instead of parsing unpredictable natural language, applications consume validated data structures that integrate directly with business systems.</w:t>
      </w:r>
    </w:p>
    <w:p w14:paraId="18E15E0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This capability has become particularly important for workflow automation, enterprise integration, and agent-oriented systems, where generated outputs frequently trigger subsequent machine actions rather than human interpretation.</w:t>
      </w:r>
    </w:p>
    <w:p w14:paraId="18E1485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It should be noted, however, that structural validity does not guarantee semantic correctness. A response may satisfy a schema while containing incorrect facts or inappropriate reasoning. Consequently, structured outputs complement rather than replace application-level validation and evaluation, topics explored in Chapter 13.</w:t>
      </w:r>
    </w:p>
    <w:p w14:paraId="15A075D1"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Tool Calling</w:t>
      </w:r>
    </w:p>
    <w:p w14:paraId="47D4885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Another increasingly common API pattern is </w:t>
      </w:r>
      <w:r w:rsidRPr="00370E1E">
        <w:rPr>
          <w:rFonts w:ascii="Times New Roman" w:eastAsia="Times New Roman" w:hAnsi="Times New Roman" w:cs="Times New Roman"/>
          <w:b/>
          <w:bCs/>
          <w:sz w:val="28"/>
          <w:szCs w:val="24"/>
        </w:rPr>
        <w:t>tool calling</w:t>
      </w:r>
      <w:r w:rsidRPr="00370E1E">
        <w:rPr>
          <w:rFonts w:ascii="Times New Roman" w:eastAsia="Times New Roman" w:hAnsi="Times New Roman" w:cs="Times New Roman"/>
          <w:sz w:val="28"/>
          <w:szCs w:val="24"/>
        </w:rPr>
        <w:t>, sometimes referred to as function calling.</w:t>
      </w:r>
    </w:p>
    <w:p w14:paraId="3F7FABB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Instead of limiting inference to text generation, models receive descriptions of external capabilities available to them. During inference, the model may determine that additional information or external actions are required and request invocation of one or more tools.</w:t>
      </w:r>
    </w:p>
    <w:p w14:paraId="1FEBDFE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Typical tools include:</w:t>
      </w:r>
    </w:p>
    <w:p w14:paraId="36F978E2" w14:textId="77777777" w:rsidR="00370E1E" w:rsidRPr="0017187C" w:rsidRDefault="00370E1E" w:rsidP="00370E1E">
      <w:pPr>
        <w:numPr>
          <w:ilvl w:val="0"/>
          <w:numId w:val="6"/>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database queries, </w:t>
      </w:r>
    </w:p>
    <w:p w14:paraId="1B9F5962" w14:textId="77777777" w:rsidR="00370E1E" w:rsidRPr="0017187C" w:rsidRDefault="00370E1E" w:rsidP="00370E1E">
      <w:pPr>
        <w:numPr>
          <w:ilvl w:val="0"/>
          <w:numId w:val="6"/>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enterprise search, </w:t>
      </w:r>
    </w:p>
    <w:p w14:paraId="4B34D1ED" w14:textId="77777777" w:rsidR="00370E1E" w:rsidRPr="0017187C" w:rsidRDefault="00370E1E" w:rsidP="00370E1E">
      <w:pPr>
        <w:numPr>
          <w:ilvl w:val="0"/>
          <w:numId w:val="6"/>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web search, </w:t>
      </w:r>
    </w:p>
    <w:p w14:paraId="44665C52" w14:textId="77777777" w:rsidR="00370E1E" w:rsidRPr="0017187C" w:rsidRDefault="00370E1E" w:rsidP="00370E1E">
      <w:pPr>
        <w:numPr>
          <w:ilvl w:val="0"/>
          <w:numId w:val="6"/>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code execution, </w:t>
      </w:r>
    </w:p>
    <w:p w14:paraId="25F08CDC" w14:textId="77777777" w:rsidR="00370E1E" w:rsidRPr="0017187C" w:rsidRDefault="00370E1E" w:rsidP="00370E1E">
      <w:pPr>
        <w:numPr>
          <w:ilvl w:val="0"/>
          <w:numId w:val="6"/>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calendar services, </w:t>
      </w:r>
    </w:p>
    <w:p w14:paraId="185889F3" w14:textId="77777777" w:rsidR="00370E1E" w:rsidRPr="0017187C" w:rsidRDefault="00370E1E" w:rsidP="00370E1E">
      <w:pPr>
        <w:numPr>
          <w:ilvl w:val="0"/>
          <w:numId w:val="6"/>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payment systems, </w:t>
      </w:r>
    </w:p>
    <w:p w14:paraId="17B0E155" w14:textId="77777777" w:rsidR="00370E1E" w:rsidRPr="0017187C" w:rsidRDefault="00370E1E" w:rsidP="00370E1E">
      <w:pPr>
        <w:numPr>
          <w:ilvl w:val="0"/>
          <w:numId w:val="6"/>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internal business APIs, </w:t>
      </w:r>
    </w:p>
    <w:p w14:paraId="77C13A3D" w14:textId="77777777" w:rsidR="00370E1E" w:rsidRPr="0017187C" w:rsidRDefault="00370E1E" w:rsidP="00370E1E">
      <w:pPr>
        <w:numPr>
          <w:ilvl w:val="0"/>
          <w:numId w:val="6"/>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and increasingly, Model Context Protocol (MCP) servers. </w:t>
      </w:r>
    </w:p>
    <w:p w14:paraId="4AE4377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Importantly, commercial APIs generally do </w:t>
      </w:r>
      <w:r w:rsidRPr="00370E1E">
        <w:rPr>
          <w:rFonts w:ascii="Times New Roman" w:eastAsia="Times New Roman" w:hAnsi="Times New Roman" w:cs="Times New Roman"/>
          <w:b/>
          <w:bCs/>
          <w:sz w:val="28"/>
          <w:szCs w:val="24"/>
        </w:rPr>
        <w:t>not</w:t>
      </w:r>
      <w:r w:rsidRPr="00370E1E">
        <w:rPr>
          <w:rFonts w:ascii="Times New Roman" w:eastAsia="Times New Roman" w:hAnsi="Times New Roman" w:cs="Times New Roman"/>
          <w:sz w:val="28"/>
          <w:szCs w:val="24"/>
        </w:rPr>
        <w:t xml:space="preserve"> execute these tools automatically. Instead, the model produces a structured tool invocation request. The application or orchestration framework validates the request, performs authorization, executes the external operation, and returns the results to the model for continued reasoning.</w:t>
      </w:r>
    </w:p>
    <w:p w14:paraId="30317DA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separation preserves application control over security, auditing, authorization, and business logic while allowing models to coordinate increasingly sophisticated workflows.</w:t>
      </w:r>
    </w:p>
    <w:p w14:paraId="75AED8F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architectural implications of tool execution are sufficiently important that Chapters 7 through 9 examine them in detail.</w:t>
      </w:r>
    </w:p>
    <w:p w14:paraId="4FC77A3D"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Long-Running Operations and Batch Processing</w:t>
      </w:r>
    </w:p>
    <w:p w14:paraId="32A95AA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Not every inference workload requires immediate interactive responses.</w:t>
      </w:r>
    </w:p>
    <w:p w14:paraId="26070F4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Document analysis, large-scale summarization, embedding generation, evaluation pipelines, and offline content processing frequently involve workloads better suited to asynchronous execution.</w:t>
      </w:r>
    </w:p>
    <w:p w14:paraId="77E3195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Many commercial platforms therefore expose batch APIs or long-running operation frameworks. Clients submit work requests, receive operation identifiers, and later retrieve results after processing completes.</w:t>
      </w:r>
    </w:p>
    <w:p w14:paraId="5E50486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pattern improves infrastructure utilization and often allows providers to optimize scheduling independently of interactive workloads.</w:t>
      </w:r>
    </w:p>
    <w:p w14:paraId="48F6153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Architecturally, asynchronous APIs also decouple application responsiveness from inference duration, making them particularly appropriate for background processing systems.</w:t>
      </w:r>
    </w:p>
    <w:p w14:paraId="2399E17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Table 3-3. Common Commercial AI API Patterns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747"/>
        <w:gridCol w:w="2230"/>
        <w:gridCol w:w="2393"/>
        <w:gridCol w:w="2985"/>
      </w:tblGrid>
      <w:tr w:rsidR="00370E1E" w:rsidRPr="0017187C" w14:paraId="0FACD9E4" w14:textId="77777777" w:rsidTr="0017187C">
        <w:trPr>
          <w:tblHeader/>
          <w:tblCellSpacing w:w="15" w:type="dxa"/>
        </w:trPr>
        <w:tc>
          <w:tcPr>
            <w:tcW w:w="0" w:type="auto"/>
            <w:vAlign w:val="center"/>
            <w:hideMark/>
          </w:tcPr>
          <w:p w14:paraId="616B41F5"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API Pattern</w:t>
            </w:r>
          </w:p>
        </w:tc>
        <w:tc>
          <w:tcPr>
            <w:tcW w:w="0" w:type="auto"/>
            <w:vAlign w:val="center"/>
            <w:hideMark/>
          </w:tcPr>
          <w:p w14:paraId="6ACE48E4"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Primary Purpose</w:t>
            </w:r>
          </w:p>
        </w:tc>
        <w:tc>
          <w:tcPr>
            <w:tcW w:w="0" w:type="auto"/>
            <w:vAlign w:val="center"/>
            <w:hideMark/>
          </w:tcPr>
          <w:p w14:paraId="06CF3A75"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Typical Use Cases</w:t>
            </w:r>
          </w:p>
        </w:tc>
        <w:tc>
          <w:tcPr>
            <w:tcW w:w="0" w:type="auto"/>
            <w:vAlign w:val="center"/>
            <w:hideMark/>
          </w:tcPr>
          <w:p w14:paraId="57025612"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Engineering Considerations</w:t>
            </w:r>
          </w:p>
        </w:tc>
      </w:tr>
      <w:tr w:rsidR="00370E1E" w:rsidRPr="0017187C" w14:paraId="7E90A66F" w14:textId="77777777" w:rsidTr="0017187C">
        <w:trPr>
          <w:tblCellSpacing w:w="15" w:type="dxa"/>
        </w:trPr>
        <w:tc>
          <w:tcPr>
            <w:tcW w:w="0" w:type="auto"/>
            <w:vAlign w:val="center"/>
            <w:hideMark/>
          </w:tcPr>
          <w:p w14:paraId="752FC223"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Synchronous request–response</w:t>
            </w:r>
          </w:p>
        </w:tc>
        <w:tc>
          <w:tcPr>
            <w:tcW w:w="0" w:type="auto"/>
            <w:vAlign w:val="center"/>
            <w:hideMark/>
          </w:tcPr>
          <w:p w14:paraId="4437AF67"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Immediate completion within a single HTTP request</w:t>
            </w:r>
          </w:p>
        </w:tc>
        <w:tc>
          <w:tcPr>
            <w:tcW w:w="0" w:type="auto"/>
            <w:vAlign w:val="center"/>
            <w:hideMark/>
          </w:tcPr>
          <w:p w14:paraId="2750D17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Chatbots, short text generation, interactive applications</w:t>
            </w:r>
          </w:p>
        </w:tc>
        <w:tc>
          <w:tcPr>
            <w:tcW w:w="0" w:type="auto"/>
            <w:vAlign w:val="center"/>
            <w:hideMark/>
          </w:tcPr>
          <w:p w14:paraId="6280B445"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Simple integration but limited suitability for long-running inference.</w:t>
            </w:r>
          </w:p>
        </w:tc>
      </w:tr>
      <w:tr w:rsidR="00370E1E" w:rsidRPr="0017187C" w14:paraId="01B957E6" w14:textId="77777777" w:rsidTr="0017187C">
        <w:trPr>
          <w:tblCellSpacing w:w="15" w:type="dxa"/>
        </w:trPr>
        <w:tc>
          <w:tcPr>
            <w:tcW w:w="0" w:type="auto"/>
            <w:vAlign w:val="center"/>
            <w:hideMark/>
          </w:tcPr>
          <w:p w14:paraId="0E4DFBB2"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Streaming responses</w:t>
            </w:r>
          </w:p>
        </w:tc>
        <w:tc>
          <w:tcPr>
            <w:tcW w:w="0" w:type="auto"/>
            <w:vAlign w:val="center"/>
            <w:hideMark/>
          </w:tcPr>
          <w:p w14:paraId="60BD8972"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Progressive delivery of generated output</w:t>
            </w:r>
          </w:p>
        </w:tc>
        <w:tc>
          <w:tcPr>
            <w:tcW w:w="0" w:type="auto"/>
            <w:vAlign w:val="center"/>
            <w:hideMark/>
          </w:tcPr>
          <w:p w14:paraId="624EB39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Conversational interfaces, coding assistants</w:t>
            </w:r>
          </w:p>
        </w:tc>
        <w:tc>
          <w:tcPr>
            <w:tcW w:w="0" w:type="auto"/>
            <w:vAlign w:val="center"/>
            <w:hideMark/>
          </w:tcPr>
          <w:p w14:paraId="004C147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Improves perceived latency but complicates response handling and error recovery.</w:t>
            </w:r>
          </w:p>
        </w:tc>
      </w:tr>
      <w:tr w:rsidR="00370E1E" w:rsidRPr="0017187C" w14:paraId="5AFF2A31" w14:textId="77777777" w:rsidTr="0017187C">
        <w:trPr>
          <w:tblCellSpacing w:w="15" w:type="dxa"/>
        </w:trPr>
        <w:tc>
          <w:tcPr>
            <w:tcW w:w="0" w:type="auto"/>
            <w:vAlign w:val="center"/>
            <w:hideMark/>
          </w:tcPr>
          <w:p w14:paraId="3E6DB70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Unified response APIs</w:t>
            </w:r>
          </w:p>
        </w:tc>
        <w:tc>
          <w:tcPr>
            <w:tcW w:w="0" w:type="auto"/>
            <w:vAlign w:val="center"/>
            <w:hideMark/>
          </w:tcPr>
          <w:p w14:paraId="12141AD2"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Consolidate multiple interaction patterns under one interface</w:t>
            </w:r>
          </w:p>
        </w:tc>
        <w:tc>
          <w:tcPr>
            <w:tcW w:w="0" w:type="auto"/>
            <w:vAlign w:val="center"/>
            <w:hideMark/>
          </w:tcPr>
          <w:p w14:paraId="2855AB2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General-purpose AI applications</w:t>
            </w:r>
          </w:p>
        </w:tc>
        <w:tc>
          <w:tcPr>
            <w:tcW w:w="0" w:type="auto"/>
            <w:vAlign w:val="center"/>
            <w:hideMark/>
          </w:tcPr>
          <w:p w14:paraId="7994C2B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Reduces integration complexity and simplifies platform evolution.</w:t>
            </w:r>
          </w:p>
        </w:tc>
      </w:tr>
      <w:tr w:rsidR="00370E1E" w:rsidRPr="0017187C" w14:paraId="569B83B8" w14:textId="77777777" w:rsidTr="0017187C">
        <w:trPr>
          <w:tblCellSpacing w:w="15" w:type="dxa"/>
        </w:trPr>
        <w:tc>
          <w:tcPr>
            <w:tcW w:w="0" w:type="auto"/>
            <w:vAlign w:val="center"/>
            <w:hideMark/>
          </w:tcPr>
          <w:p w14:paraId="0A0284BA"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Structured outputs</w:t>
            </w:r>
          </w:p>
        </w:tc>
        <w:tc>
          <w:tcPr>
            <w:tcW w:w="0" w:type="auto"/>
            <w:vAlign w:val="center"/>
            <w:hideMark/>
          </w:tcPr>
          <w:p w14:paraId="1DAA8EC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Generate machine-readable responses conforming to schemas</w:t>
            </w:r>
          </w:p>
        </w:tc>
        <w:tc>
          <w:tcPr>
            <w:tcW w:w="0" w:type="auto"/>
            <w:vAlign w:val="center"/>
            <w:hideMark/>
          </w:tcPr>
          <w:p w14:paraId="3333BBB6"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Workflow automation, enterprise integration, agents</w:t>
            </w:r>
          </w:p>
        </w:tc>
        <w:tc>
          <w:tcPr>
            <w:tcW w:w="0" w:type="auto"/>
            <w:vAlign w:val="center"/>
            <w:hideMark/>
          </w:tcPr>
          <w:p w14:paraId="62B50C0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Improves interoperability but does not guarantee semantic correctness.</w:t>
            </w:r>
          </w:p>
        </w:tc>
      </w:tr>
      <w:tr w:rsidR="00370E1E" w:rsidRPr="0017187C" w14:paraId="2CC84826" w14:textId="77777777" w:rsidTr="0017187C">
        <w:trPr>
          <w:tblCellSpacing w:w="15" w:type="dxa"/>
        </w:trPr>
        <w:tc>
          <w:tcPr>
            <w:tcW w:w="0" w:type="auto"/>
            <w:vAlign w:val="center"/>
            <w:hideMark/>
          </w:tcPr>
          <w:p w14:paraId="27190A8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Tool calling</w:t>
            </w:r>
          </w:p>
        </w:tc>
        <w:tc>
          <w:tcPr>
            <w:tcW w:w="0" w:type="auto"/>
            <w:vAlign w:val="center"/>
            <w:hideMark/>
          </w:tcPr>
          <w:p w14:paraId="06B4B67B"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Coordinate external systems during inference</w:t>
            </w:r>
          </w:p>
        </w:tc>
        <w:tc>
          <w:tcPr>
            <w:tcW w:w="0" w:type="auto"/>
            <w:vAlign w:val="center"/>
            <w:hideMark/>
          </w:tcPr>
          <w:p w14:paraId="5DC94853"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Retrieval, enterprise automation, agent workflows</w:t>
            </w:r>
          </w:p>
        </w:tc>
        <w:tc>
          <w:tcPr>
            <w:tcW w:w="0" w:type="auto"/>
            <w:vAlign w:val="center"/>
            <w:hideMark/>
          </w:tcPr>
          <w:p w14:paraId="0DE8887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Requires application-controlled authorization and execution.</w:t>
            </w:r>
          </w:p>
        </w:tc>
      </w:tr>
      <w:tr w:rsidR="00370E1E" w:rsidRPr="0017187C" w14:paraId="416E9842" w14:textId="77777777" w:rsidTr="0017187C">
        <w:trPr>
          <w:tblCellSpacing w:w="15" w:type="dxa"/>
        </w:trPr>
        <w:tc>
          <w:tcPr>
            <w:tcW w:w="0" w:type="auto"/>
            <w:vAlign w:val="center"/>
            <w:hideMark/>
          </w:tcPr>
          <w:p w14:paraId="1A84AA8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Batch and asynchronous APIs</w:t>
            </w:r>
          </w:p>
        </w:tc>
        <w:tc>
          <w:tcPr>
            <w:tcW w:w="0" w:type="auto"/>
            <w:vAlign w:val="center"/>
            <w:hideMark/>
          </w:tcPr>
          <w:p w14:paraId="6E8DE263"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Execute large or long-running workloads offline</w:t>
            </w:r>
          </w:p>
        </w:tc>
        <w:tc>
          <w:tcPr>
            <w:tcW w:w="0" w:type="auto"/>
            <w:vAlign w:val="center"/>
            <w:hideMark/>
          </w:tcPr>
          <w:p w14:paraId="5432F3C3"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Document processing, evaluations, embedding generation</w:t>
            </w:r>
          </w:p>
        </w:tc>
        <w:tc>
          <w:tcPr>
            <w:tcW w:w="0" w:type="auto"/>
            <w:vAlign w:val="center"/>
            <w:hideMark/>
          </w:tcPr>
          <w:p w14:paraId="41BE6D2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Better infrastructure utilization and workload isolation.</w:t>
            </w:r>
          </w:p>
        </w:tc>
      </w:tr>
    </w:tbl>
    <w:p w14:paraId="4AD3F81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Although implementation details differ across providers, these interaction patterns have become sufficiently widespread that they now represent common architectural building blocks for production AI applications.</w:t>
      </w:r>
    </w:p>
    <w:p w14:paraId="40E060B8" w14:textId="77777777" w:rsidR="00370E1E" w:rsidRPr="00370E1E" w:rsidRDefault="004538ED" w:rsidP="00370E1E">
      <w:pPr>
        <w:rPr>
          <w:rFonts w:ascii="Calibri" w:eastAsia="Calibri" w:hAnsi="Calibri" w:cs="Times New Roman"/>
          <w:sz w:val="24"/>
        </w:rPr>
      </w:pPr>
      <w:r>
        <w:rPr>
          <w:rFonts w:ascii="Calibri" w:eastAsia="Calibri" w:hAnsi="Calibri" w:cs="Times New Roman"/>
          <w:sz w:val="24"/>
        </w:rPr>
        <w:lastRenderedPageBreak/>
        <w:pict w14:anchorId="43CE4B83">
          <v:rect id="_x0000_i1027" style="width:0;height:1.5pt" o:hralign="center" o:hrstd="t" o:hr="t" fillcolor="#a0a0a0" stroked="f"/>
        </w:pict>
      </w:r>
    </w:p>
    <w:p w14:paraId="7AEB43B0"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t>3.5 Authentication, Identity, and Enterprise Access</w:t>
      </w:r>
    </w:p>
    <w:p w14:paraId="2E90B6C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Every commercial AI service must determine </w:t>
      </w:r>
      <w:r w:rsidRPr="00370E1E">
        <w:rPr>
          <w:rFonts w:ascii="Times New Roman" w:eastAsia="Times New Roman" w:hAnsi="Times New Roman" w:cs="Times New Roman"/>
          <w:b/>
          <w:bCs/>
          <w:sz w:val="28"/>
          <w:szCs w:val="24"/>
        </w:rPr>
        <w:t>who is permitted to use the platform, under what conditions, and with which operational constraints</w:t>
      </w:r>
      <w:r w:rsidRPr="00370E1E">
        <w:rPr>
          <w:rFonts w:ascii="Times New Roman" w:eastAsia="Times New Roman" w:hAnsi="Times New Roman" w:cs="Times New Roman"/>
          <w:sz w:val="28"/>
          <w:szCs w:val="24"/>
        </w:rPr>
        <w:t>. Authentication therefore represents considerably more than a mechanism for protecting API endpoints. Within enterprise AI platforms, identity management becomes a foundational architectural capability influencing governance, auditing, security, billing, and operational accountability.</w:t>
      </w:r>
    </w:p>
    <w:p w14:paraId="00C0528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simplest authentication mechanism remains the API key.</w:t>
      </w:r>
    </w:p>
    <w:p w14:paraId="6D2B9A6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API keys provide straightforward integration for prototypes, command-line tools, development environments, and relatively simple applications. A client presents a secret value with each request, allowing the provider to identify the associated account and apply quotas, usage tracking, and authorization policies.</w:t>
      </w:r>
    </w:p>
    <w:p w14:paraId="3CD0321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Although API keys remain widely supported, they are rarely sufficient for large enterprise environments.</w:t>
      </w:r>
    </w:p>
    <w:p w14:paraId="1A1DC64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Shared credentials complicate auditing because multiple applications or users may appear identical from the provider's perspective. Credential rotation becomes operationally burdensome, and long-lived secrets increase organizational risk if compromised.</w:t>
      </w:r>
    </w:p>
    <w:p w14:paraId="034BDD7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Consequently, enterprise deployments increasingly rely on identity systems integrated with existing organizational infrastructure.</w:t>
      </w:r>
    </w:p>
    <w:p w14:paraId="107D0CD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Cloud platforms such as Azure AI Foundry, Google Vertex AI, and Amazon Bedrock integrate closely with their respective cloud Identity and Access Management (IAM) services. Rather than distributing API keys across applications, workloads authenticate using service identities, managed identities, or workload identities already established within the organization's cloud environment.</w:t>
      </w:r>
    </w:p>
    <w:p w14:paraId="2862FE7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approach provides several operational advantages.</w:t>
      </w:r>
    </w:p>
    <w:p w14:paraId="78C9AC1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Authentication becomes centralized.</w:t>
      </w:r>
    </w:p>
    <w:p w14:paraId="6BDCE94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Access policies remain consistent with broader organizational security practices.</w:t>
      </w:r>
    </w:p>
    <w:p w14:paraId="14EDC4F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Credential lifecycle management is automated.</w:t>
      </w:r>
    </w:p>
    <w:p w14:paraId="00AA544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Applications authenticate without embedding long-lived secrets.</w:t>
      </w:r>
    </w:p>
    <w:p w14:paraId="216F2C9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Operational auditing can associate requests with individual services or workloads rather than generic API keys.</w:t>
      </w:r>
    </w:p>
    <w:p w14:paraId="410F453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Modern enterprise architectures also distinguish carefully between </w:t>
      </w:r>
      <w:r w:rsidRPr="00370E1E">
        <w:rPr>
          <w:rFonts w:ascii="Times New Roman" w:eastAsia="Times New Roman" w:hAnsi="Times New Roman" w:cs="Times New Roman"/>
          <w:b/>
          <w:bCs/>
          <w:sz w:val="28"/>
          <w:szCs w:val="24"/>
        </w:rPr>
        <w:t>authentication</w:t>
      </w:r>
      <w:r w:rsidRPr="00370E1E">
        <w:rPr>
          <w:rFonts w:ascii="Times New Roman" w:eastAsia="Times New Roman" w:hAnsi="Times New Roman" w:cs="Times New Roman"/>
          <w:sz w:val="28"/>
          <w:szCs w:val="24"/>
        </w:rPr>
        <w:t xml:space="preserve"> and </w:t>
      </w:r>
      <w:r w:rsidRPr="00370E1E">
        <w:rPr>
          <w:rFonts w:ascii="Times New Roman" w:eastAsia="Times New Roman" w:hAnsi="Times New Roman" w:cs="Times New Roman"/>
          <w:b/>
          <w:bCs/>
          <w:sz w:val="28"/>
          <w:szCs w:val="24"/>
        </w:rPr>
        <w:t>authorization</w:t>
      </w:r>
      <w:r w:rsidRPr="00370E1E">
        <w:rPr>
          <w:rFonts w:ascii="Times New Roman" w:eastAsia="Times New Roman" w:hAnsi="Times New Roman" w:cs="Times New Roman"/>
          <w:sz w:val="28"/>
          <w:szCs w:val="24"/>
        </w:rPr>
        <w:t>.</w:t>
      </w:r>
    </w:p>
    <w:p w14:paraId="01DE836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Authentication answers the question:</w:t>
      </w:r>
    </w:p>
    <w:p w14:paraId="50645F6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Who is making this request?</w:t>
      </w:r>
    </w:p>
    <w:p w14:paraId="35AD1A3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Authorization answers the subsequent question:</w:t>
      </w:r>
    </w:p>
    <w:p w14:paraId="4CD2622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What is this identity permitted to do?</w:t>
      </w:r>
    </w:p>
    <w:p w14:paraId="3E0C4D4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AI platforms therefore frequently support fine-grained access policies controlling which models may be used, which regions are available, which APIs may be invoked, and what usage limits apply to particular identities or projects.</w:t>
      </w:r>
    </w:p>
    <w:p w14:paraId="78FD983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Another increasingly important capability is </w:t>
      </w:r>
      <w:r w:rsidRPr="00370E1E">
        <w:rPr>
          <w:rFonts w:ascii="Times New Roman" w:eastAsia="Times New Roman" w:hAnsi="Times New Roman" w:cs="Times New Roman"/>
          <w:b/>
          <w:bCs/>
          <w:sz w:val="28"/>
          <w:szCs w:val="24"/>
        </w:rPr>
        <w:t>private network connectivity</w:t>
      </w:r>
      <w:r w:rsidRPr="00370E1E">
        <w:rPr>
          <w:rFonts w:ascii="Times New Roman" w:eastAsia="Times New Roman" w:hAnsi="Times New Roman" w:cs="Times New Roman"/>
          <w:sz w:val="28"/>
          <w:szCs w:val="24"/>
        </w:rPr>
        <w:t>.</w:t>
      </w:r>
    </w:p>
    <w:p w14:paraId="33C4BC9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Rather than transmitting inference traffic across the public Internet, many enterprise platforms support private endpoints integrated directly into cloud networking environments. Private connectivity reduces network exposure, simplifies regulatory compliance, and allows organizations to apply existing network security controls consistently across AI services.</w:t>
      </w:r>
    </w:p>
    <w:p w14:paraId="1D839B3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Examples include AWS </w:t>
      </w:r>
      <w:proofErr w:type="spellStart"/>
      <w:r w:rsidRPr="00370E1E">
        <w:rPr>
          <w:rFonts w:ascii="Times New Roman" w:eastAsia="Times New Roman" w:hAnsi="Times New Roman" w:cs="Times New Roman"/>
          <w:sz w:val="28"/>
          <w:szCs w:val="24"/>
        </w:rPr>
        <w:t>PrivateLink</w:t>
      </w:r>
      <w:proofErr w:type="spellEnd"/>
      <w:r w:rsidRPr="00370E1E">
        <w:rPr>
          <w:rFonts w:ascii="Times New Roman" w:eastAsia="Times New Roman" w:hAnsi="Times New Roman" w:cs="Times New Roman"/>
          <w:sz w:val="28"/>
          <w:szCs w:val="24"/>
        </w:rPr>
        <w:t>, Azure Private Link, Google Private Service Connect, and similar cloud networking technologies. While these mechanisms differ in implementation, their architectural purpose is consistent: AI services become accessible through private enterprise networking rather than public Internet endpoints.</w:t>
      </w:r>
    </w:p>
    <w:p w14:paraId="5CE7375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Identity also influences operational governance.</w:t>
      </w:r>
    </w:p>
    <w:p w14:paraId="2D43100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Most providers maintain detailed audit records associating requests with authenticated identities, projects, billing accounts, or organizations. These records support compliance investigations, operational troubleshooting, usage analysis, and financial accountability.</w:t>
      </w:r>
    </w:p>
    <w:p w14:paraId="00CB777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Detailed observability architectures—including request tracing, operational metrics, and incident investigation—are discussed in Chapter 15. Similarly, broader security architecture, policy enforcement, and governance mechanisms are examined comprehensively in Chapter 14. The present discussion focuses only on identity as an architectural building block.</w:t>
      </w:r>
    </w:p>
    <w:p w14:paraId="18B3320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 xml:space="preserve">Another notable trend is the adoption of </w:t>
      </w:r>
      <w:r w:rsidRPr="00370E1E">
        <w:rPr>
          <w:rFonts w:ascii="Times New Roman" w:eastAsia="Times New Roman" w:hAnsi="Times New Roman" w:cs="Times New Roman"/>
          <w:b/>
          <w:bCs/>
          <w:sz w:val="28"/>
          <w:szCs w:val="24"/>
        </w:rPr>
        <w:t>workload identity</w:t>
      </w:r>
      <w:r w:rsidRPr="00370E1E">
        <w:rPr>
          <w:rFonts w:ascii="Times New Roman" w:eastAsia="Times New Roman" w:hAnsi="Times New Roman" w:cs="Times New Roman"/>
          <w:sz w:val="28"/>
          <w:szCs w:val="24"/>
        </w:rPr>
        <w:t>.</w:t>
      </w:r>
    </w:p>
    <w:p w14:paraId="2D920A1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Instead of assigning credentials directly to applications, cloud-native platforms increasingly allow workloads running within orchestrators such as Kubernetes to authenticate using short-lived identities automatically issued by the surrounding infrastructure. This approach aligns AI services with zero-trust security principles by reducing dependence on persistent credentials and minimizing secret distribution.</w:t>
      </w:r>
    </w:p>
    <w:p w14:paraId="5698C18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From a platform engineering perspective, the objective is straightforward.</w:t>
      </w:r>
    </w:p>
    <w:p w14:paraId="3D45DCC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Applications should authenticate using the same enterprise identity mechanisms employed elsewhere within the organization's infrastructure rather than introducing AI-specific authentication models whenever possible.</w:t>
      </w:r>
    </w:p>
    <w:p w14:paraId="3C32C5C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Table 3-4. Common Enterprise Authentication Approaches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847"/>
        <w:gridCol w:w="1851"/>
        <w:gridCol w:w="2924"/>
        <w:gridCol w:w="2733"/>
      </w:tblGrid>
      <w:tr w:rsidR="00370E1E" w:rsidRPr="0017187C" w14:paraId="301F9E66" w14:textId="77777777" w:rsidTr="0017187C">
        <w:trPr>
          <w:tblHeader/>
          <w:tblCellSpacing w:w="15" w:type="dxa"/>
        </w:trPr>
        <w:tc>
          <w:tcPr>
            <w:tcW w:w="0" w:type="auto"/>
            <w:vAlign w:val="center"/>
            <w:hideMark/>
          </w:tcPr>
          <w:p w14:paraId="02DB6D0C"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Authentication Method</w:t>
            </w:r>
          </w:p>
        </w:tc>
        <w:tc>
          <w:tcPr>
            <w:tcW w:w="0" w:type="auto"/>
            <w:vAlign w:val="center"/>
            <w:hideMark/>
          </w:tcPr>
          <w:p w14:paraId="36F3067B"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Typical Environment</w:t>
            </w:r>
          </w:p>
        </w:tc>
        <w:tc>
          <w:tcPr>
            <w:tcW w:w="0" w:type="auto"/>
            <w:vAlign w:val="center"/>
            <w:hideMark/>
          </w:tcPr>
          <w:p w14:paraId="244C5B1A"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Advantages</w:t>
            </w:r>
          </w:p>
        </w:tc>
        <w:tc>
          <w:tcPr>
            <w:tcW w:w="0" w:type="auto"/>
            <w:vAlign w:val="center"/>
            <w:hideMark/>
          </w:tcPr>
          <w:p w14:paraId="204FCAB1"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Limitations</w:t>
            </w:r>
          </w:p>
        </w:tc>
      </w:tr>
      <w:tr w:rsidR="00370E1E" w:rsidRPr="0017187C" w14:paraId="6F4275F5" w14:textId="77777777" w:rsidTr="0017187C">
        <w:trPr>
          <w:tblCellSpacing w:w="15" w:type="dxa"/>
        </w:trPr>
        <w:tc>
          <w:tcPr>
            <w:tcW w:w="0" w:type="auto"/>
            <w:vAlign w:val="center"/>
            <w:hideMark/>
          </w:tcPr>
          <w:p w14:paraId="480C8E70"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API keys</w:t>
            </w:r>
          </w:p>
        </w:tc>
        <w:tc>
          <w:tcPr>
            <w:tcW w:w="0" w:type="auto"/>
            <w:vAlign w:val="center"/>
            <w:hideMark/>
          </w:tcPr>
          <w:p w14:paraId="24C1414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Development, prototypes, small services</w:t>
            </w:r>
          </w:p>
        </w:tc>
        <w:tc>
          <w:tcPr>
            <w:tcW w:w="0" w:type="auto"/>
            <w:vAlign w:val="center"/>
            <w:hideMark/>
          </w:tcPr>
          <w:p w14:paraId="24F2B596"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Simple integration and broad provider support</w:t>
            </w:r>
          </w:p>
        </w:tc>
        <w:tc>
          <w:tcPr>
            <w:tcW w:w="0" w:type="auto"/>
            <w:vAlign w:val="center"/>
            <w:hideMark/>
          </w:tcPr>
          <w:p w14:paraId="0E2CFF15"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Secret management, limited auditing, unsuitable for large-scale enterprise governance.</w:t>
            </w:r>
          </w:p>
        </w:tc>
      </w:tr>
      <w:tr w:rsidR="00370E1E" w:rsidRPr="0017187C" w14:paraId="35A53FC0" w14:textId="77777777" w:rsidTr="0017187C">
        <w:trPr>
          <w:tblCellSpacing w:w="15" w:type="dxa"/>
        </w:trPr>
        <w:tc>
          <w:tcPr>
            <w:tcW w:w="0" w:type="auto"/>
            <w:vAlign w:val="center"/>
            <w:hideMark/>
          </w:tcPr>
          <w:p w14:paraId="63B43415"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OAuth-based authorization</w:t>
            </w:r>
          </w:p>
        </w:tc>
        <w:tc>
          <w:tcPr>
            <w:tcW w:w="0" w:type="auto"/>
            <w:vAlign w:val="center"/>
            <w:hideMark/>
          </w:tcPr>
          <w:p w14:paraId="133F020B"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User-facing applications</w:t>
            </w:r>
          </w:p>
        </w:tc>
        <w:tc>
          <w:tcPr>
            <w:tcW w:w="0" w:type="auto"/>
            <w:vAlign w:val="center"/>
            <w:hideMark/>
          </w:tcPr>
          <w:p w14:paraId="733E0F7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Delegated user authorization and standardized identity flows</w:t>
            </w:r>
          </w:p>
        </w:tc>
        <w:tc>
          <w:tcPr>
            <w:tcW w:w="0" w:type="auto"/>
            <w:vAlign w:val="center"/>
            <w:hideMark/>
          </w:tcPr>
          <w:p w14:paraId="2EE5817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Greater implementation complexity than API keys.</w:t>
            </w:r>
          </w:p>
        </w:tc>
      </w:tr>
      <w:tr w:rsidR="00370E1E" w:rsidRPr="0017187C" w14:paraId="51B19350" w14:textId="77777777" w:rsidTr="0017187C">
        <w:trPr>
          <w:tblCellSpacing w:w="15" w:type="dxa"/>
        </w:trPr>
        <w:tc>
          <w:tcPr>
            <w:tcW w:w="0" w:type="auto"/>
            <w:vAlign w:val="center"/>
            <w:hideMark/>
          </w:tcPr>
          <w:p w14:paraId="1F8B6A17"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Cloud IAM identities</w:t>
            </w:r>
          </w:p>
        </w:tc>
        <w:tc>
          <w:tcPr>
            <w:tcW w:w="0" w:type="auto"/>
            <w:vAlign w:val="center"/>
            <w:hideMark/>
          </w:tcPr>
          <w:p w14:paraId="4271B6D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Enterprise cloud deployments</w:t>
            </w:r>
          </w:p>
        </w:tc>
        <w:tc>
          <w:tcPr>
            <w:tcW w:w="0" w:type="auto"/>
            <w:vAlign w:val="center"/>
            <w:hideMark/>
          </w:tcPr>
          <w:p w14:paraId="1F7F4E30"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Centralized policy management, automated credential lifecycle, integration with existing security controls</w:t>
            </w:r>
          </w:p>
        </w:tc>
        <w:tc>
          <w:tcPr>
            <w:tcW w:w="0" w:type="auto"/>
            <w:vAlign w:val="center"/>
            <w:hideMark/>
          </w:tcPr>
          <w:p w14:paraId="71E74E3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Closely tied to cloud provider identity infrastructure.</w:t>
            </w:r>
          </w:p>
        </w:tc>
      </w:tr>
      <w:tr w:rsidR="00370E1E" w:rsidRPr="0017187C" w14:paraId="49C190F2" w14:textId="77777777" w:rsidTr="0017187C">
        <w:trPr>
          <w:tblCellSpacing w:w="15" w:type="dxa"/>
        </w:trPr>
        <w:tc>
          <w:tcPr>
            <w:tcW w:w="0" w:type="auto"/>
            <w:vAlign w:val="center"/>
            <w:hideMark/>
          </w:tcPr>
          <w:p w14:paraId="246D4865"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Workload identity</w:t>
            </w:r>
          </w:p>
        </w:tc>
        <w:tc>
          <w:tcPr>
            <w:tcW w:w="0" w:type="auto"/>
            <w:vAlign w:val="center"/>
            <w:hideMark/>
          </w:tcPr>
          <w:p w14:paraId="0F7F067D"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Kubernetes and cloud-native platforms</w:t>
            </w:r>
          </w:p>
        </w:tc>
        <w:tc>
          <w:tcPr>
            <w:tcW w:w="0" w:type="auto"/>
            <w:vAlign w:val="center"/>
            <w:hideMark/>
          </w:tcPr>
          <w:p w14:paraId="17289AF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Eliminates long-lived secrets and supports zero-trust architectures</w:t>
            </w:r>
          </w:p>
        </w:tc>
        <w:tc>
          <w:tcPr>
            <w:tcW w:w="0" w:type="auto"/>
            <w:vAlign w:val="center"/>
            <w:hideMark/>
          </w:tcPr>
          <w:p w14:paraId="0BCCC58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Requires supporting infrastructure and identity federation.</w:t>
            </w:r>
          </w:p>
        </w:tc>
      </w:tr>
      <w:tr w:rsidR="00370E1E" w:rsidRPr="0017187C" w14:paraId="75978906" w14:textId="77777777" w:rsidTr="0017187C">
        <w:trPr>
          <w:tblCellSpacing w:w="15" w:type="dxa"/>
        </w:trPr>
        <w:tc>
          <w:tcPr>
            <w:tcW w:w="0" w:type="auto"/>
            <w:vAlign w:val="center"/>
            <w:hideMark/>
          </w:tcPr>
          <w:p w14:paraId="21E27EC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Private network authentication</w:t>
            </w:r>
          </w:p>
        </w:tc>
        <w:tc>
          <w:tcPr>
            <w:tcW w:w="0" w:type="auto"/>
            <w:vAlign w:val="center"/>
            <w:hideMark/>
          </w:tcPr>
          <w:p w14:paraId="0925D96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Regulated enterprise environments</w:t>
            </w:r>
          </w:p>
        </w:tc>
        <w:tc>
          <w:tcPr>
            <w:tcW w:w="0" w:type="auto"/>
            <w:vAlign w:val="center"/>
            <w:hideMark/>
          </w:tcPr>
          <w:p w14:paraId="0C131B9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Reduced network exposure and integration with organizational networking policies</w:t>
            </w:r>
          </w:p>
        </w:tc>
        <w:tc>
          <w:tcPr>
            <w:tcW w:w="0" w:type="auto"/>
            <w:vAlign w:val="center"/>
            <w:hideMark/>
          </w:tcPr>
          <w:p w14:paraId="54164666"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Generally limited to enterprise cloud environments.</w:t>
            </w:r>
          </w:p>
        </w:tc>
      </w:tr>
    </w:tbl>
    <w:p w14:paraId="5170A07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Identity management is often overlooked during early experimentation because API keys appear sufficient for initial development. However, production AI platforms rarely remain at prototype scale. As adoption expands across multiple applications, business units, and operational environments, enterprise identity </w:t>
      </w:r>
      <w:r w:rsidRPr="00370E1E">
        <w:rPr>
          <w:rFonts w:ascii="Times New Roman" w:eastAsia="Times New Roman" w:hAnsi="Times New Roman" w:cs="Times New Roman"/>
          <w:sz w:val="28"/>
          <w:szCs w:val="24"/>
        </w:rPr>
        <w:lastRenderedPageBreak/>
        <w:t>becomes one of the principal mechanisms through which governance, security, and accountability are enforced.</w:t>
      </w:r>
    </w:p>
    <w:p w14:paraId="68C7F33A" w14:textId="77777777" w:rsidR="00370E1E" w:rsidRPr="00370E1E" w:rsidRDefault="004538ED" w:rsidP="00370E1E">
      <w:pPr>
        <w:rPr>
          <w:rFonts w:ascii="Calibri" w:eastAsia="Calibri" w:hAnsi="Calibri" w:cs="Times New Roman"/>
          <w:sz w:val="24"/>
        </w:rPr>
      </w:pPr>
      <w:r>
        <w:rPr>
          <w:rFonts w:ascii="Calibri" w:eastAsia="Calibri" w:hAnsi="Calibri" w:cs="Times New Roman"/>
          <w:sz w:val="24"/>
        </w:rPr>
        <w:pict w14:anchorId="5C33A8E5">
          <v:rect id="_x0000_i1028" style="width:0;height:1.5pt" o:hralign="center" o:hrstd="t" o:hr="t" fillcolor="#a0a0a0" stroked="f"/>
        </w:pict>
      </w:r>
    </w:p>
    <w:p w14:paraId="59CAF2A7"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t>3.6 Model Catalogs and Managed AI Platforms</w:t>
      </w:r>
    </w:p>
    <w:p w14:paraId="59CBD0C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As commercial AI ecosystems have expanded, organizations increasingly face a different challenge from that of only a few years ago. The problem is no longer a lack of available models but an abundance of them.</w:t>
      </w:r>
    </w:p>
    <w:p w14:paraId="7B16240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Multiple providers now offer frontier language models, specialized reasoning systems, multimodal models, embedding models, image generation services, speech processing systems, and increasingly domain-specific foundation models. Individually integrating each provider quickly becomes operationally burdensome.</w:t>
      </w:r>
    </w:p>
    <w:p w14:paraId="1B7145C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Model catalogs emerged as a response to this complexity.</w:t>
      </w:r>
    </w:p>
    <w:p w14:paraId="638E113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A </w:t>
      </w:r>
      <w:r w:rsidRPr="00370E1E">
        <w:rPr>
          <w:rFonts w:ascii="Times New Roman" w:eastAsia="Times New Roman" w:hAnsi="Times New Roman" w:cs="Times New Roman"/>
          <w:b/>
          <w:bCs/>
          <w:sz w:val="28"/>
          <w:szCs w:val="24"/>
        </w:rPr>
        <w:t>model catalog</w:t>
      </w:r>
      <w:r w:rsidRPr="00370E1E">
        <w:rPr>
          <w:rFonts w:ascii="Times New Roman" w:eastAsia="Times New Roman" w:hAnsi="Times New Roman" w:cs="Times New Roman"/>
          <w:sz w:val="28"/>
          <w:szCs w:val="24"/>
        </w:rPr>
        <w:t xml:space="preserve"> is a managed platform capability that organizes multiple foundation models behind a consistent operational environment. Rather than requiring separate infrastructure, authentication, governance, and lifecycle management for each provider, the platform presents a unified interface through which organizations discover, evaluate, deploy, and operate AI models.</w:t>
      </w:r>
    </w:p>
    <w:p w14:paraId="5C387BB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concept represents an important evolution beyond the early commercial AI ecosystem.</w:t>
      </w:r>
    </w:p>
    <w:p w14:paraId="7DEE456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Initially, organizations typically consumed models directly from their developers. As cloud platforms expanded their AI offerings, they increasingly adopted a marketplace approach in which multiple model vendors became accessible through a shared operational framework.</w:t>
      </w:r>
    </w:p>
    <w:p w14:paraId="38E8CC1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Amazon Bedrock, Google Vertex AI, Azure AI Foundry, Hugging Face, </w:t>
      </w:r>
      <w:proofErr w:type="spellStart"/>
      <w:r w:rsidRPr="00370E1E">
        <w:rPr>
          <w:rFonts w:ascii="Times New Roman" w:eastAsia="Times New Roman" w:hAnsi="Times New Roman" w:cs="Times New Roman"/>
          <w:sz w:val="28"/>
          <w:szCs w:val="24"/>
        </w:rPr>
        <w:t>OpenRouter</w:t>
      </w:r>
      <w:proofErr w:type="spellEnd"/>
      <w:r w:rsidRPr="00370E1E">
        <w:rPr>
          <w:rFonts w:ascii="Times New Roman" w:eastAsia="Times New Roman" w:hAnsi="Times New Roman" w:cs="Times New Roman"/>
          <w:sz w:val="28"/>
          <w:szCs w:val="24"/>
        </w:rPr>
        <w:t xml:space="preserve">, Together AI, and several specialized inference providers now expose extensive model catalogs supporting diverse workloads through common management interfaces. Although the precise implementation varies, the architectural objective remains consistent: separate </w:t>
      </w:r>
      <w:r w:rsidRPr="00370E1E">
        <w:rPr>
          <w:rFonts w:ascii="Times New Roman" w:eastAsia="Times New Roman" w:hAnsi="Times New Roman" w:cs="Times New Roman"/>
          <w:b/>
          <w:bCs/>
          <w:sz w:val="28"/>
          <w:szCs w:val="24"/>
        </w:rPr>
        <w:t>model selection</w:t>
      </w:r>
      <w:r w:rsidRPr="00370E1E">
        <w:rPr>
          <w:rFonts w:ascii="Times New Roman" w:eastAsia="Times New Roman" w:hAnsi="Times New Roman" w:cs="Times New Roman"/>
          <w:sz w:val="28"/>
          <w:szCs w:val="24"/>
        </w:rPr>
        <w:t xml:space="preserve"> from </w:t>
      </w:r>
      <w:r w:rsidRPr="00370E1E">
        <w:rPr>
          <w:rFonts w:ascii="Times New Roman" w:eastAsia="Times New Roman" w:hAnsi="Times New Roman" w:cs="Times New Roman"/>
          <w:b/>
          <w:bCs/>
          <w:sz w:val="28"/>
          <w:szCs w:val="24"/>
        </w:rPr>
        <w:t>platform operations</w:t>
      </w:r>
      <w:r w:rsidRPr="00370E1E">
        <w:rPr>
          <w:rFonts w:ascii="Times New Roman" w:eastAsia="Times New Roman" w:hAnsi="Times New Roman" w:cs="Times New Roman"/>
          <w:sz w:val="28"/>
          <w:szCs w:val="24"/>
        </w:rPr>
        <w:t>.</w:t>
      </w:r>
    </w:p>
    <w:p w14:paraId="55EB7D2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separation offers significant engineering advantages.</w:t>
      </w:r>
    </w:p>
    <w:p w14:paraId="462C39D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Authentication, identity management, billing, quota administration, audit logging, networking, and governance remain stable regardless of which specific model is </w:t>
      </w:r>
      <w:r w:rsidRPr="00370E1E">
        <w:rPr>
          <w:rFonts w:ascii="Times New Roman" w:eastAsia="Times New Roman" w:hAnsi="Times New Roman" w:cs="Times New Roman"/>
          <w:sz w:val="28"/>
          <w:szCs w:val="24"/>
        </w:rPr>
        <w:lastRenderedPageBreak/>
        <w:t>selected. Organizations evaluate models independently of the surrounding operational infrastructure.</w:t>
      </w:r>
    </w:p>
    <w:p w14:paraId="29B4120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Model catalogs also simplify experimentation.</w:t>
      </w:r>
    </w:p>
    <w:p w14:paraId="7C2441F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Engineering teams can compare multiple models using consistent authentication mechanisms, similar API patterns, and shared governance controls. New models become available without requiring entirely new infrastructure integrations, allowing organizations to evaluate emerging capabilities with substantially reduced operational effort.</w:t>
      </w:r>
    </w:p>
    <w:p w14:paraId="1604E15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Another important function of managed platforms is </w:t>
      </w:r>
      <w:r w:rsidRPr="00370E1E">
        <w:rPr>
          <w:rFonts w:ascii="Times New Roman" w:eastAsia="Times New Roman" w:hAnsi="Times New Roman" w:cs="Times New Roman"/>
          <w:b/>
          <w:bCs/>
          <w:sz w:val="28"/>
          <w:szCs w:val="24"/>
        </w:rPr>
        <w:t>model lifecycle management</w:t>
      </w:r>
      <w:r w:rsidRPr="00370E1E">
        <w:rPr>
          <w:rFonts w:ascii="Times New Roman" w:eastAsia="Times New Roman" w:hAnsi="Times New Roman" w:cs="Times New Roman"/>
          <w:sz w:val="28"/>
          <w:szCs w:val="24"/>
        </w:rPr>
        <w:t>.</w:t>
      </w:r>
    </w:p>
    <w:p w14:paraId="5445199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models evolve continuously. New versions are introduced, older versions are deprecated, preview releases become generally available, and capabilities change over time. Managed platforms provide mechanisms for discovering available models, understanding lifecycle status, managing version transitions, and coordinating migrations.</w:t>
      </w:r>
    </w:p>
    <w:p w14:paraId="79F2EFD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Lifecycle management is discussed in greater detail in Section 3.9, but it is useful to recognize here that model catalogs function not merely as directories but as operational management systems.</w:t>
      </w:r>
    </w:p>
    <w:p w14:paraId="77E9252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Managed AI platforms frequently extend beyond model catalogs to include broader platform capabilities.</w:t>
      </w:r>
    </w:p>
    <w:p w14:paraId="464480E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Examples include:</w:t>
      </w:r>
    </w:p>
    <w:p w14:paraId="4D12B985" w14:textId="77777777" w:rsidR="00370E1E" w:rsidRPr="0017187C" w:rsidRDefault="00370E1E" w:rsidP="00370E1E">
      <w:pPr>
        <w:numPr>
          <w:ilvl w:val="0"/>
          <w:numId w:val="7"/>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prompt management, </w:t>
      </w:r>
    </w:p>
    <w:p w14:paraId="626410B6" w14:textId="77777777" w:rsidR="00370E1E" w:rsidRPr="0017187C" w:rsidRDefault="00370E1E" w:rsidP="00370E1E">
      <w:pPr>
        <w:numPr>
          <w:ilvl w:val="0"/>
          <w:numId w:val="7"/>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evaluation tooling, </w:t>
      </w:r>
    </w:p>
    <w:p w14:paraId="33E1F773" w14:textId="77777777" w:rsidR="00370E1E" w:rsidRPr="0017187C" w:rsidRDefault="00370E1E" w:rsidP="00370E1E">
      <w:pPr>
        <w:numPr>
          <w:ilvl w:val="0"/>
          <w:numId w:val="7"/>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safety controls, </w:t>
      </w:r>
    </w:p>
    <w:p w14:paraId="7EDECEBD" w14:textId="77777777" w:rsidR="00370E1E" w:rsidRPr="0017187C" w:rsidRDefault="00370E1E" w:rsidP="00370E1E">
      <w:pPr>
        <w:numPr>
          <w:ilvl w:val="0"/>
          <w:numId w:val="7"/>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batch inference, </w:t>
      </w:r>
    </w:p>
    <w:p w14:paraId="44AE324E" w14:textId="77777777" w:rsidR="00370E1E" w:rsidRPr="0017187C" w:rsidRDefault="00370E1E" w:rsidP="00370E1E">
      <w:pPr>
        <w:numPr>
          <w:ilvl w:val="0"/>
          <w:numId w:val="7"/>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fine-tuning services, </w:t>
      </w:r>
    </w:p>
    <w:p w14:paraId="69CCA7BC" w14:textId="77777777" w:rsidR="00370E1E" w:rsidRPr="0017187C" w:rsidRDefault="00370E1E" w:rsidP="00370E1E">
      <w:pPr>
        <w:numPr>
          <w:ilvl w:val="0"/>
          <w:numId w:val="7"/>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knowledge integration, </w:t>
      </w:r>
    </w:p>
    <w:p w14:paraId="6B4BC97C" w14:textId="77777777" w:rsidR="00370E1E" w:rsidRPr="0017187C" w:rsidRDefault="00370E1E" w:rsidP="00370E1E">
      <w:pPr>
        <w:numPr>
          <w:ilvl w:val="0"/>
          <w:numId w:val="7"/>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playground environments, </w:t>
      </w:r>
    </w:p>
    <w:p w14:paraId="557D935B" w14:textId="77777777" w:rsidR="00370E1E" w:rsidRPr="0017187C" w:rsidRDefault="00370E1E" w:rsidP="00370E1E">
      <w:pPr>
        <w:numPr>
          <w:ilvl w:val="0"/>
          <w:numId w:val="7"/>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deployment management, </w:t>
      </w:r>
    </w:p>
    <w:p w14:paraId="4D8AE6E5" w14:textId="77777777" w:rsidR="00370E1E" w:rsidRPr="0017187C" w:rsidRDefault="00370E1E" w:rsidP="00370E1E">
      <w:pPr>
        <w:numPr>
          <w:ilvl w:val="0"/>
          <w:numId w:val="7"/>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governance dashboards. </w:t>
      </w:r>
    </w:p>
    <w:p w14:paraId="64C8BB0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capabilities increasingly position commercial AI services as complete application platforms rather than simple inference endpoints.</w:t>
      </w:r>
    </w:p>
    <w:p w14:paraId="03BCD61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Nevertheless, organizations should distinguish carefully between </w:t>
      </w:r>
      <w:r w:rsidRPr="00370E1E">
        <w:rPr>
          <w:rFonts w:ascii="Times New Roman" w:eastAsia="Times New Roman" w:hAnsi="Times New Roman" w:cs="Times New Roman"/>
          <w:b/>
          <w:bCs/>
          <w:sz w:val="28"/>
          <w:szCs w:val="24"/>
        </w:rPr>
        <w:t>platform convenience</w:t>
      </w:r>
      <w:r w:rsidRPr="00370E1E">
        <w:rPr>
          <w:rFonts w:ascii="Times New Roman" w:eastAsia="Times New Roman" w:hAnsi="Times New Roman" w:cs="Times New Roman"/>
          <w:sz w:val="28"/>
          <w:szCs w:val="24"/>
        </w:rPr>
        <w:t xml:space="preserve"> and </w:t>
      </w:r>
      <w:r w:rsidRPr="00370E1E">
        <w:rPr>
          <w:rFonts w:ascii="Times New Roman" w:eastAsia="Times New Roman" w:hAnsi="Times New Roman" w:cs="Times New Roman"/>
          <w:b/>
          <w:bCs/>
          <w:sz w:val="28"/>
          <w:szCs w:val="24"/>
        </w:rPr>
        <w:t>architectural dependence</w:t>
      </w:r>
      <w:r w:rsidRPr="00370E1E">
        <w:rPr>
          <w:rFonts w:ascii="Times New Roman" w:eastAsia="Times New Roman" w:hAnsi="Times New Roman" w:cs="Times New Roman"/>
          <w:sz w:val="28"/>
          <w:szCs w:val="24"/>
        </w:rPr>
        <w:t>.</w:t>
      </w:r>
    </w:p>
    <w:p w14:paraId="7E6DE73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A rich platform ecosystem can significantly improve developer productivity. At the same time, extensive reliance on provider-specific tooling may increase migration effort if organizational requirements later change. Mature platform engineering therefore balances the benefits of integrated services against the long-term objective of maintaining reasonable architectural portability.</w:t>
      </w:r>
    </w:p>
    <w:p w14:paraId="594B8E3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does not imply avoiding managed platform features altogether.</w:t>
      </w:r>
    </w:p>
    <w:p w14:paraId="429C4D4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Instead, organizations should understand which capabilities represent broadly reusable architectural concepts and which primarily reflect provider-specific implementation choices.</w:t>
      </w:r>
    </w:p>
    <w:p w14:paraId="014D0FC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broader question of vendor lock-in and architectural portability is examined in Section 3.12.</w:t>
      </w:r>
    </w:p>
    <w:p w14:paraId="0462481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Table 3-5. Typical Capabilities of Managed AI Platforms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787"/>
        <w:gridCol w:w="3839"/>
        <w:gridCol w:w="3729"/>
      </w:tblGrid>
      <w:tr w:rsidR="00370E1E" w:rsidRPr="0017187C" w14:paraId="052DE800" w14:textId="77777777" w:rsidTr="0017187C">
        <w:trPr>
          <w:tblHeader/>
          <w:tblCellSpacing w:w="15" w:type="dxa"/>
        </w:trPr>
        <w:tc>
          <w:tcPr>
            <w:tcW w:w="0" w:type="auto"/>
            <w:vAlign w:val="center"/>
            <w:hideMark/>
          </w:tcPr>
          <w:p w14:paraId="49746031"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Platform Capability</w:t>
            </w:r>
          </w:p>
        </w:tc>
        <w:tc>
          <w:tcPr>
            <w:tcW w:w="0" w:type="auto"/>
            <w:vAlign w:val="center"/>
            <w:hideMark/>
          </w:tcPr>
          <w:p w14:paraId="109B01DE"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Architectural Purpose</w:t>
            </w:r>
          </w:p>
        </w:tc>
        <w:tc>
          <w:tcPr>
            <w:tcW w:w="0" w:type="auto"/>
            <w:vAlign w:val="center"/>
            <w:hideMark/>
          </w:tcPr>
          <w:p w14:paraId="25A34F82"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Representative Examples</w:t>
            </w:r>
          </w:p>
        </w:tc>
      </w:tr>
      <w:tr w:rsidR="00370E1E" w:rsidRPr="0017187C" w14:paraId="6DDFA9A5" w14:textId="77777777" w:rsidTr="0017187C">
        <w:trPr>
          <w:tblCellSpacing w:w="15" w:type="dxa"/>
        </w:trPr>
        <w:tc>
          <w:tcPr>
            <w:tcW w:w="0" w:type="auto"/>
            <w:vAlign w:val="center"/>
            <w:hideMark/>
          </w:tcPr>
          <w:p w14:paraId="4D29FD33"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Model catalog</w:t>
            </w:r>
          </w:p>
        </w:tc>
        <w:tc>
          <w:tcPr>
            <w:tcW w:w="0" w:type="auto"/>
            <w:vAlign w:val="center"/>
            <w:hideMark/>
          </w:tcPr>
          <w:p w14:paraId="5EE3660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Discover and access multiple foundation models through a unified operational environment</w:t>
            </w:r>
          </w:p>
        </w:tc>
        <w:tc>
          <w:tcPr>
            <w:tcW w:w="0" w:type="auto"/>
            <w:vAlign w:val="center"/>
            <w:hideMark/>
          </w:tcPr>
          <w:p w14:paraId="54CD9526"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Amazon Bedrock, Vertex AI Model Garden, Azure AI Foundry Model Catalog, Hugging Face Hub</w:t>
            </w:r>
          </w:p>
        </w:tc>
      </w:tr>
      <w:tr w:rsidR="00370E1E" w:rsidRPr="0017187C" w14:paraId="04F1D16E" w14:textId="77777777" w:rsidTr="0017187C">
        <w:trPr>
          <w:tblCellSpacing w:w="15" w:type="dxa"/>
        </w:trPr>
        <w:tc>
          <w:tcPr>
            <w:tcW w:w="0" w:type="auto"/>
            <w:vAlign w:val="center"/>
            <w:hideMark/>
          </w:tcPr>
          <w:p w14:paraId="387C0CC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Unified authentication</w:t>
            </w:r>
          </w:p>
        </w:tc>
        <w:tc>
          <w:tcPr>
            <w:tcW w:w="0" w:type="auto"/>
            <w:vAlign w:val="center"/>
            <w:hideMark/>
          </w:tcPr>
          <w:p w14:paraId="0A035FF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Apply consistent identity and access management across multiple models</w:t>
            </w:r>
          </w:p>
        </w:tc>
        <w:tc>
          <w:tcPr>
            <w:tcW w:w="0" w:type="auto"/>
            <w:vAlign w:val="center"/>
            <w:hideMark/>
          </w:tcPr>
          <w:p w14:paraId="3E84BA7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Cloud IAM integration, organizational identities</w:t>
            </w:r>
          </w:p>
        </w:tc>
      </w:tr>
      <w:tr w:rsidR="00370E1E" w:rsidRPr="0017187C" w14:paraId="69642896" w14:textId="77777777" w:rsidTr="0017187C">
        <w:trPr>
          <w:tblCellSpacing w:w="15" w:type="dxa"/>
        </w:trPr>
        <w:tc>
          <w:tcPr>
            <w:tcW w:w="0" w:type="auto"/>
            <w:vAlign w:val="center"/>
            <w:hideMark/>
          </w:tcPr>
          <w:p w14:paraId="4BFC21E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Governance and policy</w:t>
            </w:r>
          </w:p>
        </w:tc>
        <w:tc>
          <w:tcPr>
            <w:tcW w:w="0" w:type="auto"/>
            <w:vAlign w:val="center"/>
            <w:hideMark/>
          </w:tcPr>
          <w:p w14:paraId="22AD9CE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Centralize access control, auditing, and organizational policies</w:t>
            </w:r>
          </w:p>
        </w:tc>
        <w:tc>
          <w:tcPr>
            <w:tcW w:w="0" w:type="auto"/>
            <w:vAlign w:val="center"/>
            <w:hideMark/>
          </w:tcPr>
          <w:p w14:paraId="7969C2D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Enterprise administration and compliance tooling</w:t>
            </w:r>
          </w:p>
        </w:tc>
      </w:tr>
      <w:tr w:rsidR="00370E1E" w:rsidRPr="0017187C" w14:paraId="7529B22E" w14:textId="77777777" w:rsidTr="0017187C">
        <w:trPr>
          <w:tblCellSpacing w:w="15" w:type="dxa"/>
        </w:trPr>
        <w:tc>
          <w:tcPr>
            <w:tcW w:w="0" w:type="auto"/>
            <w:vAlign w:val="center"/>
            <w:hideMark/>
          </w:tcPr>
          <w:p w14:paraId="42760026"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Lifecycle management</w:t>
            </w:r>
          </w:p>
        </w:tc>
        <w:tc>
          <w:tcPr>
            <w:tcW w:w="0" w:type="auto"/>
            <w:vAlign w:val="center"/>
            <w:hideMark/>
          </w:tcPr>
          <w:p w14:paraId="43F07CB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Manage model availability, versioning, preview releases, and deprecation</w:t>
            </w:r>
          </w:p>
        </w:tc>
        <w:tc>
          <w:tcPr>
            <w:tcW w:w="0" w:type="auto"/>
            <w:vAlign w:val="center"/>
            <w:hideMark/>
          </w:tcPr>
          <w:p w14:paraId="7BEE045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Model version catalogs and release management</w:t>
            </w:r>
          </w:p>
        </w:tc>
      </w:tr>
      <w:tr w:rsidR="00370E1E" w:rsidRPr="0017187C" w14:paraId="103D6712" w14:textId="77777777" w:rsidTr="0017187C">
        <w:trPr>
          <w:tblCellSpacing w:w="15" w:type="dxa"/>
        </w:trPr>
        <w:tc>
          <w:tcPr>
            <w:tcW w:w="0" w:type="auto"/>
            <w:vAlign w:val="center"/>
            <w:hideMark/>
          </w:tcPr>
          <w:p w14:paraId="5BA5859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Evaluation tooling</w:t>
            </w:r>
          </w:p>
        </w:tc>
        <w:tc>
          <w:tcPr>
            <w:tcW w:w="0" w:type="auto"/>
            <w:vAlign w:val="center"/>
            <w:hideMark/>
          </w:tcPr>
          <w:p w14:paraId="780408CA"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Compare model quality across workloads using consistent operational workflows</w:t>
            </w:r>
          </w:p>
        </w:tc>
        <w:tc>
          <w:tcPr>
            <w:tcW w:w="0" w:type="auto"/>
            <w:vAlign w:val="center"/>
            <w:hideMark/>
          </w:tcPr>
          <w:p w14:paraId="4DD21A07"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Built-in evaluation frameworks and benchmarking support</w:t>
            </w:r>
          </w:p>
        </w:tc>
      </w:tr>
      <w:tr w:rsidR="00370E1E" w:rsidRPr="0017187C" w14:paraId="115DC908" w14:textId="77777777" w:rsidTr="0017187C">
        <w:trPr>
          <w:tblCellSpacing w:w="15" w:type="dxa"/>
        </w:trPr>
        <w:tc>
          <w:tcPr>
            <w:tcW w:w="0" w:type="auto"/>
            <w:vAlign w:val="center"/>
            <w:hideMark/>
          </w:tcPr>
          <w:p w14:paraId="1EA7DFE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Integrated platform services</w:t>
            </w:r>
          </w:p>
        </w:tc>
        <w:tc>
          <w:tcPr>
            <w:tcW w:w="0" w:type="auto"/>
            <w:vAlign w:val="center"/>
            <w:hideMark/>
          </w:tcPr>
          <w:p w14:paraId="29465E6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Provide additional capabilities beyond inference, including batch processing, fine-tuning, and safety features</w:t>
            </w:r>
          </w:p>
        </w:tc>
        <w:tc>
          <w:tcPr>
            <w:tcW w:w="0" w:type="auto"/>
            <w:vAlign w:val="center"/>
            <w:hideMark/>
          </w:tcPr>
          <w:p w14:paraId="0B9FED43"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Platform-specific AI service ecosystems</w:t>
            </w:r>
          </w:p>
        </w:tc>
      </w:tr>
    </w:tbl>
    <w:p w14:paraId="55F5F96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emergence of managed AI platforms reflects a broader trend already familiar from cloud computing. Infrastructure capabilities that were once assembled manually from independent components gradually become integrated platform services. For enterprise AI, model catalogs represent one manifestation of this evolution, allowing organizations to focus increasingly on application architecture and governance while reducing the operational complexity of managing an expanding ecosystem of foundation models.</w:t>
      </w:r>
    </w:p>
    <w:p w14:paraId="586D6817" w14:textId="77777777" w:rsidR="00370E1E" w:rsidRPr="00370E1E" w:rsidRDefault="00370E1E" w:rsidP="00370E1E">
      <w:pPr>
        <w:rPr>
          <w:rFonts w:ascii="Times New Roman" w:eastAsia="Calibri" w:hAnsi="Times New Roman" w:cs="Times New Roman"/>
          <w:sz w:val="28"/>
        </w:rPr>
      </w:pPr>
    </w:p>
    <w:p w14:paraId="783F105F"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t>3.7 Selecting Commercial Models for Production</w:t>
      </w:r>
    </w:p>
    <w:p w14:paraId="2663FA6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Selecting a commercial foundation model is one of the most visible decisions in an AI project, yet it is rarely the most important architectural decision. Organizations often devote considerable attention to benchmark leaderboards or public comparisons between frontier models, while overlooking operational characteristics that ultimately determine production success.</w:t>
      </w:r>
    </w:p>
    <w:p w14:paraId="648B39C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imbalance is understandable. Model capabilities are easy to compare because they produce quantitative rankings and widely publicized benchmark scores. Operational characteristics such as service reliability, version stability, authentication, quota management, regional availability, governance integration, and long-term maintenance are more difficult to summarize but frequently have greater influence on total system quality.</w:t>
      </w:r>
    </w:p>
    <w:p w14:paraId="4C34961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A mature platform engineering process therefore evaluates </w:t>
      </w:r>
      <w:r w:rsidRPr="00370E1E">
        <w:rPr>
          <w:rFonts w:ascii="Times New Roman" w:eastAsia="Times New Roman" w:hAnsi="Times New Roman" w:cs="Times New Roman"/>
          <w:b/>
          <w:bCs/>
          <w:sz w:val="28"/>
          <w:szCs w:val="24"/>
        </w:rPr>
        <w:t>services</w:t>
      </w:r>
      <w:r w:rsidRPr="00370E1E">
        <w:rPr>
          <w:rFonts w:ascii="Times New Roman" w:eastAsia="Times New Roman" w:hAnsi="Times New Roman" w:cs="Times New Roman"/>
          <w:sz w:val="28"/>
          <w:szCs w:val="24"/>
        </w:rPr>
        <w:t xml:space="preserve">, </w:t>
      </w:r>
      <w:r w:rsidRPr="00370E1E">
        <w:rPr>
          <w:rFonts w:ascii="Times New Roman" w:eastAsia="Times New Roman" w:hAnsi="Times New Roman" w:cs="Times New Roman"/>
          <w:b/>
          <w:bCs/>
          <w:sz w:val="28"/>
          <w:szCs w:val="24"/>
        </w:rPr>
        <w:t>models</w:t>
      </w:r>
      <w:r w:rsidRPr="00370E1E">
        <w:rPr>
          <w:rFonts w:ascii="Times New Roman" w:eastAsia="Times New Roman" w:hAnsi="Times New Roman" w:cs="Times New Roman"/>
          <w:sz w:val="28"/>
          <w:szCs w:val="24"/>
        </w:rPr>
        <w:t xml:space="preserve">, and </w:t>
      </w:r>
      <w:r w:rsidRPr="00370E1E">
        <w:rPr>
          <w:rFonts w:ascii="Times New Roman" w:eastAsia="Times New Roman" w:hAnsi="Times New Roman" w:cs="Times New Roman"/>
          <w:b/>
          <w:bCs/>
          <w:sz w:val="28"/>
          <w:szCs w:val="24"/>
        </w:rPr>
        <w:t>workloads</w:t>
      </w:r>
      <w:r w:rsidRPr="00370E1E">
        <w:rPr>
          <w:rFonts w:ascii="Times New Roman" w:eastAsia="Times New Roman" w:hAnsi="Times New Roman" w:cs="Times New Roman"/>
          <w:sz w:val="28"/>
          <w:szCs w:val="24"/>
        </w:rPr>
        <w:t xml:space="preserve"> simultaneously rather than treating model capability as an isolated optimization problem.</w:t>
      </w:r>
    </w:p>
    <w:p w14:paraId="186F6B98"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Begin with the Workload, Not the Model</w:t>
      </w:r>
    </w:p>
    <w:p w14:paraId="057F5B4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Production model selection should begin by understanding the application being built rather than by identifying the highest-scoring model.</w:t>
      </w:r>
    </w:p>
    <w:p w14:paraId="01DD30A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Different workloads emphasize different characteristics.</w:t>
      </w:r>
    </w:p>
    <w:p w14:paraId="1D9F135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An interactive customer support assistant values predictable latency, low response variability, and cost efficiency across millions of requests. A software engineering assistant may prioritize reasoning depth, tool use, long-context performance, and structured outputs. Document analysis systems frequently require large context windows, high throughput, and reliable extraction accuracy. Offline research workflows may tolerate higher latency in exchange for stronger reasoning capabilities.</w:t>
      </w:r>
    </w:p>
    <w:p w14:paraId="7AB5A05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differing priorities mean that no single model is objectively "best" across all applications.</w:t>
      </w:r>
    </w:p>
    <w:p w14:paraId="24D4E8C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Instead, organizations should define evaluation criteria derived directly from business requirements before comparing candidate models.</w:t>
      </w:r>
    </w:p>
    <w:p w14:paraId="16F2AC3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This principle mirrors long-established engineering practice in database selection, distributed systems, and cloud architecture. Systems are evaluated against workload requirements rather than abstract performance rankings.</w:t>
      </w:r>
    </w:p>
    <w:p w14:paraId="76C50A2C"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Capability Dimensions</w:t>
      </w:r>
    </w:p>
    <w:p w14:paraId="00243E8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Several technical characteristics consistently influence commercial model selection.</w:t>
      </w:r>
    </w:p>
    <w:p w14:paraId="097FCDB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Reasoning quality</w:t>
      </w:r>
      <w:r w:rsidRPr="00370E1E">
        <w:rPr>
          <w:rFonts w:ascii="Times New Roman" w:eastAsia="Times New Roman" w:hAnsi="Times New Roman" w:cs="Times New Roman"/>
          <w:sz w:val="28"/>
          <w:szCs w:val="24"/>
        </w:rPr>
        <w:t xml:space="preserve"> remains one of the most important factors for complex analytical workloads. Modern frontier models differ significantly in multi-step planning, mathematical reasoning, software engineering tasks, and long-horizon problem decomposition.</w:t>
      </w:r>
    </w:p>
    <w:p w14:paraId="07028A1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Instruction following</w:t>
      </w:r>
      <w:r w:rsidRPr="00370E1E">
        <w:rPr>
          <w:rFonts w:ascii="Times New Roman" w:eastAsia="Times New Roman" w:hAnsi="Times New Roman" w:cs="Times New Roman"/>
          <w:sz w:val="28"/>
          <w:szCs w:val="24"/>
        </w:rPr>
        <w:t xml:space="preserve"> determines how reliably models adhere to system prompts, formatting requirements, safety constraints, and structured output schemas.</w:t>
      </w:r>
    </w:p>
    <w:p w14:paraId="0778829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Tool use</w:t>
      </w:r>
      <w:r w:rsidRPr="00370E1E">
        <w:rPr>
          <w:rFonts w:ascii="Times New Roman" w:eastAsia="Times New Roman" w:hAnsi="Times New Roman" w:cs="Times New Roman"/>
          <w:sz w:val="28"/>
          <w:szCs w:val="24"/>
        </w:rPr>
        <w:t xml:space="preserve"> has become increasingly important as AI applications evolve toward agentic workflows. Models vary substantially in their ability to determine when external information is required, construct appropriate tool requests, recover from tool failures, and integrate retrieved information into subsequent reasoning.</w:t>
      </w:r>
    </w:p>
    <w:p w14:paraId="3535C6A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Multimodal capability</w:t>
      </w:r>
      <w:r w:rsidRPr="00370E1E">
        <w:rPr>
          <w:rFonts w:ascii="Times New Roman" w:eastAsia="Times New Roman" w:hAnsi="Times New Roman" w:cs="Times New Roman"/>
          <w:sz w:val="28"/>
          <w:szCs w:val="24"/>
        </w:rPr>
        <w:t xml:space="preserve"> influences applications involving images, audio, documents, diagrams, or mixed-media inputs. Some models support native multimodal reasoning, while others rely upon separate specialized services.</w:t>
      </w:r>
    </w:p>
    <w:p w14:paraId="6B13B12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Context length</w:t>
      </w:r>
      <w:r w:rsidRPr="00370E1E">
        <w:rPr>
          <w:rFonts w:ascii="Times New Roman" w:eastAsia="Times New Roman" w:hAnsi="Times New Roman" w:cs="Times New Roman"/>
          <w:sz w:val="28"/>
          <w:szCs w:val="24"/>
        </w:rPr>
        <w:t xml:space="preserve"> affects applications processing large documents or extensive conversational history. However, maximum context length should not be interpreted as equivalent to effective context utilization. The ability to reason accurately across very long contexts remains an active area of model development, and published context limits frequently exceed what practical evaluations demonstrate under realistic workloads.</w:t>
      </w:r>
    </w:p>
    <w:p w14:paraId="6D801FB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Finally, </w:t>
      </w:r>
      <w:r w:rsidRPr="00370E1E">
        <w:rPr>
          <w:rFonts w:ascii="Times New Roman" w:eastAsia="Times New Roman" w:hAnsi="Times New Roman" w:cs="Times New Roman"/>
          <w:b/>
          <w:bCs/>
          <w:sz w:val="28"/>
          <w:szCs w:val="24"/>
        </w:rPr>
        <w:t>structured output reliability</w:t>
      </w:r>
      <w:r w:rsidRPr="00370E1E">
        <w:rPr>
          <w:rFonts w:ascii="Times New Roman" w:eastAsia="Times New Roman" w:hAnsi="Times New Roman" w:cs="Times New Roman"/>
          <w:sz w:val="28"/>
          <w:szCs w:val="24"/>
        </w:rPr>
        <w:t xml:space="preserve"> has become increasingly significant for enterprise integration. Models generating machine-readable responses should consistently produce outputs conforming to specified schemas while minimizing repair or retry logic within downstream systems.</w:t>
      </w:r>
    </w:p>
    <w:p w14:paraId="674D78F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capability dimensions interact with one another. Improvements in one area may coincide with trade-offs in latency, cost, or operational complexity.</w:t>
      </w:r>
    </w:p>
    <w:p w14:paraId="22273CBB"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Operational Characteristics</w:t>
      </w:r>
    </w:p>
    <w:p w14:paraId="56519BF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Production systems evaluate models according to operational properties as carefully as reasoning ability.</w:t>
      </w:r>
    </w:p>
    <w:p w14:paraId="13D917E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Latency determines interactive responsiveness and influences user experience.</w:t>
      </w:r>
    </w:p>
    <w:p w14:paraId="0A76526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Throughput affects infrastructure planning, concurrency management, and service scalability.</w:t>
      </w:r>
    </w:p>
    <w:p w14:paraId="78442BA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Availability influences service-level objectives and resilience planning.</w:t>
      </w:r>
    </w:p>
    <w:p w14:paraId="6A4CB27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Regional deployment determines compliance with regulatory requirements and data residency policies.</w:t>
      </w:r>
    </w:p>
    <w:p w14:paraId="1B683E0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Quota management constrains application scaling.</w:t>
      </w:r>
    </w:p>
    <w:p w14:paraId="09214DF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Version stability influences regression testing effort.</w:t>
      </w:r>
    </w:p>
    <w:p w14:paraId="5DB9D7D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Operational maturity also includes less obvious considerations.</w:t>
      </w:r>
    </w:p>
    <w:p w14:paraId="3D9B749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Documentation quality, SDK maturity, release cadence, enterprise support, backward compatibility policies, and transparency regarding model lifecycle all affect long-term maintainability.</w:t>
      </w:r>
    </w:p>
    <w:p w14:paraId="0FD53C0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factors rarely appear in public benchmark leaderboards despite frequently determining production success.</w:t>
      </w:r>
    </w:p>
    <w:p w14:paraId="026D54C1"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Cost as a Design Constraint</w:t>
      </w:r>
    </w:p>
    <w:p w14:paraId="3759330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model selection inevitably involves economic considerations.</w:t>
      </w:r>
    </w:p>
    <w:p w14:paraId="74074EE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Providers commonly charge according to token consumption, although pricing structures increasingly include provisioned throughput, subscriptions, enterprise capacity reservations, and batch processing discounts.</w:t>
      </w:r>
    </w:p>
    <w:p w14:paraId="576A45E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Engineering teams should resist the temptation to optimize exclusively for lowest token cost.</w:t>
      </w:r>
    </w:p>
    <w:p w14:paraId="2308E7C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 more capable model may complete complex workflows in fewer interactions, reducing total application cost despite higher per-token pricing. Conversely, a less expensive model requiring repeated retries, additional verification, or supplementary reasoning stages may increase overall operational expense.</w:t>
      </w:r>
    </w:p>
    <w:p w14:paraId="27B0282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Consequently, cost should be evaluated at the application level rather than the individual request level.</w:t>
      </w:r>
    </w:p>
    <w:p w14:paraId="2C01A48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Comprehensive cost engineering—including caching strategies, workload routing, capacity planning, and FinOps methodologies—is intentionally deferred to Chapter 17.</w:t>
      </w:r>
    </w:p>
    <w:p w14:paraId="5612B87F"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lastRenderedPageBreak/>
        <w:t>Evaluation Rather Than Assumption</w:t>
      </w:r>
    </w:p>
    <w:p w14:paraId="273CC2F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Modern AI platforms increasingly recognize that published benchmark results cannot substitute for workload-specific evaluation.</w:t>
      </w:r>
    </w:p>
    <w:p w14:paraId="61106DF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General-purpose benchmarks such as HELM, </w:t>
      </w:r>
      <w:proofErr w:type="spellStart"/>
      <w:r w:rsidRPr="00370E1E">
        <w:rPr>
          <w:rFonts w:ascii="Times New Roman" w:eastAsia="Times New Roman" w:hAnsi="Times New Roman" w:cs="Times New Roman"/>
          <w:sz w:val="28"/>
          <w:szCs w:val="24"/>
        </w:rPr>
        <w:t>LiveBench</w:t>
      </w:r>
      <w:proofErr w:type="spellEnd"/>
      <w:r w:rsidRPr="00370E1E">
        <w:rPr>
          <w:rFonts w:ascii="Times New Roman" w:eastAsia="Times New Roman" w:hAnsi="Times New Roman" w:cs="Times New Roman"/>
          <w:sz w:val="28"/>
          <w:szCs w:val="24"/>
        </w:rPr>
        <w:t xml:space="preserve">, SWE-bench, Artificial Analysis, and Humanity's Last Exam provide valuable comparative information, but each </w:t>
      </w:r>
      <w:proofErr w:type="gramStart"/>
      <w:r w:rsidRPr="00370E1E">
        <w:rPr>
          <w:rFonts w:ascii="Times New Roman" w:eastAsia="Times New Roman" w:hAnsi="Times New Roman" w:cs="Times New Roman"/>
          <w:sz w:val="28"/>
          <w:szCs w:val="24"/>
        </w:rPr>
        <w:t>measures</w:t>
      </w:r>
      <w:proofErr w:type="gramEnd"/>
      <w:r w:rsidRPr="00370E1E">
        <w:rPr>
          <w:rFonts w:ascii="Times New Roman" w:eastAsia="Times New Roman" w:hAnsi="Times New Roman" w:cs="Times New Roman"/>
          <w:sz w:val="28"/>
          <w:szCs w:val="24"/>
        </w:rPr>
        <w:t xml:space="preserve"> only selected aspects of model behavior under controlled evaluation conditions. None can fully represent the operational characteristics of an organization's own applications.</w:t>
      </w:r>
    </w:p>
    <w:p w14:paraId="4E57C70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Production model selection therefore increasingly relies upon representative evaluation datasets, regression suites, human review, and domain-specific performance measurements.</w:t>
      </w:r>
    </w:p>
    <w:p w14:paraId="187BC5D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objective is not to determine which model performs best in general, but which model performs most effectively for a particular workload.</w:t>
      </w:r>
    </w:p>
    <w:p w14:paraId="5F60AE1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philosophy aligns with broader software engineering practice, where synthetic benchmarks complement rather than replace application-specific performance testing.</w:t>
      </w:r>
    </w:p>
    <w:p w14:paraId="1B03163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Chapter 13 develops these evaluation methodologies in detail.</w:t>
      </w:r>
    </w:p>
    <w:p w14:paraId="6078643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Table 3-6. Representative Model Evaluation Dimensions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663"/>
        <w:gridCol w:w="3703"/>
        <w:gridCol w:w="3989"/>
      </w:tblGrid>
      <w:tr w:rsidR="00370E1E" w:rsidRPr="0017187C" w14:paraId="1B95991D" w14:textId="77777777" w:rsidTr="0017187C">
        <w:trPr>
          <w:tblHeader/>
          <w:tblCellSpacing w:w="15" w:type="dxa"/>
        </w:trPr>
        <w:tc>
          <w:tcPr>
            <w:tcW w:w="0" w:type="auto"/>
            <w:vAlign w:val="center"/>
            <w:hideMark/>
          </w:tcPr>
          <w:p w14:paraId="05A8A3B1"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Evaluation Dimension</w:t>
            </w:r>
          </w:p>
        </w:tc>
        <w:tc>
          <w:tcPr>
            <w:tcW w:w="0" w:type="auto"/>
            <w:vAlign w:val="center"/>
            <w:hideMark/>
          </w:tcPr>
          <w:p w14:paraId="319C6264"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Questions Addressed</w:t>
            </w:r>
          </w:p>
        </w:tc>
        <w:tc>
          <w:tcPr>
            <w:tcW w:w="0" w:type="auto"/>
            <w:vAlign w:val="center"/>
            <w:hideMark/>
          </w:tcPr>
          <w:p w14:paraId="57776CCB"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Engineering Impact</w:t>
            </w:r>
          </w:p>
        </w:tc>
      </w:tr>
      <w:tr w:rsidR="00370E1E" w:rsidRPr="0017187C" w14:paraId="7B8E9E05" w14:textId="77777777" w:rsidTr="0017187C">
        <w:trPr>
          <w:tblCellSpacing w:w="15" w:type="dxa"/>
        </w:trPr>
        <w:tc>
          <w:tcPr>
            <w:tcW w:w="0" w:type="auto"/>
            <w:vAlign w:val="center"/>
            <w:hideMark/>
          </w:tcPr>
          <w:p w14:paraId="551FC08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Reasoning capability</w:t>
            </w:r>
          </w:p>
        </w:tc>
        <w:tc>
          <w:tcPr>
            <w:tcW w:w="0" w:type="auto"/>
            <w:vAlign w:val="center"/>
            <w:hideMark/>
          </w:tcPr>
          <w:p w14:paraId="3E2AEB5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Can the model solve complex multi-step problems reliably?</w:t>
            </w:r>
          </w:p>
        </w:tc>
        <w:tc>
          <w:tcPr>
            <w:tcW w:w="0" w:type="auto"/>
            <w:vAlign w:val="center"/>
            <w:hideMark/>
          </w:tcPr>
          <w:p w14:paraId="0F92533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Influences quality for analytical, scientific, and coding workloads.</w:t>
            </w:r>
          </w:p>
        </w:tc>
      </w:tr>
      <w:tr w:rsidR="00370E1E" w:rsidRPr="0017187C" w14:paraId="057FB048" w14:textId="77777777" w:rsidTr="0017187C">
        <w:trPr>
          <w:tblCellSpacing w:w="15" w:type="dxa"/>
        </w:trPr>
        <w:tc>
          <w:tcPr>
            <w:tcW w:w="0" w:type="auto"/>
            <w:vAlign w:val="center"/>
            <w:hideMark/>
          </w:tcPr>
          <w:p w14:paraId="2951257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Instruction following</w:t>
            </w:r>
          </w:p>
        </w:tc>
        <w:tc>
          <w:tcPr>
            <w:tcW w:w="0" w:type="auto"/>
            <w:vAlign w:val="center"/>
            <w:hideMark/>
          </w:tcPr>
          <w:p w14:paraId="29184065"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Does the model consistently comply with prompts and formatting constraints?</w:t>
            </w:r>
          </w:p>
        </w:tc>
        <w:tc>
          <w:tcPr>
            <w:tcW w:w="0" w:type="auto"/>
            <w:vAlign w:val="center"/>
            <w:hideMark/>
          </w:tcPr>
          <w:p w14:paraId="226B329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Determines automation reliability and reduces downstream correction logic.</w:t>
            </w:r>
          </w:p>
        </w:tc>
      </w:tr>
      <w:tr w:rsidR="00370E1E" w:rsidRPr="0017187C" w14:paraId="0A661C5C" w14:textId="77777777" w:rsidTr="0017187C">
        <w:trPr>
          <w:tblCellSpacing w:w="15" w:type="dxa"/>
        </w:trPr>
        <w:tc>
          <w:tcPr>
            <w:tcW w:w="0" w:type="auto"/>
            <w:vAlign w:val="center"/>
            <w:hideMark/>
          </w:tcPr>
          <w:p w14:paraId="0E9A7833"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Tool use</w:t>
            </w:r>
          </w:p>
        </w:tc>
        <w:tc>
          <w:tcPr>
            <w:tcW w:w="0" w:type="auto"/>
            <w:vAlign w:val="center"/>
            <w:hideMark/>
          </w:tcPr>
          <w:p w14:paraId="5701FF4A"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Can the model coordinate external systems effectively?</w:t>
            </w:r>
          </w:p>
        </w:tc>
        <w:tc>
          <w:tcPr>
            <w:tcW w:w="0" w:type="auto"/>
            <w:vAlign w:val="center"/>
            <w:hideMark/>
          </w:tcPr>
          <w:p w14:paraId="02AB8DA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Critical for retrieval-augmented generation and agent-oriented architectures.</w:t>
            </w:r>
          </w:p>
        </w:tc>
      </w:tr>
      <w:tr w:rsidR="00370E1E" w:rsidRPr="0017187C" w14:paraId="7FBA970E" w14:textId="77777777" w:rsidTr="0017187C">
        <w:trPr>
          <w:tblCellSpacing w:w="15" w:type="dxa"/>
        </w:trPr>
        <w:tc>
          <w:tcPr>
            <w:tcW w:w="0" w:type="auto"/>
            <w:vAlign w:val="center"/>
            <w:hideMark/>
          </w:tcPr>
          <w:p w14:paraId="0A5A9CFD"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Multimodal capability</w:t>
            </w:r>
          </w:p>
        </w:tc>
        <w:tc>
          <w:tcPr>
            <w:tcW w:w="0" w:type="auto"/>
            <w:vAlign w:val="center"/>
            <w:hideMark/>
          </w:tcPr>
          <w:p w14:paraId="51455CC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Which input and output modalities are supported?</w:t>
            </w:r>
          </w:p>
        </w:tc>
        <w:tc>
          <w:tcPr>
            <w:tcW w:w="0" w:type="auto"/>
            <w:vAlign w:val="center"/>
            <w:hideMark/>
          </w:tcPr>
          <w:p w14:paraId="6D054F2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Determines suitability for document, vision, and audio applications.</w:t>
            </w:r>
          </w:p>
        </w:tc>
      </w:tr>
      <w:tr w:rsidR="00370E1E" w:rsidRPr="0017187C" w14:paraId="74A947E9" w14:textId="77777777" w:rsidTr="0017187C">
        <w:trPr>
          <w:tblCellSpacing w:w="15" w:type="dxa"/>
        </w:trPr>
        <w:tc>
          <w:tcPr>
            <w:tcW w:w="0" w:type="auto"/>
            <w:vAlign w:val="center"/>
            <w:hideMark/>
          </w:tcPr>
          <w:p w14:paraId="3441F916"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Context handling</w:t>
            </w:r>
          </w:p>
        </w:tc>
        <w:tc>
          <w:tcPr>
            <w:tcW w:w="0" w:type="auto"/>
            <w:vAlign w:val="center"/>
            <w:hideMark/>
          </w:tcPr>
          <w:p w14:paraId="61FD845A"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How effectively does the model utilize long inputs?</w:t>
            </w:r>
          </w:p>
        </w:tc>
        <w:tc>
          <w:tcPr>
            <w:tcW w:w="0" w:type="auto"/>
            <w:vAlign w:val="center"/>
            <w:hideMark/>
          </w:tcPr>
          <w:p w14:paraId="55CB55D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Influences document processing and conversational applications.</w:t>
            </w:r>
          </w:p>
        </w:tc>
      </w:tr>
      <w:tr w:rsidR="00370E1E" w:rsidRPr="0017187C" w14:paraId="3BBC08B6" w14:textId="77777777" w:rsidTr="0017187C">
        <w:trPr>
          <w:tblCellSpacing w:w="15" w:type="dxa"/>
        </w:trPr>
        <w:tc>
          <w:tcPr>
            <w:tcW w:w="0" w:type="auto"/>
            <w:vAlign w:val="center"/>
            <w:hideMark/>
          </w:tcPr>
          <w:p w14:paraId="1D38ACE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Structured outputs</w:t>
            </w:r>
          </w:p>
        </w:tc>
        <w:tc>
          <w:tcPr>
            <w:tcW w:w="0" w:type="auto"/>
            <w:vAlign w:val="center"/>
            <w:hideMark/>
          </w:tcPr>
          <w:p w14:paraId="224F06E5"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Can responses reliably conform to predefined schemas?</w:t>
            </w:r>
          </w:p>
        </w:tc>
        <w:tc>
          <w:tcPr>
            <w:tcW w:w="0" w:type="auto"/>
            <w:vAlign w:val="center"/>
            <w:hideMark/>
          </w:tcPr>
          <w:p w14:paraId="4CC85043"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Simplifies enterprise integration and workflow automation.</w:t>
            </w:r>
          </w:p>
        </w:tc>
      </w:tr>
      <w:tr w:rsidR="00370E1E" w:rsidRPr="0017187C" w14:paraId="08EBAD5C" w14:textId="77777777" w:rsidTr="0017187C">
        <w:trPr>
          <w:tblCellSpacing w:w="15" w:type="dxa"/>
        </w:trPr>
        <w:tc>
          <w:tcPr>
            <w:tcW w:w="0" w:type="auto"/>
            <w:vAlign w:val="center"/>
            <w:hideMark/>
          </w:tcPr>
          <w:p w14:paraId="37A6F6F3"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lastRenderedPageBreak/>
              <w:t>Latency and throughput</w:t>
            </w:r>
          </w:p>
        </w:tc>
        <w:tc>
          <w:tcPr>
            <w:tcW w:w="0" w:type="auto"/>
            <w:vAlign w:val="center"/>
            <w:hideMark/>
          </w:tcPr>
          <w:p w14:paraId="1B5C910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How quickly are responses generated under expected workloads?</w:t>
            </w:r>
          </w:p>
        </w:tc>
        <w:tc>
          <w:tcPr>
            <w:tcW w:w="0" w:type="auto"/>
            <w:vAlign w:val="center"/>
            <w:hideMark/>
          </w:tcPr>
          <w:p w14:paraId="4934C80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Directly affects user experience and capacity planning.</w:t>
            </w:r>
          </w:p>
        </w:tc>
      </w:tr>
      <w:tr w:rsidR="00370E1E" w:rsidRPr="0017187C" w14:paraId="1EB21A1C" w14:textId="77777777" w:rsidTr="0017187C">
        <w:trPr>
          <w:tblCellSpacing w:w="15" w:type="dxa"/>
        </w:trPr>
        <w:tc>
          <w:tcPr>
            <w:tcW w:w="0" w:type="auto"/>
            <w:vAlign w:val="center"/>
            <w:hideMark/>
          </w:tcPr>
          <w:p w14:paraId="546667F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Cost</w:t>
            </w:r>
          </w:p>
        </w:tc>
        <w:tc>
          <w:tcPr>
            <w:tcW w:w="0" w:type="auto"/>
            <w:vAlign w:val="center"/>
            <w:hideMark/>
          </w:tcPr>
          <w:p w14:paraId="77AEEB0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What is the total application cost under realistic workloads?</w:t>
            </w:r>
          </w:p>
        </w:tc>
        <w:tc>
          <w:tcPr>
            <w:tcW w:w="0" w:type="auto"/>
            <w:vAlign w:val="center"/>
            <w:hideMark/>
          </w:tcPr>
          <w:p w14:paraId="0C7C7C1D"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Influences architectural sustainability rather than individual request optimization.</w:t>
            </w:r>
          </w:p>
        </w:tc>
      </w:tr>
    </w:tbl>
    <w:p w14:paraId="31A0792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model selection should therefore be viewed as an iterative engineering process rather than a one-time procurement decision. As models evolve, workloads change, and application requirements mature, organizations should expect model selection to remain an ongoing component of platform governance.</w:t>
      </w:r>
    </w:p>
    <w:p w14:paraId="7454332A" w14:textId="77777777" w:rsidR="00370E1E" w:rsidRPr="00370E1E" w:rsidRDefault="004538ED" w:rsidP="00370E1E">
      <w:pPr>
        <w:rPr>
          <w:rFonts w:ascii="Calibri" w:eastAsia="Calibri" w:hAnsi="Calibri" w:cs="Times New Roman"/>
          <w:sz w:val="24"/>
        </w:rPr>
      </w:pPr>
      <w:r>
        <w:rPr>
          <w:rFonts w:ascii="Calibri" w:eastAsia="Calibri" w:hAnsi="Calibri" w:cs="Times New Roman"/>
          <w:sz w:val="24"/>
        </w:rPr>
        <w:pict w14:anchorId="44E33DE5">
          <v:rect id="_x0000_i1029" style="width:0;height:1.5pt" o:hralign="center" o:hrstd="t" o:hr="t" fillcolor="#a0a0a0" stroked="f"/>
        </w:pict>
      </w:r>
    </w:p>
    <w:p w14:paraId="5D3BD156"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t>3.8 Service-Level Characteristics</w:t>
      </w:r>
    </w:p>
    <w:p w14:paraId="5ADAAC7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Foundation model capability represents only one dimension of production quality. Once an AI application enters continuous operation, service-level characteristics frequently become the dominant engineering concern.</w:t>
      </w:r>
    </w:p>
    <w:p w14:paraId="1217B52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Users rarely distinguish between a model producing an incorrect response and a service failing to respond at all. Consequently, production AI systems must evaluate operational behavior with the same rigor traditionally applied to distributed cloud services.</w:t>
      </w:r>
    </w:p>
    <w:p w14:paraId="328DD4D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AI platforms increasingly publish operational characteristics describing availability expectations, request limits, latency behavior, regional deployment, supported service tiers, and operational constraints. These characteristics define the practical operating envelope within which applications must function.</w:t>
      </w:r>
    </w:p>
    <w:p w14:paraId="062BFC81"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Latency</w:t>
      </w:r>
    </w:p>
    <w:p w14:paraId="608288A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Latency is commonly perceived as the time required to generate a response, but production systems distinguish between several forms of latency.</w:t>
      </w:r>
    </w:p>
    <w:p w14:paraId="0AC1337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Time to first token (TTFT)</w:t>
      </w:r>
      <w:r w:rsidRPr="00370E1E">
        <w:rPr>
          <w:rFonts w:ascii="Times New Roman" w:eastAsia="Times New Roman" w:hAnsi="Times New Roman" w:cs="Times New Roman"/>
          <w:sz w:val="28"/>
          <w:szCs w:val="24"/>
        </w:rPr>
        <w:t xml:space="preserve"> measures the interval between request submission and delivery of the first generated token. For conversational interfaces, this metric often dominates perceived responsiveness.</w:t>
      </w:r>
    </w:p>
    <w:p w14:paraId="30DFB93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Time to last token (TTLT)</w:t>
      </w:r>
      <w:r w:rsidRPr="00370E1E">
        <w:rPr>
          <w:rFonts w:ascii="Times New Roman" w:eastAsia="Times New Roman" w:hAnsi="Times New Roman" w:cs="Times New Roman"/>
          <w:sz w:val="28"/>
          <w:szCs w:val="24"/>
        </w:rPr>
        <w:t xml:space="preserve"> measures complete response generation.</w:t>
      </w:r>
    </w:p>
    <w:p w14:paraId="11D239A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Streaming architectures frequently reduce perceived latency because users begin receiving output long before generation completes.</w:t>
      </w:r>
    </w:p>
    <w:p w14:paraId="48FB2D2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Numerous factors influence latency beyond the model itself.</w:t>
      </w:r>
    </w:p>
    <w:p w14:paraId="6700682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Request size, context length, concurrent system load, regional deployment, tool execution, network distance, batching strategies, and provider scheduling policies all contribute to observed response times.</w:t>
      </w:r>
    </w:p>
    <w:p w14:paraId="15A81CA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Consequently, organizations should evaluate latency under realistic production conditions rather than relying exclusively on published averages.</w:t>
      </w:r>
    </w:p>
    <w:p w14:paraId="6D5FD189"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Availability</w:t>
      </w:r>
    </w:p>
    <w:p w14:paraId="0FF66EA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AI services increasingly publish availability objectives through service-level agreements (SLAs) or service-level objectives (SLOs), particularly for enterprise offerings.</w:t>
      </w:r>
    </w:p>
    <w:p w14:paraId="7C00D11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Availability encompasses more than simple uptime.</w:t>
      </w:r>
    </w:p>
    <w:p w14:paraId="46615A6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 service experiencing severe rate limiting, excessive latency, or widespread request failures may technically remain operational while failing to satisfy application requirements.</w:t>
      </w:r>
    </w:p>
    <w:p w14:paraId="1FD7257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Mission-critical applications therefore frequently incorporate resilience mechanisms including retries, circuit breakers, provider failover, graceful degradation, and fallback models.</w:t>
      </w:r>
    </w:p>
    <w:p w14:paraId="1BC561E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architectural patterns are discussed in greater detail in Chapters 6 and 15.</w:t>
      </w:r>
    </w:p>
    <w:p w14:paraId="7E4AD288"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Capacity and Rate Limits</w:t>
      </w:r>
    </w:p>
    <w:p w14:paraId="177B9AE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Every commercial platform imposes operational constraints.</w:t>
      </w:r>
    </w:p>
    <w:p w14:paraId="7BF24E2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constraints may include:</w:t>
      </w:r>
    </w:p>
    <w:p w14:paraId="19AE38BE" w14:textId="77777777" w:rsidR="00370E1E" w:rsidRPr="0017187C" w:rsidRDefault="00370E1E" w:rsidP="00370E1E">
      <w:pPr>
        <w:numPr>
          <w:ilvl w:val="0"/>
          <w:numId w:val="8"/>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requests per minute, </w:t>
      </w:r>
    </w:p>
    <w:p w14:paraId="4BC39894" w14:textId="77777777" w:rsidR="00370E1E" w:rsidRPr="0017187C" w:rsidRDefault="00370E1E" w:rsidP="00370E1E">
      <w:pPr>
        <w:numPr>
          <w:ilvl w:val="0"/>
          <w:numId w:val="8"/>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tokens per minute, </w:t>
      </w:r>
    </w:p>
    <w:p w14:paraId="29C15184" w14:textId="77777777" w:rsidR="00370E1E" w:rsidRPr="0017187C" w:rsidRDefault="00370E1E" w:rsidP="00370E1E">
      <w:pPr>
        <w:numPr>
          <w:ilvl w:val="0"/>
          <w:numId w:val="8"/>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concurrent requests, </w:t>
      </w:r>
    </w:p>
    <w:p w14:paraId="7860F012" w14:textId="77777777" w:rsidR="00370E1E" w:rsidRPr="0017187C" w:rsidRDefault="00370E1E" w:rsidP="00370E1E">
      <w:pPr>
        <w:numPr>
          <w:ilvl w:val="0"/>
          <w:numId w:val="8"/>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daily quotas, </w:t>
      </w:r>
    </w:p>
    <w:p w14:paraId="39E6C871" w14:textId="77777777" w:rsidR="00370E1E" w:rsidRPr="0017187C" w:rsidRDefault="00370E1E" w:rsidP="00370E1E">
      <w:pPr>
        <w:numPr>
          <w:ilvl w:val="0"/>
          <w:numId w:val="8"/>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organization-wide capacity limits, </w:t>
      </w:r>
    </w:p>
    <w:p w14:paraId="65A47216" w14:textId="77777777" w:rsidR="00370E1E" w:rsidRPr="0017187C" w:rsidRDefault="00370E1E" w:rsidP="00370E1E">
      <w:pPr>
        <w:numPr>
          <w:ilvl w:val="0"/>
          <w:numId w:val="8"/>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regional availability restrictions, </w:t>
      </w:r>
    </w:p>
    <w:p w14:paraId="70B9AA6E" w14:textId="77777777" w:rsidR="00370E1E" w:rsidRPr="0017187C" w:rsidRDefault="00370E1E" w:rsidP="00370E1E">
      <w:pPr>
        <w:numPr>
          <w:ilvl w:val="0"/>
          <w:numId w:val="8"/>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or provisioned throughput allocations. </w:t>
      </w:r>
    </w:p>
    <w:p w14:paraId="1DCC222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Rate limits protect shared infrastructure while allowing providers to manage capacity predictably.</w:t>
      </w:r>
    </w:p>
    <w:p w14:paraId="3B46936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 xml:space="preserve">From an architectural perspective, they also require applications to implement admission control, </w:t>
      </w:r>
      <w:proofErr w:type="spellStart"/>
      <w:r w:rsidRPr="00370E1E">
        <w:rPr>
          <w:rFonts w:ascii="Times New Roman" w:eastAsia="Times New Roman" w:hAnsi="Times New Roman" w:cs="Times New Roman"/>
          <w:sz w:val="28"/>
          <w:szCs w:val="24"/>
        </w:rPr>
        <w:t>backoff</w:t>
      </w:r>
      <w:proofErr w:type="spellEnd"/>
      <w:r w:rsidRPr="00370E1E">
        <w:rPr>
          <w:rFonts w:ascii="Times New Roman" w:eastAsia="Times New Roman" w:hAnsi="Times New Roman" w:cs="Times New Roman"/>
          <w:sz w:val="28"/>
          <w:szCs w:val="24"/>
        </w:rPr>
        <w:t xml:space="preserve"> strategies, retry policies, and workload scheduling.</w:t>
      </w:r>
    </w:p>
    <w:p w14:paraId="1D908A9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Ignoring quota behavior frequently results in production instability despite otherwise correct application logic.</w:t>
      </w:r>
    </w:p>
    <w:p w14:paraId="4D22807A"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Regional Deployment and Data Residency</w:t>
      </w:r>
    </w:p>
    <w:p w14:paraId="3FA7A13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Increasing regulatory attention has made deployment geography an important architectural consideration.</w:t>
      </w:r>
    </w:p>
    <w:p w14:paraId="1CDF724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Organizations operating within regulated industries may require inference to remain within specified jurisdictions. Commercial providers increasingly support multiple deployment regions, sovereign cloud environments, and private networking options that allow organizations to satisfy regulatory obligations while continuing to consume managed AI services.</w:t>
      </w:r>
    </w:p>
    <w:p w14:paraId="432EC37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Regional deployment also influences latency.</w:t>
      </w:r>
    </w:p>
    <w:p w14:paraId="740E5BC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Selecting geographically appropriate inference regions can substantially reduce network round-trip times, particularly for highly interactive applications.</w:t>
      </w:r>
    </w:p>
    <w:p w14:paraId="65E3415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However, regional availability often varies among models. New model releases may initially appear in limited regions before expanding globally, creating temporary differences between capability availability and organizational deployment requirements.</w:t>
      </w:r>
    </w:p>
    <w:p w14:paraId="5A4FCB54"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Operational Consistency</w:t>
      </w:r>
    </w:p>
    <w:p w14:paraId="42382BF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Another characteristic often overlooked during initial evaluation is operational consistency.</w:t>
      </w:r>
    </w:p>
    <w:p w14:paraId="7FFC2D8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Production systems value predictability.</w:t>
      </w:r>
    </w:p>
    <w:p w14:paraId="086C4D3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Consistent latency distributions, stable quotas, reliable documentation, transparent maintenance schedules, and well-defined lifecycle policies simplify operational planning far more than occasional peak performance.</w:t>
      </w:r>
    </w:p>
    <w:p w14:paraId="3DDC274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Similarly, providers increasingly communicate planned maintenance windows, preview features, </w:t>
      </w:r>
      <w:proofErr w:type="spellStart"/>
      <w:r w:rsidRPr="00370E1E">
        <w:rPr>
          <w:rFonts w:ascii="Times New Roman" w:eastAsia="Times New Roman" w:hAnsi="Times New Roman" w:cs="Times New Roman"/>
          <w:sz w:val="28"/>
          <w:szCs w:val="24"/>
        </w:rPr>
        <w:t>deprecation</w:t>
      </w:r>
      <w:proofErr w:type="spellEnd"/>
      <w:r w:rsidRPr="00370E1E">
        <w:rPr>
          <w:rFonts w:ascii="Times New Roman" w:eastAsia="Times New Roman" w:hAnsi="Times New Roman" w:cs="Times New Roman"/>
          <w:sz w:val="28"/>
          <w:szCs w:val="24"/>
        </w:rPr>
        <w:t xml:space="preserve"> schedules, and service health information through dedicated status pages and operational documentation.</w:t>
      </w:r>
    </w:p>
    <w:p w14:paraId="41DAB96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Engineering teams should incorporate these operational characteristics into service evaluation rather than considering only inference quality.</w:t>
      </w:r>
    </w:p>
    <w:p w14:paraId="7F06DD75"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lastRenderedPageBreak/>
        <w:t>Measuring Service Characteristics</w:t>
      </w:r>
    </w:p>
    <w:p w14:paraId="456AD12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Organizations should independently measure provider behavior using representative workloads.</w:t>
      </w:r>
    </w:p>
    <w:p w14:paraId="2DE7BF5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Published service documentation describes intended operational behavior but cannot substitute for workload-specific measurement.</w:t>
      </w:r>
    </w:p>
    <w:p w14:paraId="2EA3EFC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Engineering teams commonly collect metrics including:</w:t>
      </w:r>
    </w:p>
    <w:p w14:paraId="62318AB7" w14:textId="77777777" w:rsidR="00370E1E" w:rsidRPr="0017187C" w:rsidRDefault="00370E1E" w:rsidP="00370E1E">
      <w:pPr>
        <w:numPr>
          <w:ilvl w:val="0"/>
          <w:numId w:val="9"/>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latency percentiles, </w:t>
      </w:r>
    </w:p>
    <w:p w14:paraId="21A372E3" w14:textId="77777777" w:rsidR="00370E1E" w:rsidRPr="0017187C" w:rsidRDefault="00370E1E" w:rsidP="00370E1E">
      <w:pPr>
        <w:numPr>
          <w:ilvl w:val="0"/>
          <w:numId w:val="9"/>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success rates, </w:t>
      </w:r>
    </w:p>
    <w:p w14:paraId="167B313B" w14:textId="77777777" w:rsidR="00370E1E" w:rsidRPr="0017187C" w:rsidRDefault="00370E1E" w:rsidP="00370E1E">
      <w:pPr>
        <w:numPr>
          <w:ilvl w:val="0"/>
          <w:numId w:val="9"/>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streaming performance, </w:t>
      </w:r>
    </w:p>
    <w:p w14:paraId="0F1C51D8" w14:textId="77777777" w:rsidR="00370E1E" w:rsidRPr="0017187C" w:rsidRDefault="00370E1E" w:rsidP="00370E1E">
      <w:pPr>
        <w:numPr>
          <w:ilvl w:val="0"/>
          <w:numId w:val="9"/>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rate-limit frequency, </w:t>
      </w:r>
    </w:p>
    <w:p w14:paraId="4C7C81CB" w14:textId="77777777" w:rsidR="00370E1E" w:rsidRPr="0017187C" w:rsidRDefault="00370E1E" w:rsidP="00370E1E">
      <w:pPr>
        <w:numPr>
          <w:ilvl w:val="0"/>
          <w:numId w:val="9"/>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retry effectiveness, </w:t>
      </w:r>
    </w:p>
    <w:p w14:paraId="5F8C16AB" w14:textId="77777777" w:rsidR="00370E1E" w:rsidRPr="0017187C" w:rsidRDefault="00370E1E" w:rsidP="00370E1E">
      <w:pPr>
        <w:numPr>
          <w:ilvl w:val="0"/>
          <w:numId w:val="9"/>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and regional variability. </w:t>
      </w:r>
    </w:p>
    <w:p w14:paraId="1C4E9AB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design of comprehensive observability systems—including metrics, distributed tracing, logging, dashboards, and incident investigation—is presented in Chapter 15. At this stage it is sufficient to recognize that commercial AI services should be measured using the same operational discipline applied to any distributed production dependency.</w:t>
      </w:r>
    </w:p>
    <w:p w14:paraId="0E92AE0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Table 3-7. Important Service-Level Characteristics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826"/>
        <w:gridCol w:w="3402"/>
        <w:gridCol w:w="4127"/>
      </w:tblGrid>
      <w:tr w:rsidR="00370E1E" w:rsidRPr="0017187C" w14:paraId="6AA6F055" w14:textId="77777777" w:rsidTr="0017187C">
        <w:trPr>
          <w:tblHeader/>
          <w:tblCellSpacing w:w="15" w:type="dxa"/>
        </w:trPr>
        <w:tc>
          <w:tcPr>
            <w:tcW w:w="0" w:type="auto"/>
            <w:vAlign w:val="center"/>
            <w:hideMark/>
          </w:tcPr>
          <w:p w14:paraId="2C2B484B"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Characteristic</w:t>
            </w:r>
          </w:p>
        </w:tc>
        <w:tc>
          <w:tcPr>
            <w:tcW w:w="0" w:type="auto"/>
            <w:vAlign w:val="center"/>
            <w:hideMark/>
          </w:tcPr>
          <w:p w14:paraId="1381217E"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Engineering Significance</w:t>
            </w:r>
          </w:p>
        </w:tc>
        <w:tc>
          <w:tcPr>
            <w:tcW w:w="0" w:type="auto"/>
            <w:vAlign w:val="center"/>
            <w:hideMark/>
          </w:tcPr>
          <w:p w14:paraId="5BEE93BF"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Typical Architectural Response</w:t>
            </w:r>
          </w:p>
        </w:tc>
      </w:tr>
      <w:tr w:rsidR="00370E1E" w:rsidRPr="0017187C" w14:paraId="7C1D9461" w14:textId="77777777" w:rsidTr="0017187C">
        <w:trPr>
          <w:tblCellSpacing w:w="15" w:type="dxa"/>
        </w:trPr>
        <w:tc>
          <w:tcPr>
            <w:tcW w:w="0" w:type="auto"/>
            <w:vAlign w:val="center"/>
            <w:hideMark/>
          </w:tcPr>
          <w:p w14:paraId="215EE6F0"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Time to first token</w:t>
            </w:r>
          </w:p>
        </w:tc>
        <w:tc>
          <w:tcPr>
            <w:tcW w:w="0" w:type="auto"/>
            <w:vAlign w:val="center"/>
            <w:hideMark/>
          </w:tcPr>
          <w:p w14:paraId="50CE5AE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Determines perceived responsiveness for interactive applications.</w:t>
            </w:r>
          </w:p>
        </w:tc>
        <w:tc>
          <w:tcPr>
            <w:tcW w:w="0" w:type="auto"/>
            <w:vAlign w:val="center"/>
            <w:hideMark/>
          </w:tcPr>
          <w:p w14:paraId="17824855"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Prefer streaming interfaces and geographically appropriate deployment regions.</w:t>
            </w:r>
          </w:p>
        </w:tc>
      </w:tr>
      <w:tr w:rsidR="00370E1E" w:rsidRPr="0017187C" w14:paraId="2CA42154" w14:textId="77777777" w:rsidTr="0017187C">
        <w:trPr>
          <w:tblCellSpacing w:w="15" w:type="dxa"/>
        </w:trPr>
        <w:tc>
          <w:tcPr>
            <w:tcW w:w="0" w:type="auto"/>
            <w:vAlign w:val="center"/>
            <w:hideMark/>
          </w:tcPr>
          <w:p w14:paraId="15D25396"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Total response latency</w:t>
            </w:r>
          </w:p>
        </w:tc>
        <w:tc>
          <w:tcPr>
            <w:tcW w:w="0" w:type="auto"/>
            <w:vAlign w:val="center"/>
            <w:hideMark/>
          </w:tcPr>
          <w:p w14:paraId="40DD6F3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Influences workflow completion time.</w:t>
            </w:r>
          </w:p>
        </w:tc>
        <w:tc>
          <w:tcPr>
            <w:tcW w:w="0" w:type="auto"/>
            <w:vAlign w:val="center"/>
            <w:hideMark/>
          </w:tcPr>
          <w:p w14:paraId="09FF928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Optimize request size, batching, and provider selection.</w:t>
            </w:r>
          </w:p>
        </w:tc>
      </w:tr>
      <w:tr w:rsidR="00370E1E" w:rsidRPr="0017187C" w14:paraId="61B08A86" w14:textId="77777777" w:rsidTr="0017187C">
        <w:trPr>
          <w:tblCellSpacing w:w="15" w:type="dxa"/>
        </w:trPr>
        <w:tc>
          <w:tcPr>
            <w:tcW w:w="0" w:type="auto"/>
            <w:vAlign w:val="center"/>
            <w:hideMark/>
          </w:tcPr>
          <w:p w14:paraId="2F9F4B6A"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Availability</w:t>
            </w:r>
          </w:p>
        </w:tc>
        <w:tc>
          <w:tcPr>
            <w:tcW w:w="0" w:type="auto"/>
            <w:vAlign w:val="center"/>
            <w:hideMark/>
          </w:tcPr>
          <w:p w14:paraId="0D1CE852"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Determines application reliability.</w:t>
            </w:r>
          </w:p>
        </w:tc>
        <w:tc>
          <w:tcPr>
            <w:tcW w:w="0" w:type="auto"/>
            <w:vAlign w:val="center"/>
            <w:hideMark/>
          </w:tcPr>
          <w:p w14:paraId="290937DB"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Implement retries, fallback providers, and resilience mechanisms.</w:t>
            </w:r>
          </w:p>
        </w:tc>
      </w:tr>
      <w:tr w:rsidR="00370E1E" w:rsidRPr="0017187C" w14:paraId="62863CB4" w14:textId="77777777" w:rsidTr="0017187C">
        <w:trPr>
          <w:tblCellSpacing w:w="15" w:type="dxa"/>
        </w:trPr>
        <w:tc>
          <w:tcPr>
            <w:tcW w:w="0" w:type="auto"/>
            <w:vAlign w:val="center"/>
            <w:hideMark/>
          </w:tcPr>
          <w:p w14:paraId="4CBF18D6"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Rate limits</w:t>
            </w:r>
          </w:p>
        </w:tc>
        <w:tc>
          <w:tcPr>
            <w:tcW w:w="0" w:type="auto"/>
            <w:vAlign w:val="center"/>
            <w:hideMark/>
          </w:tcPr>
          <w:p w14:paraId="5A28A1A2"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Constrain throughput and scalability.</w:t>
            </w:r>
          </w:p>
        </w:tc>
        <w:tc>
          <w:tcPr>
            <w:tcW w:w="0" w:type="auto"/>
            <w:vAlign w:val="center"/>
            <w:hideMark/>
          </w:tcPr>
          <w:p w14:paraId="63CDA02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 xml:space="preserve">Apply admission control, exponential </w:t>
            </w:r>
            <w:proofErr w:type="spellStart"/>
            <w:r w:rsidRPr="0017187C">
              <w:rPr>
                <w:rFonts w:ascii="Times New Roman" w:eastAsia="Calibri" w:hAnsi="Times New Roman" w:cs="Times New Roman"/>
                <w:sz w:val="24"/>
              </w:rPr>
              <w:t>backoff</w:t>
            </w:r>
            <w:proofErr w:type="spellEnd"/>
            <w:r w:rsidRPr="0017187C">
              <w:rPr>
                <w:rFonts w:ascii="Times New Roman" w:eastAsia="Calibri" w:hAnsi="Times New Roman" w:cs="Times New Roman"/>
                <w:sz w:val="24"/>
              </w:rPr>
              <w:t>, and workload scheduling.</w:t>
            </w:r>
          </w:p>
        </w:tc>
      </w:tr>
      <w:tr w:rsidR="00370E1E" w:rsidRPr="0017187C" w14:paraId="37018DC8" w14:textId="77777777" w:rsidTr="0017187C">
        <w:trPr>
          <w:tblCellSpacing w:w="15" w:type="dxa"/>
        </w:trPr>
        <w:tc>
          <w:tcPr>
            <w:tcW w:w="0" w:type="auto"/>
            <w:vAlign w:val="center"/>
            <w:hideMark/>
          </w:tcPr>
          <w:p w14:paraId="52D3B03D"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Regional deployment</w:t>
            </w:r>
          </w:p>
        </w:tc>
        <w:tc>
          <w:tcPr>
            <w:tcW w:w="0" w:type="auto"/>
            <w:vAlign w:val="center"/>
            <w:hideMark/>
          </w:tcPr>
          <w:p w14:paraId="1E1CEEC0"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Influences compliance and network latency.</w:t>
            </w:r>
          </w:p>
        </w:tc>
        <w:tc>
          <w:tcPr>
            <w:tcW w:w="0" w:type="auto"/>
            <w:vAlign w:val="center"/>
            <w:hideMark/>
          </w:tcPr>
          <w:p w14:paraId="5700066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Select deployment regions consistent with regulatory and operational requirements.</w:t>
            </w:r>
          </w:p>
        </w:tc>
      </w:tr>
      <w:tr w:rsidR="00370E1E" w:rsidRPr="0017187C" w14:paraId="12D5C7CB" w14:textId="77777777" w:rsidTr="0017187C">
        <w:trPr>
          <w:tblCellSpacing w:w="15" w:type="dxa"/>
        </w:trPr>
        <w:tc>
          <w:tcPr>
            <w:tcW w:w="0" w:type="auto"/>
            <w:vAlign w:val="center"/>
            <w:hideMark/>
          </w:tcPr>
          <w:p w14:paraId="51A903A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Lifecycle transparency</w:t>
            </w:r>
          </w:p>
        </w:tc>
        <w:tc>
          <w:tcPr>
            <w:tcW w:w="0" w:type="auto"/>
            <w:vAlign w:val="center"/>
            <w:hideMark/>
          </w:tcPr>
          <w:p w14:paraId="5BFD0663"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Supports predictable operations and maintenance.</w:t>
            </w:r>
          </w:p>
        </w:tc>
        <w:tc>
          <w:tcPr>
            <w:tcW w:w="0" w:type="auto"/>
            <w:vAlign w:val="center"/>
            <w:hideMark/>
          </w:tcPr>
          <w:p w14:paraId="14EAE812"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Monitor provider announcements and integrate regression testing before upgrades.</w:t>
            </w:r>
          </w:p>
        </w:tc>
      </w:tr>
    </w:tbl>
    <w:p w14:paraId="2E5E74A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Operational characteristics should therefore be viewed as first-class architectural requirements rather than implementation details. In many enterprise deployments, these characteristics ultimately determine whether an AI service can be adopted successfully.</w:t>
      </w:r>
    </w:p>
    <w:p w14:paraId="78AD6C66" w14:textId="77777777" w:rsidR="00370E1E" w:rsidRPr="00370E1E" w:rsidRDefault="004538ED" w:rsidP="00370E1E">
      <w:pPr>
        <w:rPr>
          <w:rFonts w:ascii="Calibri" w:eastAsia="Calibri" w:hAnsi="Calibri" w:cs="Times New Roman"/>
          <w:sz w:val="24"/>
        </w:rPr>
      </w:pPr>
      <w:r>
        <w:rPr>
          <w:rFonts w:ascii="Calibri" w:eastAsia="Calibri" w:hAnsi="Calibri" w:cs="Times New Roman"/>
          <w:sz w:val="24"/>
        </w:rPr>
        <w:pict w14:anchorId="5CCA58D3">
          <v:rect id="_x0000_i1030" style="width:0;height:1.5pt" o:hralign="center" o:hrstd="t" o:hr="t" fillcolor="#a0a0a0" stroked="f"/>
        </w:pict>
      </w:r>
    </w:p>
    <w:p w14:paraId="3024876E"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t>3.9 Model Versioning and Lifecycle Management</w:t>
      </w:r>
    </w:p>
    <w:p w14:paraId="046C62E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Unlike traditional software libraries, commercial foundation models evolve continuously under the control of the service provider. New capabilities are introduced, reasoning behavior changes, safety systems are refined, performance characteristics improve, and older versions are eventually retired.</w:t>
      </w:r>
    </w:p>
    <w:p w14:paraId="4D1AE68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continuous evolution presents both opportunities and operational risks.</w:t>
      </w:r>
    </w:p>
    <w:p w14:paraId="1C0A7BC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Organizations benefit from ongoing model improvements without retraining or redeploying models themselves. At the same time, applications consuming managed AI services must accommodate the reality that model behavior is not static.</w:t>
      </w:r>
    </w:p>
    <w:p w14:paraId="593B0D4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Consequently, model lifecycle management has become a fundamental aspect of production AI engineering.</w:t>
      </w:r>
    </w:p>
    <w:p w14:paraId="49795F65"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Models as Continuously Evolving Services</w:t>
      </w:r>
    </w:p>
    <w:p w14:paraId="504D702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Traditional software versioning assumes that applications explicitly select dependency versions and upgrade them according to organizational schedules.</w:t>
      </w:r>
    </w:p>
    <w:p w14:paraId="45D5109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Commercial AI services partially </w:t>
      </w:r>
      <w:proofErr w:type="gramStart"/>
      <w:r w:rsidRPr="00370E1E">
        <w:rPr>
          <w:rFonts w:ascii="Times New Roman" w:eastAsia="Times New Roman" w:hAnsi="Times New Roman" w:cs="Times New Roman"/>
          <w:sz w:val="28"/>
          <w:szCs w:val="24"/>
        </w:rPr>
        <w:t>reverse</w:t>
      </w:r>
      <w:proofErr w:type="gramEnd"/>
      <w:r w:rsidRPr="00370E1E">
        <w:rPr>
          <w:rFonts w:ascii="Times New Roman" w:eastAsia="Times New Roman" w:hAnsi="Times New Roman" w:cs="Times New Roman"/>
          <w:sz w:val="28"/>
          <w:szCs w:val="24"/>
        </w:rPr>
        <w:t xml:space="preserve"> this relationship.</w:t>
      </w:r>
    </w:p>
    <w:p w14:paraId="19EA4B1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Providers remain responsible for maintaining the underlying models, while customers consume continuously evolving services through documented interfaces.</w:t>
      </w:r>
    </w:p>
    <w:p w14:paraId="4C4EBFB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Some providers expose explicit version identifiers or dated model snapshots.</w:t>
      </w:r>
    </w:p>
    <w:p w14:paraId="041CAE1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Others offer stable aliases representing the currently recommended production version.</w:t>
      </w:r>
    </w:p>
    <w:p w14:paraId="5B4F521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Both approaches attempt to balance innovation with operational stability.</w:t>
      </w:r>
    </w:p>
    <w:p w14:paraId="0D0D1CD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Snapshot versions provide reproducibility.</w:t>
      </w:r>
    </w:p>
    <w:p w14:paraId="4B19225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Aliases simplify ongoing adoption of provider improvements.</w:t>
      </w:r>
    </w:p>
    <w:p w14:paraId="1E46B46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Neither approach is universally preferable; each serves different operational objectives.</w:t>
      </w:r>
    </w:p>
    <w:p w14:paraId="19839CA0"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Preview, General Availability, and Deprecation</w:t>
      </w:r>
    </w:p>
    <w:p w14:paraId="691C6B5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providers commonly organize model lifecycles into several stages.</w:t>
      </w:r>
    </w:p>
    <w:p w14:paraId="024F7BF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Preview releases allow customers to evaluate emerging capabilities before production support is guaranteed.</w:t>
      </w:r>
    </w:p>
    <w:p w14:paraId="3E53A0E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General Availability (GA) indicates that the provider considers the service suitable for production workloads and typically accompanies stronger operational commitments.</w:t>
      </w:r>
    </w:p>
    <w:p w14:paraId="294F8BA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Eventually, older models enter deprecation periods during which providers announce retirement schedules and encourage migration toward newer versions.</w:t>
      </w:r>
    </w:p>
    <w:p w14:paraId="6BADE4E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lifecycle stages allow organizations to balance early access against operational stability.</w:t>
      </w:r>
    </w:p>
    <w:p w14:paraId="093269B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Production systems supporting critical business functions frequently avoid preview models except within controlled evaluation environments.</w:t>
      </w:r>
    </w:p>
    <w:p w14:paraId="6E0DC979"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Behavioral Drift</w:t>
      </w:r>
    </w:p>
    <w:p w14:paraId="21F711C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One of the defining characteristics of foundation models is that improvements rarely affect only a single capability.</w:t>
      </w:r>
    </w:p>
    <w:p w14:paraId="1E72E69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Changes intended to improve reasoning may influence formatting behavior.</w:t>
      </w:r>
    </w:p>
    <w:p w14:paraId="39046DF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Safety adjustments may alter response style.</w:t>
      </w:r>
    </w:p>
    <w:p w14:paraId="79FB916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Tool-calling improvements may affect structured outputs.</w:t>
      </w:r>
    </w:p>
    <w:p w14:paraId="4305A26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Consequently, applications may experience </w:t>
      </w:r>
      <w:r w:rsidRPr="00370E1E">
        <w:rPr>
          <w:rFonts w:ascii="Times New Roman" w:eastAsia="Times New Roman" w:hAnsi="Times New Roman" w:cs="Times New Roman"/>
          <w:b/>
          <w:bCs/>
          <w:sz w:val="28"/>
          <w:szCs w:val="24"/>
        </w:rPr>
        <w:t>behavioral drift</w:t>
      </w:r>
      <w:r w:rsidRPr="00370E1E">
        <w:rPr>
          <w:rFonts w:ascii="Times New Roman" w:eastAsia="Times New Roman" w:hAnsi="Times New Roman" w:cs="Times New Roman"/>
          <w:sz w:val="28"/>
          <w:szCs w:val="24"/>
        </w:rPr>
        <w:t xml:space="preserve"> even when API contracts remain unchanged.</w:t>
      </w:r>
    </w:p>
    <w:p w14:paraId="4A34845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Behavioral drift does not necessarily indicate regressions.</w:t>
      </w:r>
    </w:p>
    <w:p w14:paraId="5BC6C50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Many changes represent genuine improvements.</w:t>
      </w:r>
    </w:p>
    <w:p w14:paraId="738207F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challenge is that application behavior may nevertheless change in ways requiring validation.</w:t>
      </w:r>
    </w:p>
    <w:p w14:paraId="5E7982A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For example, a document extraction pipeline depending upon highly consistent formatting may require modification after a model update even if overall reasoning quality has improved.</w:t>
      </w:r>
    </w:p>
    <w:p w14:paraId="7696F3CC"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lastRenderedPageBreak/>
        <w:t>Regression Testing</w:t>
      </w:r>
    </w:p>
    <w:p w14:paraId="1813C7D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Continuous model evolution makes regression testing an operational necessity rather than a quality assurance luxury.</w:t>
      </w:r>
    </w:p>
    <w:p w14:paraId="49E6E20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Organizations should maintain representative evaluation datasets reflecting actual production workloads.</w:t>
      </w:r>
    </w:p>
    <w:p w14:paraId="39799BE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Whenever models change, applications should be evaluated against these datasets to identify changes in correctness, latency, formatting, tool use, safety behavior, and overall application performance.</w:t>
      </w:r>
    </w:p>
    <w:p w14:paraId="095ECEB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Regression testing should include both automated evaluation and targeted human review where appropriate.</w:t>
      </w:r>
    </w:p>
    <w:p w14:paraId="152C847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design of evaluation pipelines, benchmark construction, and regression methodologies forms the subject of Chapter 13.</w:t>
      </w:r>
    </w:p>
    <w:p w14:paraId="67E1AD9A"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Migration Planning</w:t>
      </w:r>
    </w:p>
    <w:p w14:paraId="57CDE2E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Model retirement should be treated similarly to infrastructure migrations.</w:t>
      </w:r>
    </w:p>
    <w:p w14:paraId="1085CE3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Organizations should monitor provider announcements, understand </w:t>
      </w:r>
      <w:proofErr w:type="spellStart"/>
      <w:r w:rsidRPr="00370E1E">
        <w:rPr>
          <w:rFonts w:ascii="Times New Roman" w:eastAsia="Times New Roman" w:hAnsi="Times New Roman" w:cs="Times New Roman"/>
          <w:sz w:val="28"/>
          <w:szCs w:val="24"/>
        </w:rPr>
        <w:t>deprecation</w:t>
      </w:r>
      <w:proofErr w:type="spellEnd"/>
      <w:r w:rsidRPr="00370E1E">
        <w:rPr>
          <w:rFonts w:ascii="Times New Roman" w:eastAsia="Times New Roman" w:hAnsi="Times New Roman" w:cs="Times New Roman"/>
          <w:sz w:val="28"/>
          <w:szCs w:val="24"/>
        </w:rPr>
        <w:t xml:space="preserve"> schedules, allocate sufficient validation time, and perform controlled rollout rather than abrupt production replacement.</w:t>
      </w:r>
    </w:p>
    <w:p w14:paraId="784422B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Larger enterprises frequently evaluate new models in parallel with existing production deployments before gradually increasing traffic.</w:t>
      </w:r>
    </w:p>
    <w:p w14:paraId="68F3A19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phased migration approach reduces operational risk while allowing engineering teams to identify unexpected behavioral changes under realistic workloads.</w:t>
      </w:r>
    </w:p>
    <w:p w14:paraId="6589F33E"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Governance and Documentation</w:t>
      </w:r>
    </w:p>
    <w:p w14:paraId="78457AD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Lifecycle management also requires accurate documentation.</w:t>
      </w:r>
    </w:p>
    <w:p w14:paraId="1C87A5B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Organizations should record:</w:t>
      </w:r>
    </w:p>
    <w:p w14:paraId="1AEC2157" w14:textId="77777777" w:rsidR="00370E1E" w:rsidRPr="0017187C" w:rsidRDefault="00370E1E" w:rsidP="00370E1E">
      <w:pPr>
        <w:numPr>
          <w:ilvl w:val="0"/>
          <w:numId w:val="10"/>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approved production models, </w:t>
      </w:r>
    </w:p>
    <w:p w14:paraId="6FC7B642" w14:textId="77777777" w:rsidR="00370E1E" w:rsidRPr="0017187C" w:rsidRDefault="00370E1E" w:rsidP="00370E1E">
      <w:pPr>
        <w:numPr>
          <w:ilvl w:val="0"/>
          <w:numId w:val="10"/>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version identifiers, </w:t>
      </w:r>
    </w:p>
    <w:p w14:paraId="5BA7EFE5" w14:textId="77777777" w:rsidR="00370E1E" w:rsidRPr="0017187C" w:rsidRDefault="00370E1E" w:rsidP="00370E1E">
      <w:pPr>
        <w:numPr>
          <w:ilvl w:val="0"/>
          <w:numId w:val="10"/>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deployment regions, </w:t>
      </w:r>
    </w:p>
    <w:p w14:paraId="54AB1003" w14:textId="77777777" w:rsidR="00370E1E" w:rsidRPr="0017187C" w:rsidRDefault="00370E1E" w:rsidP="00370E1E">
      <w:pPr>
        <w:numPr>
          <w:ilvl w:val="0"/>
          <w:numId w:val="10"/>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evaluation results, </w:t>
      </w:r>
    </w:p>
    <w:p w14:paraId="41922B8A" w14:textId="77777777" w:rsidR="00370E1E" w:rsidRPr="0017187C" w:rsidRDefault="00370E1E" w:rsidP="00370E1E">
      <w:pPr>
        <w:numPr>
          <w:ilvl w:val="0"/>
          <w:numId w:val="10"/>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known limitations, </w:t>
      </w:r>
    </w:p>
    <w:p w14:paraId="1F9D2EEB" w14:textId="77777777" w:rsidR="00370E1E" w:rsidRPr="0017187C" w:rsidRDefault="00370E1E" w:rsidP="00370E1E">
      <w:pPr>
        <w:numPr>
          <w:ilvl w:val="0"/>
          <w:numId w:val="10"/>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migration history, </w:t>
      </w:r>
    </w:p>
    <w:p w14:paraId="6C1DA26B" w14:textId="77777777" w:rsidR="00370E1E" w:rsidRPr="0017187C" w:rsidRDefault="00370E1E" w:rsidP="00370E1E">
      <w:pPr>
        <w:numPr>
          <w:ilvl w:val="0"/>
          <w:numId w:val="10"/>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and organizational approval status. </w:t>
      </w:r>
    </w:p>
    <w:p w14:paraId="47ECD3C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These records simplify auditing, incident investigation, and future migration planning.</w:t>
      </w:r>
    </w:p>
    <w:p w14:paraId="6385BC0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As AI adoption expands across multiple business units, governance increasingly depends upon maintaining a clear inventory of approved model versions rather than allowing unrestricted model selection.</w:t>
      </w:r>
    </w:p>
    <w:p w14:paraId="1C8B5BF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Chapter 20 revisits this topic from the perspective of long-term platform maintenance.</w:t>
      </w:r>
    </w:p>
    <w:p w14:paraId="2954038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Table 3-8. Typical Commercial Model Lifecycle</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598"/>
        <w:gridCol w:w="3726"/>
        <w:gridCol w:w="4031"/>
      </w:tblGrid>
      <w:tr w:rsidR="00370E1E" w:rsidRPr="0017187C" w14:paraId="19889ECF" w14:textId="77777777" w:rsidTr="0017187C">
        <w:trPr>
          <w:tblHeader/>
          <w:tblCellSpacing w:w="15" w:type="dxa"/>
        </w:trPr>
        <w:tc>
          <w:tcPr>
            <w:tcW w:w="0" w:type="auto"/>
            <w:vAlign w:val="center"/>
            <w:hideMark/>
          </w:tcPr>
          <w:p w14:paraId="17170724"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Lifecycle Stage</w:t>
            </w:r>
          </w:p>
        </w:tc>
        <w:tc>
          <w:tcPr>
            <w:tcW w:w="0" w:type="auto"/>
            <w:vAlign w:val="center"/>
            <w:hideMark/>
          </w:tcPr>
          <w:p w14:paraId="6979A80C"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Characteristics</w:t>
            </w:r>
          </w:p>
        </w:tc>
        <w:tc>
          <w:tcPr>
            <w:tcW w:w="0" w:type="auto"/>
            <w:vAlign w:val="center"/>
            <w:hideMark/>
          </w:tcPr>
          <w:p w14:paraId="7B30C87F"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Engineering Guidance</w:t>
            </w:r>
          </w:p>
        </w:tc>
      </w:tr>
      <w:tr w:rsidR="00370E1E" w:rsidRPr="0017187C" w14:paraId="4A86BA95" w14:textId="77777777" w:rsidTr="0017187C">
        <w:trPr>
          <w:tblCellSpacing w:w="15" w:type="dxa"/>
        </w:trPr>
        <w:tc>
          <w:tcPr>
            <w:tcW w:w="0" w:type="auto"/>
            <w:vAlign w:val="center"/>
            <w:hideMark/>
          </w:tcPr>
          <w:p w14:paraId="2941299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Preview</w:t>
            </w:r>
          </w:p>
        </w:tc>
        <w:tc>
          <w:tcPr>
            <w:tcW w:w="0" w:type="auto"/>
            <w:vAlign w:val="center"/>
            <w:hideMark/>
          </w:tcPr>
          <w:p w14:paraId="43E651A3"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Early access, evolving capabilities, limited operational guarantees</w:t>
            </w:r>
          </w:p>
        </w:tc>
        <w:tc>
          <w:tcPr>
            <w:tcW w:w="0" w:type="auto"/>
            <w:vAlign w:val="center"/>
            <w:hideMark/>
          </w:tcPr>
          <w:p w14:paraId="75D6BFBD"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Evaluate in controlled environments rather than production-critical systems.</w:t>
            </w:r>
          </w:p>
        </w:tc>
      </w:tr>
      <w:tr w:rsidR="00370E1E" w:rsidRPr="0017187C" w14:paraId="35C853DA" w14:textId="77777777" w:rsidTr="0017187C">
        <w:trPr>
          <w:tblCellSpacing w:w="15" w:type="dxa"/>
        </w:trPr>
        <w:tc>
          <w:tcPr>
            <w:tcW w:w="0" w:type="auto"/>
            <w:vAlign w:val="center"/>
            <w:hideMark/>
          </w:tcPr>
          <w:p w14:paraId="2DB0C8F6"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General Availability</w:t>
            </w:r>
          </w:p>
        </w:tc>
        <w:tc>
          <w:tcPr>
            <w:tcW w:w="0" w:type="auto"/>
            <w:vAlign w:val="center"/>
            <w:hideMark/>
          </w:tcPr>
          <w:p w14:paraId="721A4F3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Production-ready service with stronger operational commitments</w:t>
            </w:r>
          </w:p>
        </w:tc>
        <w:tc>
          <w:tcPr>
            <w:tcW w:w="0" w:type="auto"/>
            <w:vAlign w:val="center"/>
            <w:hideMark/>
          </w:tcPr>
          <w:p w14:paraId="765F017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Preferred choice for enterprise production deployments.</w:t>
            </w:r>
          </w:p>
        </w:tc>
      </w:tr>
      <w:tr w:rsidR="00370E1E" w:rsidRPr="0017187C" w14:paraId="11F3AB19" w14:textId="77777777" w:rsidTr="0017187C">
        <w:trPr>
          <w:tblCellSpacing w:w="15" w:type="dxa"/>
        </w:trPr>
        <w:tc>
          <w:tcPr>
            <w:tcW w:w="0" w:type="auto"/>
            <w:vAlign w:val="center"/>
            <w:hideMark/>
          </w:tcPr>
          <w:p w14:paraId="6145A46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Mature Production</w:t>
            </w:r>
          </w:p>
        </w:tc>
        <w:tc>
          <w:tcPr>
            <w:tcW w:w="0" w:type="auto"/>
            <w:vAlign w:val="center"/>
            <w:hideMark/>
          </w:tcPr>
          <w:p w14:paraId="47C07422"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Stable operational behavior and established ecosystem support</w:t>
            </w:r>
          </w:p>
        </w:tc>
        <w:tc>
          <w:tcPr>
            <w:tcW w:w="0" w:type="auto"/>
            <w:vAlign w:val="center"/>
            <w:hideMark/>
          </w:tcPr>
          <w:p w14:paraId="3D34141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Suitable for long-term production workloads, subject to ongoing evaluation.</w:t>
            </w:r>
          </w:p>
        </w:tc>
      </w:tr>
      <w:tr w:rsidR="00370E1E" w:rsidRPr="0017187C" w14:paraId="61FF2B10" w14:textId="77777777" w:rsidTr="0017187C">
        <w:trPr>
          <w:tblCellSpacing w:w="15" w:type="dxa"/>
        </w:trPr>
        <w:tc>
          <w:tcPr>
            <w:tcW w:w="0" w:type="auto"/>
            <w:vAlign w:val="center"/>
            <w:hideMark/>
          </w:tcPr>
          <w:p w14:paraId="4BF7916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Deprecation</w:t>
            </w:r>
          </w:p>
        </w:tc>
        <w:tc>
          <w:tcPr>
            <w:tcW w:w="0" w:type="auto"/>
            <w:vAlign w:val="center"/>
            <w:hideMark/>
          </w:tcPr>
          <w:p w14:paraId="73922CE0"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Provider announces retirement and migration timeline</w:t>
            </w:r>
          </w:p>
        </w:tc>
        <w:tc>
          <w:tcPr>
            <w:tcW w:w="0" w:type="auto"/>
            <w:vAlign w:val="center"/>
            <w:hideMark/>
          </w:tcPr>
          <w:p w14:paraId="49D0955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 xml:space="preserve">Begin validation of replacement models and </w:t>
            </w:r>
            <w:proofErr w:type="gramStart"/>
            <w:r w:rsidRPr="0017187C">
              <w:rPr>
                <w:rFonts w:ascii="Times New Roman" w:eastAsia="Calibri" w:hAnsi="Times New Roman" w:cs="Times New Roman"/>
                <w:sz w:val="24"/>
              </w:rPr>
              <w:t>schedule controlled</w:t>
            </w:r>
            <w:proofErr w:type="gramEnd"/>
            <w:r w:rsidRPr="0017187C">
              <w:rPr>
                <w:rFonts w:ascii="Times New Roman" w:eastAsia="Calibri" w:hAnsi="Times New Roman" w:cs="Times New Roman"/>
                <w:sz w:val="24"/>
              </w:rPr>
              <w:t xml:space="preserve"> migration.</w:t>
            </w:r>
          </w:p>
        </w:tc>
      </w:tr>
      <w:tr w:rsidR="00370E1E" w:rsidRPr="0017187C" w14:paraId="1A2BBCA9" w14:textId="77777777" w:rsidTr="0017187C">
        <w:trPr>
          <w:tblCellSpacing w:w="15" w:type="dxa"/>
        </w:trPr>
        <w:tc>
          <w:tcPr>
            <w:tcW w:w="0" w:type="auto"/>
            <w:vAlign w:val="center"/>
            <w:hideMark/>
          </w:tcPr>
          <w:p w14:paraId="1523DE9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Retirement</w:t>
            </w:r>
          </w:p>
        </w:tc>
        <w:tc>
          <w:tcPr>
            <w:tcW w:w="0" w:type="auto"/>
            <w:vAlign w:val="center"/>
            <w:hideMark/>
          </w:tcPr>
          <w:p w14:paraId="1C1E9E7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Model is removed from service</w:t>
            </w:r>
          </w:p>
        </w:tc>
        <w:tc>
          <w:tcPr>
            <w:tcW w:w="0" w:type="auto"/>
            <w:vAlign w:val="center"/>
            <w:hideMark/>
          </w:tcPr>
          <w:p w14:paraId="5DB23F1A"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Applications should already have completed migration before this stage.</w:t>
            </w:r>
          </w:p>
        </w:tc>
      </w:tr>
    </w:tbl>
    <w:p w14:paraId="1AF16EA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Model lifecycle management illustrates an important characteristic of commercial AI services: unlike self-hosted software, organizations do not control every aspect of the underlying technology. Successful platform engineering therefore depends on establishing processes that accommodate continuous model evolution while maintaining application reliability, reproducibility, and operational stability.</w:t>
      </w:r>
    </w:p>
    <w:p w14:paraId="3B2F76B4"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t>3.10 Beyond Inference: Managed AI Platform Capabilities</w:t>
      </w:r>
    </w:p>
    <w:p w14:paraId="26E9B66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first generation of commercial AI services focused almost exclusively on exposing foundation models through hosted inference APIs. Applications supplied prompts, received generated outputs, and remained responsible for implementing every surrounding capability, including prompt management, retrieval, evaluation, orchestration, governance, and operational tooling.</w:t>
      </w:r>
    </w:p>
    <w:p w14:paraId="6F074D2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Over the past several years, commercial AI platforms have evolved considerably beyond this narrow model. Rather than functioning solely as inference providers, they increasingly offer integrated platform services intended to support the complete lifecycle of AI application development and operation.</w:t>
      </w:r>
    </w:p>
    <w:p w14:paraId="0628CDA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evolution closely parallels earlier developments in cloud computing. Infrastructure-as-a-Service (IaaS) providers initially offered virtual machines and storage. Over time, cloud platforms incorporated managed databases, messaging systems, serverless computing, identity services, monitoring, and deployment tooling. Similarly, AI platforms are progressively expanding from managed inference toward comprehensive application platforms.</w:t>
      </w:r>
    </w:p>
    <w:p w14:paraId="666667E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From an architectural perspective, these additional capabilities should be understood as </w:t>
      </w:r>
      <w:r w:rsidRPr="00370E1E">
        <w:rPr>
          <w:rFonts w:ascii="Times New Roman" w:eastAsia="Times New Roman" w:hAnsi="Times New Roman" w:cs="Times New Roman"/>
          <w:b/>
          <w:bCs/>
          <w:sz w:val="28"/>
          <w:szCs w:val="24"/>
        </w:rPr>
        <w:t>platform services surrounding inference</w:t>
      </w:r>
      <w:r w:rsidRPr="00370E1E">
        <w:rPr>
          <w:rFonts w:ascii="Times New Roman" w:eastAsia="Times New Roman" w:hAnsi="Times New Roman" w:cs="Times New Roman"/>
          <w:sz w:val="28"/>
          <w:szCs w:val="24"/>
        </w:rPr>
        <w:t>, not as extensions of the foundation model itself.</w:t>
      </w:r>
    </w:p>
    <w:p w14:paraId="01AC8912"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Prompt Management</w:t>
      </w:r>
    </w:p>
    <w:p w14:paraId="531338F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As AI applications mature, prompts increasingly become managed software artifacts rather than strings embedded directly within application code.</w:t>
      </w:r>
    </w:p>
    <w:p w14:paraId="237CB21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Many commercial platforms now provide prompt management capabilities that allow organizations to store, version, review, test, and deploy prompts independently of application binaries.</w:t>
      </w:r>
    </w:p>
    <w:p w14:paraId="01C84DA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Centralized prompt management offers several operational benefits.</w:t>
      </w:r>
    </w:p>
    <w:p w14:paraId="7C58F0B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Engineering teams can apply change control, perform peer review, maintain version history, and coordinate prompt updates across multiple applications. Rollbacks become simpler, experimentation becomes more structured, and prompt evolution can follow software engineering practices already familiar from source code management.</w:t>
      </w:r>
    </w:p>
    <w:p w14:paraId="7B16800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Prompt management should not be interpreted as replacing application version control. Rather, it provides an additional layer of operational control for AI-specific assets whose evolution may differ from conventional software releases.</w:t>
      </w:r>
    </w:p>
    <w:p w14:paraId="293A99A2"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Evaluation Services</w:t>
      </w:r>
    </w:p>
    <w:p w14:paraId="4824B6E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platforms increasingly provide integrated evaluation frameworks capable of comparing prompts, models, or application outputs against representative datasets.</w:t>
      </w:r>
    </w:p>
    <w:p w14:paraId="438916E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services typically support automated execution of predefined test cases, statistical comparison between model versions, human review workflows, and reporting dashboards.</w:t>
      </w:r>
    </w:p>
    <w:p w14:paraId="7D40801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Such capabilities simplify experimentation and reduce the effort required to compare alternative models under consistent conditions.</w:t>
      </w:r>
    </w:p>
    <w:p w14:paraId="2E7F134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However, platform-provided evaluations should generally be viewed as complements rather than replacements for organization-specific evaluation pipelines. Providers cannot fully understand domain-specific correctness criteria, proprietary business requirements, or application-specific quality expectations.</w:t>
      </w:r>
    </w:p>
    <w:p w14:paraId="5C14511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Comprehensive evaluation methodology remains an organizational responsibility and is discussed extensively in Chapter 13.</w:t>
      </w:r>
    </w:p>
    <w:p w14:paraId="12785460"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Fine-Tuning and Customization</w:t>
      </w:r>
    </w:p>
    <w:p w14:paraId="2D49990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Many commercial platforms provide mechanisms for adapting foundation models to specialized organizational requirements.</w:t>
      </w:r>
    </w:p>
    <w:p w14:paraId="7B7F82B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Depending upon the provider, customization may include supervised fine-tuning, parameter-efficient adaptation techniques, reinforcement learning workflows, or domain-specific optimization pipelines.</w:t>
      </w:r>
    </w:p>
    <w:p w14:paraId="65C5BD8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capabilities enable organizations to improve performance for narrowly defined tasks without operating complete training infrastructure.</w:t>
      </w:r>
    </w:p>
    <w:p w14:paraId="6E03EBC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Nevertheless, fine-tuning introduces additional operational complexity.</w:t>
      </w:r>
    </w:p>
    <w:p w14:paraId="2779436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Customized models require lifecycle management, evaluation, governance, version control, and ongoing maintenance beyond that required for base models.</w:t>
      </w:r>
    </w:p>
    <w:p w14:paraId="721BA80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Furthermore, advances in prompting, retrieval-augmented generation (RAG), and tool use have reduced the number of scenarios where fine-tuning represents the preferred engineering solution.</w:t>
      </w:r>
    </w:p>
    <w:p w14:paraId="2A0AC83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Organizations should therefore treat fine-tuning as one architectural option among several rather than the default approach to improving application performance.</w:t>
      </w:r>
    </w:p>
    <w:p w14:paraId="7AAF1F7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Chapter 4 examines customization from the perspective of open-weight models, where organizations assume greater control over model training and deployment.</w:t>
      </w:r>
    </w:p>
    <w:p w14:paraId="2B5741B8"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Integrated Knowledge Services</w:t>
      </w:r>
    </w:p>
    <w:p w14:paraId="4D8104E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Another increasingly common platform capability involves managed retrieval and knowledge integration.</w:t>
      </w:r>
    </w:p>
    <w:p w14:paraId="69A5588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Rather than requiring organizations to construct complete retrieval pipelines independently, many providers now offer managed services supporting document ingestion, indexing, embedding generation, retrieval, and grounding.</w:t>
      </w:r>
    </w:p>
    <w:p w14:paraId="0741E14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These services reduce development effort and simplify initial adoption.</w:t>
      </w:r>
    </w:p>
    <w:p w14:paraId="056C170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However, they frequently expose provider-specific abstractions that differ substantially across platforms.</w:t>
      </w:r>
    </w:p>
    <w:p w14:paraId="1EBCC7F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Organizations anticipating multi-provider deployments or long-term portability should carefully evaluate the architectural implications of adopting tightly integrated retrieval services.</w:t>
      </w:r>
    </w:p>
    <w:p w14:paraId="4B4FB60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broader design of retrieval systems, ingestion pipelines, and vector databases is intentionally deferred to Chapters 10 through 12.</w:t>
      </w:r>
    </w:p>
    <w:p w14:paraId="4C062073"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Safety and Governance Services</w:t>
      </w:r>
    </w:p>
    <w:p w14:paraId="2217BEA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AI platforms increasingly incorporate configurable safety capabilities.</w:t>
      </w:r>
    </w:p>
    <w:p w14:paraId="03FB106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Examples include content filtering, prompt inspection, output moderation, configurable guardrails, policy enforcement, audit logging, and administrative controls governing model access.</w:t>
      </w:r>
    </w:p>
    <w:p w14:paraId="51B1D8B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platform services reduce the effort required to implement baseline governance controls.</w:t>
      </w:r>
    </w:p>
    <w:p w14:paraId="2ED3203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However, they should not be viewed as complete organizational governance solutions.</w:t>
      </w:r>
    </w:p>
    <w:p w14:paraId="7487F25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Enterprise governance typically extends beyond provider capabilities to include application-specific authorization, regulatory compliance, business policies, human review processes, and organizational risk management.</w:t>
      </w:r>
    </w:p>
    <w:p w14:paraId="1E68BFF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Chapter 14 examines these topics comprehensively.</w:t>
      </w:r>
    </w:p>
    <w:p w14:paraId="3398F771"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Development Environments</w:t>
      </w:r>
    </w:p>
    <w:p w14:paraId="0E5970F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Many platforms additionally provide browser-based development environments allowing engineers to experiment with prompts, compare models, inspect responses, evaluate structured outputs, and prototype applications before integration into production systems.</w:t>
      </w:r>
    </w:p>
    <w:p w14:paraId="184E543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environments improve developer productivity and reduce experimentation overhead.</w:t>
      </w:r>
    </w:p>
    <w:p w14:paraId="1001C88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Nevertheless, successful experiments performed within interactive playgrounds should always be validated within representative production environments before architectural conclusions are drawn.</w:t>
      </w:r>
    </w:p>
    <w:p w14:paraId="2F77ABC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Operational behavior frequently differs once applications incorporate authentication, retrieval, streaming, concurrency, tool execution, and production-scale workloads.</w:t>
      </w:r>
    </w:p>
    <w:p w14:paraId="1D04DF7C"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Platform Services Versus Application Responsibilities</w:t>
      </w:r>
    </w:p>
    <w:p w14:paraId="5EFE5FC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 recurring architectural principle emerges throughout these capabilities.</w:t>
      </w:r>
    </w:p>
    <w:p w14:paraId="5FAC426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Managed AI platforms increasingly provide reusable infrastructure supporting AI application development.</w:t>
      </w:r>
    </w:p>
    <w:p w14:paraId="6E7D759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However, organizations remain responsible for overall application architecture.</w:t>
      </w:r>
    </w:p>
    <w:p w14:paraId="5E13FBF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Business logic, workflow design, authorization decisions, observability, deployment processes, operational resilience, evaluation strategy, and cost optimization remain application concerns even when individual platform capabilities simplify their implementation.</w:t>
      </w:r>
    </w:p>
    <w:p w14:paraId="3FB606E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Recognizing this boundary prevents organizations from overestimating what managed platforms can reasonably provide.</w:t>
      </w:r>
    </w:p>
    <w:p w14:paraId="4532988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Table 3-9. Typical Managed AI Platform Capabilities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872"/>
        <w:gridCol w:w="3248"/>
        <w:gridCol w:w="4235"/>
      </w:tblGrid>
      <w:tr w:rsidR="00370E1E" w:rsidRPr="0017187C" w14:paraId="2900F348" w14:textId="77777777" w:rsidTr="0017187C">
        <w:trPr>
          <w:tblHeader/>
          <w:tblCellSpacing w:w="15" w:type="dxa"/>
        </w:trPr>
        <w:tc>
          <w:tcPr>
            <w:tcW w:w="0" w:type="auto"/>
            <w:vAlign w:val="center"/>
            <w:hideMark/>
          </w:tcPr>
          <w:p w14:paraId="4112C5D1"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Platform Capability</w:t>
            </w:r>
          </w:p>
        </w:tc>
        <w:tc>
          <w:tcPr>
            <w:tcW w:w="0" w:type="auto"/>
            <w:vAlign w:val="center"/>
            <w:hideMark/>
          </w:tcPr>
          <w:p w14:paraId="083BBB0C"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Primary Purpose</w:t>
            </w:r>
          </w:p>
        </w:tc>
        <w:tc>
          <w:tcPr>
            <w:tcW w:w="0" w:type="auto"/>
            <w:vAlign w:val="center"/>
            <w:hideMark/>
          </w:tcPr>
          <w:p w14:paraId="76835FD9"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Architectural Considerations</w:t>
            </w:r>
          </w:p>
        </w:tc>
      </w:tr>
      <w:tr w:rsidR="00370E1E" w:rsidRPr="0017187C" w14:paraId="3C97143D" w14:textId="77777777" w:rsidTr="0017187C">
        <w:trPr>
          <w:tblCellSpacing w:w="15" w:type="dxa"/>
        </w:trPr>
        <w:tc>
          <w:tcPr>
            <w:tcW w:w="0" w:type="auto"/>
            <w:vAlign w:val="center"/>
            <w:hideMark/>
          </w:tcPr>
          <w:p w14:paraId="2481D6EB"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Prompt management</w:t>
            </w:r>
          </w:p>
        </w:tc>
        <w:tc>
          <w:tcPr>
            <w:tcW w:w="0" w:type="auto"/>
            <w:vAlign w:val="center"/>
            <w:hideMark/>
          </w:tcPr>
          <w:p w14:paraId="241EACF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Version and govern prompts independently of application code</w:t>
            </w:r>
          </w:p>
        </w:tc>
        <w:tc>
          <w:tcPr>
            <w:tcW w:w="0" w:type="auto"/>
            <w:vAlign w:val="center"/>
            <w:hideMark/>
          </w:tcPr>
          <w:p w14:paraId="47DE776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Supports change management but complements rather than replaces source control.</w:t>
            </w:r>
          </w:p>
        </w:tc>
      </w:tr>
      <w:tr w:rsidR="00370E1E" w:rsidRPr="0017187C" w14:paraId="32341DEF" w14:textId="77777777" w:rsidTr="0017187C">
        <w:trPr>
          <w:tblCellSpacing w:w="15" w:type="dxa"/>
        </w:trPr>
        <w:tc>
          <w:tcPr>
            <w:tcW w:w="0" w:type="auto"/>
            <w:vAlign w:val="center"/>
            <w:hideMark/>
          </w:tcPr>
          <w:p w14:paraId="0AF04AF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Evaluation services</w:t>
            </w:r>
          </w:p>
        </w:tc>
        <w:tc>
          <w:tcPr>
            <w:tcW w:w="0" w:type="auto"/>
            <w:vAlign w:val="center"/>
            <w:hideMark/>
          </w:tcPr>
          <w:p w14:paraId="3F79BC27"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Compare prompts and models using managed workflows</w:t>
            </w:r>
          </w:p>
        </w:tc>
        <w:tc>
          <w:tcPr>
            <w:tcW w:w="0" w:type="auto"/>
            <w:vAlign w:val="center"/>
            <w:hideMark/>
          </w:tcPr>
          <w:p w14:paraId="3C3401C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Useful for experimentation but should be supplemented with workload-specific evaluation.</w:t>
            </w:r>
          </w:p>
        </w:tc>
      </w:tr>
      <w:tr w:rsidR="00370E1E" w:rsidRPr="0017187C" w14:paraId="135CA62E" w14:textId="77777777" w:rsidTr="0017187C">
        <w:trPr>
          <w:tblCellSpacing w:w="15" w:type="dxa"/>
        </w:trPr>
        <w:tc>
          <w:tcPr>
            <w:tcW w:w="0" w:type="auto"/>
            <w:vAlign w:val="center"/>
            <w:hideMark/>
          </w:tcPr>
          <w:p w14:paraId="146D24FB"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Fine-tuning</w:t>
            </w:r>
          </w:p>
        </w:tc>
        <w:tc>
          <w:tcPr>
            <w:tcW w:w="0" w:type="auto"/>
            <w:vAlign w:val="center"/>
            <w:hideMark/>
          </w:tcPr>
          <w:p w14:paraId="3A306BC7"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Adapt models to specialized domains or tasks</w:t>
            </w:r>
          </w:p>
        </w:tc>
        <w:tc>
          <w:tcPr>
            <w:tcW w:w="0" w:type="auto"/>
            <w:vAlign w:val="center"/>
            <w:hideMark/>
          </w:tcPr>
          <w:p w14:paraId="6EA38CC7"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Introduces additional lifecycle and governance responsibilities.</w:t>
            </w:r>
          </w:p>
        </w:tc>
      </w:tr>
      <w:tr w:rsidR="00370E1E" w:rsidRPr="0017187C" w14:paraId="50D67B6C" w14:textId="77777777" w:rsidTr="0017187C">
        <w:trPr>
          <w:tblCellSpacing w:w="15" w:type="dxa"/>
        </w:trPr>
        <w:tc>
          <w:tcPr>
            <w:tcW w:w="0" w:type="auto"/>
            <w:vAlign w:val="center"/>
            <w:hideMark/>
          </w:tcPr>
          <w:p w14:paraId="645FFE2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Knowledge integration</w:t>
            </w:r>
          </w:p>
        </w:tc>
        <w:tc>
          <w:tcPr>
            <w:tcW w:w="0" w:type="auto"/>
            <w:vAlign w:val="center"/>
            <w:hideMark/>
          </w:tcPr>
          <w:p w14:paraId="51A667B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Provide managed document ingestion and retrieval</w:t>
            </w:r>
          </w:p>
        </w:tc>
        <w:tc>
          <w:tcPr>
            <w:tcW w:w="0" w:type="auto"/>
            <w:vAlign w:val="center"/>
            <w:hideMark/>
          </w:tcPr>
          <w:p w14:paraId="77E61592"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Simplifies development but may increase provider dependence.</w:t>
            </w:r>
          </w:p>
        </w:tc>
      </w:tr>
      <w:tr w:rsidR="00370E1E" w:rsidRPr="0017187C" w14:paraId="496F06BC" w14:textId="77777777" w:rsidTr="0017187C">
        <w:trPr>
          <w:tblCellSpacing w:w="15" w:type="dxa"/>
        </w:trPr>
        <w:tc>
          <w:tcPr>
            <w:tcW w:w="0" w:type="auto"/>
            <w:vAlign w:val="center"/>
            <w:hideMark/>
          </w:tcPr>
          <w:p w14:paraId="4F49C1F7"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Safety services</w:t>
            </w:r>
          </w:p>
        </w:tc>
        <w:tc>
          <w:tcPr>
            <w:tcW w:w="0" w:type="auto"/>
            <w:vAlign w:val="center"/>
            <w:hideMark/>
          </w:tcPr>
          <w:p w14:paraId="5BA2F180"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Moderate content and enforce baseline policies</w:t>
            </w:r>
          </w:p>
        </w:tc>
        <w:tc>
          <w:tcPr>
            <w:tcW w:w="0" w:type="auto"/>
            <w:vAlign w:val="center"/>
            <w:hideMark/>
          </w:tcPr>
          <w:p w14:paraId="1517B45D"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Should complement broader organizational governance.</w:t>
            </w:r>
          </w:p>
        </w:tc>
      </w:tr>
      <w:tr w:rsidR="00370E1E" w:rsidRPr="0017187C" w14:paraId="635F4DD0" w14:textId="77777777" w:rsidTr="0017187C">
        <w:trPr>
          <w:tblCellSpacing w:w="15" w:type="dxa"/>
        </w:trPr>
        <w:tc>
          <w:tcPr>
            <w:tcW w:w="0" w:type="auto"/>
            <w:vAlign w:val="center"/>
            <w:hideMark/>
          </w:tcPr>
          <w:p w14:paraId="436247EB"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Development environments</w:t>
            </w:r>
          </w:p>
        </w:tc>
        <w:tc>
          <w:tcPr>
            <w:tcW w:w="0" w:type="auto"/>
            <w:vAlign w:val="center"/>
            <w:hideMark/>
          </w:tcPr>
          <w:p w14:paraId="2C6DD23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Accelerate experimentation and prototyping</w:t>
            </w:r>
          </w:p>
        </w:tc>
        <w:tc>
          <w:tcPr>
            <w:tcW w:w="0" w:type="auto"/>
            <w:vAlign w:val="center"/>
            <w:hideMark/>
          </w:tcPr>
          <w:p w14:paraId="0C27867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Results should be validated under production conditions.</w:t>
            </w:r>
          </w:p>
        </w:tc>
      </w:tr>
    </w:tbl>
    <w:p w14:paraId="5A390DB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The expansion of managed platform capabilities reflects the growing maturity of commercial AI ecosystems. Organizations are no longer consuming isolated </w:t>
      </w:r>
      <w:r w:rsidRPr="00370E1E">
        <w:rPr>
          <w:rFonts w:ascii="Times New Roman" w:eastAsia="Times New Roman" w:hAnsi="Times New Roman" w:cs="Times New Roman"/>
          <w:sz w:val="28"/>
          <w:szCs w:val="24"/>
        </w:rPr>
        <w:lastRenderedPageBreak/>
        <w:t>inference APIs but increasingly adopting integrated development platforms whose value extends well beyond model execution.</w:t>
      </w:r>
    </w:p>
    <w:p w14:paraId="59CEECB5" w14:textId="77777777" w:rsidR="00370E1E" w:rsidRPr="00370E1E" w:rsidRDefault="004538ED" w:rsidP="00370E1E">
      <w:pPr>
        <w:rPr>
          <w:rFonts w:ascii="Calibri" w:eastAsia="Calibri" w:hAnsi="Calibri" w:cs="Times New Roman"/>
          <w:sz w:val="24"/>
        </w:rPr>
      </w:pPr>
      <w:r>
        <w:rPr>
          <w:rFonts w:ascii="Calibri" w:eastAsia="Calibri" w:hAnsi="Calibri" w:cs="Times New Roman"/>
          <w:sz w:val="24"/>
        </w:rPr>
        <w:pict w14:anchorId="59BE804D">
          <v:rect id="_x0000_i1031" style="width:0;height:1.5pt" o:hralign="center" o:hrstd="t" o:hr="t" fillcolor="#a0a0a0" stroked="f"/>
        </w:pict>
      </w:r>
    </w:p>
    <w:p w14:paraId="725BB870"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t>3.11 Enterprise Integration</w:t>
      </w:r>
    </w:p>
    <w:p w14:paraId="43BF94F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AI services rarely operate in isolation.</w:t>
      </w:r>
    </w:p>
    <w:p w14:paraId="27C3111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Within production environments, they become one component of broader enterprise systems that include identity providers, API gateways, observability platforms, workflow engines, business applications, security controls, databases, and networking infrastructure.</w:t>
      </w:r>
    </w:p>
    <w:p w14:paraId="01726F4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Consequently, evaluating a commercial AI platform requires understanding not only its model capabilities but also how effectively it integrates into existing enterprise architecture.</w:t>
      </w:r>
    </w:p>
    <w:p w14:paraId="1E23AFD1"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Identity Integration</w:t>
      </w:r>
    </w:p>
    <w:p w14:paraId="5A1CA12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Enterprise organizations typically maintain centralized identity infrastructure governing users, services, applications, and automated workloads.</w:t>
      </w:r>
    </w:p>
    <w:p w14:paraId="175FD57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AI platforms increasingly integrate with these systems through cloud Identity and Access Management (IAM), managed identities, workload identities, service principals, or federated authentication.</w:t>
      </w:r>
    </w:p>
    <w:p w14:paraId="528CE22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architectural objective is consistency.</w:t>
      </w:r>
    </w:p>
    <w:p w14:paraId="01CC437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Applications should authenticate AI services using the same mechanisms already employed for databases, messaging systems, storage services, and other cloud resources.</w:t>
      </w:r>
    </w:p>
    <w:p w14:paraId="1445E60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Introducing separate identity models solely for AI services increases operational complexity and complicates governance.</w:t>
      </w:r>
    </w:p>
    <w:p w14:paraId="58968FA8"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Network Integration</w:t>
      </w:r>
    </w:p>
    <w:p w14:paraId="23120D3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Network architecture represents another important consideration.</w:t>
      </w:r>
    </w:p>
    <w:p w14:paraId="0691505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Development environments often access AI services through public Internet endpoints using API keys.</w:t>
      </w:r>
    </w:p>
    <w:p w14:paraId="0FC317C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Production environments frequently impose substantially stricter networking requirements.</w:t>
      </w:r>
    </w:p>
    <w:p w14:paraId="4A73294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Commercial platforms increasingly support private connectivity through cloud networking services that eliminate exposure to public Internet routing while allowing AI services to remain integrated within enterprise virtual networks.</w:t>
      </w:r>
    </w:p>
    <w:p w14:paraId="3F0313F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Private connectivity also facilitates regulatory compliance, simplifies firewall management, and enables organizations to apply existing network security policies consistently across AI workloads.</w:t>
      </w:r>
    </w:p>
    <w:p w14:paraId="74217A5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From an architectural perspective, AI services should ideally become ordinary enterprise network dependencies rather than exceptional external systems requiring unique operational treatment.</w:t>
      </w:r>
    </w:p>
    <w:p w14:paraId="435E46DF"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Secret Management</w:t>
      </w:r>
    </w:p>
    <w:p w14:paraId="12D1C3F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Production systems should avoid embedding credentials directly within application code or deployment artifacts.</w:t>
      </w:r>
    </w:p>
    <w:p w14:paraId="1456896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Instead, authentication material should be managed using enterprise secret management solutions integrated with organizational deployment pipelines.</w:t>
      </w:r>
    </w:p>
    <w:p w14:paraId="56E13B1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Cloud-native environments commonly automate credential distribution using managed identities or short-lived authentication tokens, reducing reliance on persistent secrets.</w:t>
      </w:r>
    </w:p>
    <w:p w14:paraId="19A5781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Although secret management applies broadly across software systems, AI services often introduce additional credentials associated with multiple providers, increasing the importance of centralized credential governance.</w:t>
      </w:r>
    </w:p>
    <w:p w14:paraId="7BFCD8CD"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Audit Logging</w:t>
      </w:r>
    </w:p>
    <w:p w14:paraId="2E16377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Enterprise environments require visibility into operational activity.</w:t>
      </w:r>
    </w:p>
    <w:p w14:paraId="255BC2E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AI platforms therefore increasingly provide audit records documenting authentication events, administrative actions, model usage, configuration changes, and organizational activity.</w:t>
      </w:r>
    </w:p>
    <w:p w14:paraId="4C50E17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Audit logs support multiple organizational objectives.</w:t>
      </w:r>
    </w:p>
    <w:p w14:paraId="55E7AD3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Security teams investigate unauthorized access.</w:t>
      </w:r>
    </w:p>
    <w:p w14:paraId="33ECD5E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Compliance teams demonstrate regulatory adherence.</w:t>
      </w:r>
    </w:p>
    <w:p w14:paraId="1FD7886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Operations teams reconstruct production incidents.</w:t>
      </w:r>
    </w:p>
    <w:p w14:paraId="2A982D0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Finance teams allocate usage costs.</w:t>
      </w:r>
    </w:p>
    <w:p w14:paraId="2B0386E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Engineering teams analyze platform adoption.</w:t>
      </w:r>
    </w:p>
    <w:p w14:paraId="415B62A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The exact implementation varies among providers, but comprehensive auditing has become a standard enterprise capability.</w:t>
      </w:r>
    </w:p>
    <w:p w14:paraId="69E54C01"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SDKs and Client Libraries</w:t>
      </w:r>
    </w:p>
    <w:p w14:paraId="1CA1B54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Nearly every commercial provider supplies official Software Development Kits (SDKs) supporting multiple programming languages.</w:t>
      </w:r>
    </w:p>
    <w:p w14:paraId="02B53D3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libraries simplify authentication, request construction, streaming, structured outputs, file management, retries, and error handling.</w:t>
      </w:r>
    </w:p>
    <w:p w14:paraId="7DFB271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While SDKs reduce development effort, platform engineers should avoid coupling application architecture too tightly to provider-specific client libraries.</w:t>
      </w:r>
    </w:p>
    <w:p w14:paraId="2716DC8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Abstracting AI interactions behind organizational interfaces often simplifies testing, provider substitution, and long-term maintenance.</w:t>
      </w:r>
    </w:p>
    <w:p w14:paraId="3317ACC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architectural abstraction becomes increasingly valuable in multi-provider environments.</w:t>
      </w:r>
    </w:p>
    <w:p w14:paraId="2E4BC71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Chapter 6 examines gateway architectures supporting such abstraction.</w:t>
      </w:r>
    </w:p>
    <w:p w14:paraId="2C21F980"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Enterprise Compliance</w:t>
      </w:r>
    </w:p>
    <w:p w14:paraId="2E6D812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Large organizations increasingly evaluate commercial AI platforms according to compliance capabilities as carefully as model quality.</w:t>
      </w:r>
    </w:p>
    <w:p w14:paraId="3A00DDA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Relevant considerations may include:</w:t>
      </w:r>
    </w:p>
    <w:p w14:paraId="4E45499B" w14:textId="77777777" w:rsidR="00370E1E" w:rsidRPr="0017187C" w:rsidRDefault="00370E1E" w:rsidP="00370E1E">
      <w:pPr>
        <w:numPr>
          <w:ilvl w:val="0"/>
          <w:numId w:val="11"/>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data residency, </w:t>
      </w:r>
    </w:p>
    <w:p w14:paraId="5325A0A4" w14:textId="77777777" w:rsidR="00370E1E" w:rsidRPr="0017187C" w:rsidRDefault="00370E1E" w:rsidP="00370E1E">
      <w:pPr>
        <w:numPr>
          <w:ilvl w:val="0"/>
          <w:numId w:val="11"/>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encryption, </w:t>
      </w:r>
    </w:p>
    <w:p w14:paraId="65908B8B" w14:textId="77777777" w:rsidR="00370E1E" w:rsidRPr="0017187C" w:rsidRDefault="00370E1E" w:rsidP="00370E1E">
      <w:pPr>
        <w:numPr>
          <w:ilvl w:val="0"/>
          <w:numId w:val="11"/>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customer-managed encryption keys, </w:t>
      </w:r>
    </w:p>
    <w:p w14:paraId="754636C6" w14:textId="77777777" w:rsidR="00370E1E" w:rsidRPr="0017187C" w:rsidRDefault="00370E1E" w:rsidP="00370E1E">
      <w:pPr>
        <w:numPr>
          <w:ilvl w:val="0"/>
          <w:numId w:val="11"/>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regulatory certifications, </w:t>
      </w:r>
    </w:p>
    <w:p w14:paraId="21B03D9F" w14:textId="77777777" w:rsidR="00370E1E" w:rsidRPr="0017187C" w:rsidRDefault="00370E1E" w:rsidP="00370E1E">
      <w:pPr>
        <w:numPr>
          <w:ilvl w:val="0"/>
          <w:numId w:val="11"/>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audit capabilities, </w:t>
      </w:r>
    </w:p>
    <w:p w14:paraId="0138C1A0" w14:textId="77777777" w:rsidR="00370E1E" w:rsidRPr="0017187C" w:rsidRDefault="00370E1E" w:rsidP="00370E1E">
      <w:pPr>
        <w:numPr>
          <w:ilvl w:val="0"/>
          <w:numId w:val="11"/>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retention controls, </w:t>
      </w:r>
    </w:p>
    <w:p w14:paraId="7968C7D3" w14:textId="77777777" w:rsidR="00370E1E" w:rsidRPr="0017187C" w:rsidRDefault="00370E1E" w:rsidP="00370E1E">
      <w:pPr>
        <w:numPr>
          <w:ilvl w:val="0"/>
          <w:numId w:val="11"/>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organizational administration, </w:t>
      </w:r>
    </w:p>
    <w:p w14:paraId="43C6EC67" w14:textId="77777777" w:rsidR="00370E1E" w:rsidRPr="0017187C" w:rsidRDefault="00370E1E" w:rsidP="00370E1E">
      <w:pPr>
        <w:numPr>
          <w:ilvl w:val="0"/>
          <w:numId w:val="11"/>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and contractual service commitments. </w:t>
      </w:r>
    </w:p>
    <w:p w14:paraId="41680F7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characteristics vary considerably among providers and frequently influence procurement decisions independently of model performance.</w:t>
      </w:r>
    </w:p>
    <w:p w14:paraId="5025750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However, compliance should not be viewed solely as a provider responsibility.</w:t>
      </w:r>
    </w:p>
    <w:p w14:paraId="4808A8D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Organizations remain accountable for application behavior, data governance, authorization policies, and regulatory obligations implemented within their own software systems.</w:t>
      </w:r>
    </w:p>
    <w:p w14:paraId="0F418178"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lastRenderedPageBreak/>
        <w:t>Integration as an Architectural Criterion</w:t>
      </w:r>
    </w:p>
    <w:p w14:paraId="5F1091C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 recurring pattern emerges across mature enterprise deployments.</w:t>
      </w:r>
    </w:p>
    <w:p w14:paraId="19B4D66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most successful AI platforms rarely require organizations to redesign existing operational practices.</w:t>
      </w:r>
    </w:p>
    <w:p w14:paraId="499140B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Instead, they integrate naturally with established identity systems, networking infrastructure, deployment pipelines, monitoring environments, governance processes, and security controls.</w:t>
      </w:r>
    </w:p>
    <w:p w14:paraId="646BD75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principle explains why enterprise platform selection often extends beyond comparing foundation models.</w:t>
      </w:r>
    </w:p>
    <w:p w14:paraId="1831D77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 technically superior model offering poor operational integration may ultimately increase organizational complexity compared with a slightly less capable model embedded within a mature enterprise platform.</w:t>
      </w:r>
    </w:p>
    <w:p w14:paraId="4B22B68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objective of platform engineering is therefore not simply maximizing model capability but minimizing overall architectural friction across the complete software lifecycle.</w:t>
      </w:r>
    </w:p>
    <w:p w14:paraId="0DC261B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Table 3-10. Enterprise Integration Considerations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630"/>
        <w:gridCol w:w="3566"/>
        <w:gridCol w:w="4159"/>
      </w:tblGrid>
      <w:tr w:rsidR="00370E1E" w:rsidRPr="0017187C" w14:paraId="3B53208F" w14:textId="77777777" w:rsidTr="0017187C">
        <w:trPr>
          <w:tblHeader/>
          <w:tblCellSpacing w:w="15" w:type="dxa"/>
        </w:trPr>
        <w:tc>
          <w:tcPr>
            <w:tcW w:w="0" w:type="auto"/>
            <w:vAlign w:val="center"/>
            <w:hideMark/>
          </w:tcPr>
          <w:p w14:paraId="752C8F09"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Integration Area</w:t>
            </w:r>
          </w:p>
        </w:tc>
        <w:tc>
          <w:tcPr>
            <w:tcW w:w="0" w:type="auto"/>
            <w:vAlign w:val="center"/>
            <w:hideMark/>
          </w:tcPr>
          <w:p w14:paraId="49784461"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Typical Platform Capability</w:t>
            </w:r>
          </w:p>
        </w:tc>
        <w:tc>
          <w:tcPr>
            <w:tcW w:w="0" w:type="auto"/>
            <w:vAlign w:val="center"/>
            <w:hideMark/>
          </w:tcPr>
          <w:p w14:paraId="25E41DAC"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Architectural Importance</w:t>
            </w:r>
          </w:p>
        </w:tc>
      </w:tr>
      <w:tr w:rsidR="00370E1E" w:rsidRPr="0017187C" w14:paraId="1937024A" w14:textId="77777777" w:rsidTr="0017187C">
        <w:trPr>
          <w:tblCellSpacing w:w="15" w:type="dxa"/>
        </w:trPr>
        <w:tc>
          <w:tcPr>
            <w:tcW w:w="0" w:type="auto"/>
            <w:vAlign w:val="center"/>
            <w:hideMark/>
          </w:tcPr>
          <w:p w14:paraId="7F14D5F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Identity</w:t>
            </w:r>
          </w:p>
        </w:tc>
        <w:tc>
          <w:tcPr>
            <w:tcW w:w="0" w:type="auto"/>
            <w:vAlign w:val="center"/>
            <w:hideMark/>
          </w:tcPr>
          <w:p w14:paraId="5D60E0D5"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IAM integration, workload identities, managed identities</w:t>
            </w:r>
          </w:p>
        </w:tc>
        <w:tc>
          <w:tcPr>
            <w:tcW w:w="0" w:type="auto"/>
            <w:vAlign w:val="center"/>
            <w:hideMark/>
          </w:tcPr>
          <w:p w14:paraId="689E3A7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Enables centralized authentication and governance.</w:t>
            </w:r>
          </w:p>
        </w:tc>
      </w:tr>
      <w:tr w:rsidR="00370E1E" w:rsidRPr="0017187C" w14:paraId="309BC347" w14:textId="77777777" w:rsidTr="0017187C">
        <w:trPr>
          <w:tblCellSpacing w:w="15" w:type="dxa"/>
        </w:trPr>
        <w:tc>
          <w:tcPr>
            <w:tcW w:w="0" w:type="auto"/>
            <w:vAlign w:val="center"/>
            <w:hideMark/>
          </w:tcPr>
          <w:p w14:paraId="6E5F96CA"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Networking</w:t>
            </w:r>
          </w:p>
        </w:tc>
        <w:tc>
          <w:tcPr>
            <w:tcW w:w="0" w:type="auto"/>
            <w:vAlign w:val="center"/>
            <w:hideMark/>
          </w:tcPr>
          <w:p w14:paraId="6428AF47"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Private endpoints, virtual network integration</w:t>
            </w:r>
          </w:p>
        </w:tc>
        <w:tc>
          <w:tcPr>
            <w:tcW w:w="0" w:type="auto"/>
            <w:vAlign w:val="center"/>
            <w:hideMark/>
          </w:tcPr>
          <w:p w14:paraId="07D92637"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Supports security, compliance, and operational consistency.</w:t>
            </w:r>
          </w:p>
        </w:tc>
      </w:tr>
      <w:tr w:rsidR="00370E1E" w:rsidRPr="0017187C" w14:paraId="6CAE9809" w14:textId="77777777" w:rsidTr="0017187C">
        <w:trPr>
          <w:tblCellSpacing w:w="15" w:type="dxa"/>
        </w:trPr>
        <w:tc>
          <w:tcPr>
            <w:tcW w:w="0" w:type="auto"/>
            <w:vAlign w:val="center"/>
            <w:hideMark/>
          </w:tcPr>
          <w:p w14:paraId="629F569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Secret management</w:t>
            </w:r>
          </w:p>
        </w:tc>
        <w:tc>
          <w:tcPr>
            <w:tcW w:w="0" w:type="auto"/>
            <w:vAlign w:val="center"/>
            <w:hideMark/>
          </w:tcPr>
          <w:p w14:paraId="15C9592A"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Managed credential integration</w:t>
            </w:r>
          </w:p>
        </w:tc>
        <w:tc>
          <w:tcPr>
            <w:tcW w:w="0" w:type="auto"/>
            <w:vAlign w:val="center"/>
            <w:hideMark/>
          </w:tcPr>
          <w:p w14:paraId="686E5B3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Reduces operational risk associated with long-lived secrets.</w:t>
            </w:r>
          </w:p>
        </w:tc>
      </w:tr>
      <w:tr w:rsidR="00370E1E" w:rsidRPr="0017187C" w14:paraId="6CFE2216" w14:textId="77777777" w:rsidTr="0017187C">
        <w:trPr>
          <w:tblCellSpacing w:w="15" w:type="dxa"/>
        </w:trPr>
        <w:tc>
          <w:tcPr>
            <w:tcW w:w="0" w:type="auto"/>
            <w:vAlign w:val="center"/>
            <w:hideMark/>
          </w:tcPr>
          <w:p w14:paraId="010B748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Audit logging</w:t>
            </w:r>
          </w:p>
        </w:tc>
        <w:tc>
          <w:tcPr>
            <w:tcW w:w="0" w:type="auto"/>
            <w:vAlign w:val="center"/>
            <w:hideMark/>
          </w:tcPr>
          <w:p w14:paraId="2F8312A0"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Administrative and operational activity records</w:t>
            </w:r>
          </w:p>
        </w:tc>
        <w:tc>
          <w:tcPr>
            <w:tcW w:w="0" w:type="auto"/>
            <w:vAlign w:val="center"/>
            <w:hideMark/>
          </w:tcPr>
          <w:p w14:paraId="526E4FF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Supports security investigations, compliance, and operational analysis.</w:t>
            </w:r>
          </w:p>
        </w:tc>
      </w:tr>
      <w:tr w:rsidR="00370E1E" w:rsidRPr="0017187C" w14:paraId="04607611" w14:textId="77777777" w:rsidTr="0017187C">
        <w:trPr>
          <w:tblCellSpacing w:w="15" w:type="dxa"/>
        </w:trPr>
        <w:tc>
          <w:tcPr>
            <w:tcW w:w="0" w:type="auto"/>
            <w:vAlign w:val="center"/>
            <w:hideMark/>
          </w:tcPr>
          <w:p w14:paraId="6C6E9170"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SDKs</w:t>
            </w:r>
          </w:p>
        </w:tc>
        <w:tc>
          <w:tcPr>
            <w:tcW w:w="0" w:type="auto"/>
            <w:vAlign w:val="center"/>
            <w:hideMark/>
          </w:tcPr>
          <w:p w14:paraId="68CE61C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Official client libraries and tooling</w:t>
            </w:r>
          </w:p>
        </w:tc>
        <w:tc>
          <w:tcPr>
            <w:tcW w:w="0" w:type="auto"/>
            <w:vAlign w:val="center"/>
            <w:hideMark/>
          </w:tcPr>
          <w:p w14:paraId="508B203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Simplify development while requiring careful abstraction.</w:t>
            </w:r>
          </w:p>
        </w:tc>
      </w:tr>
      <w:tr w:rsidR="00370E1E" w:rsidRPr="0017187C" w14:paraId="05E6E507" w14:textId="77777777" w:rsidTr="0017187C">
        <w:trPr>
          <w:tblCellSpacing w:w="15" w:type="dxa"/>
        </w:trPr>
        <w:tc>
          <w:tcPr>
            <w:tcW w:w="0" w:type="auto"/>
            <w:vAlign w:val="center"/>
            <w:hideMark/>
          </w:tcPr>
          <w:p w14:paraId="039E1C9B"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Compliance</w:t>
            </w:r>
          </w:p>
        </w:tc>
        <w:tc>
          <w:tcPr>
            <w:tcW w:w="0" w:type="auto"/>
            <w:vAlign w:val="center"/>
            <w:hideMark/>
          </w:tcPr>
          <w:p w14:paraId="63BC2326"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Regional deployment, encryption, governance capabilities</w:t>
            </w:r>
          </w:p>
        </w:tc>
        <w:tc>
          <w:tcPr>
            <w:tcW w:w="0" w:type="auto"/>
            <w:vAlign w:val="center"/>
            <w:hideMark/>
          </w:tcPr>
          <w:p w14:paraId="439D5587"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Influences enterprise adoption beyond model quality.</w:t>
            </w:r>
          </w:p>
        </w:tc>
      </w:tr>
    </w:tbl>
    <w:p w14:paraId="05ECEDE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Enterprise integration ultimately determines how effectively commercial AI services become part of existing software ecosystems. Organizations evaluating </w:t>
      </w:r>
      <w:r w:rsidRPr="00370E1E">
        <w:rPr>
          <w:rFonts w:ascii="Times New Roman" w:eastAsia="Times New Roman" w:hAnsi="Times New Roman" w:cs="Times New Roman"/>
          <w:sz w:val="28"/>
          <w:szCs w:val="24"/>
        </w:rPr>
        <w:lastRenderedPageBreak/>
        <w:t>providers should therefore consider operational compatibility alongside model capability.</w:t>
      </w:r>
    </w:p>
    <w:p w14:paraId="6D6E63EB" w14:textId="77777777" w:rsidR="00370E1E" w:rsidRPr="00370E1E" w:rsidRDefault="004538ED" w:rsidP="00370E1E">
      <w:pPr>
        <w:rPr>
          <w:rFonts w:ascii="Calibri" w:eastAsia="Calibri" w:hAnsi="Calibri" w:cs="Times New Roman"/>
          <w:sz w:val="24"/>
        </w:rPr>
      </w:pPr>
      <w:r>
        <w:rPr>
          <w:rFonts w:ascii="Calibri" w:eastAsia="Calibri" w:hAnsi="Calibri" w:cs="Times New Roman"/>
          <w:sz w:val="24"/>
        </w:rPr>
        <w:pict w14:anchorId="7C4CE827">
          <v:rect id="_x0000_i1032" style="width:0;height:1.5pt" o:hralign="center" o:hrstd="t" o:hr="t" fillcolor="#a0a0a0" stroked="f"/>
        </w:pict>
      </w:r>
    </w:p>
    <w:p w14:paraId="3EFC1B64"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t>3.12 Vendor Lock-In and Portability</w:t>
      </w:r>
    </w:p>
    <w:p w14:paraId="68B3B04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Every managed platform introduces some degree of dependency upon its provider.</w:t>
      </w:r>
    </w:p>
    <w:p w14:paraId="507DA12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Commercial AI services </w:t>
      </w:r>
      <w:proofErr w:type="gramStart"/>
      <w:r w:rsidRPr="00370E1E">
        <w:rPr>
          <w:rFonts w:ascii="Times New Roman" w:eastAsia="Times New Roman" w:hAnsi="Times New Roman" w:cs="Times New Roman"/>
          <w:sz w:val="28"/>
          <w:szCs w:val="24"/>
        </w:rPr>
        <w:t>are</w:t>
      </w:r>
      <w:proofErr w:type="gramEnd"/>
      <w:r w:rsidRPr="00370E1E">
        <w:rPr>
          <w:rFonts w:ascii="Times New Roman" w:eastAsia="Times New Roman" w:hAnsi="Times New Roman" w:cs="Times New Roman"/>
          <w:sz w:val="28"/>
          <w:szCs w:val="24"/>
        </w:rPr>
        <w:t xml:space="preserve"> no exception.</w:t>
      </w:r>
    </w:p>
    <w:p w14:paraId="7E9C327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As organizations adopt provider-specific APIs, platform capabilities, operational workflows, and governance tooling, migration to alternative services may require increasing engineering effort. The objective of platform engineering is not to eliminate these dependencies entirely—an unrealistic goal—but to understand where they arise, evaluate their consequences, and make deliberate architectural decisions.</w:t>
      </w:r>
    </w:p>
    <w:p w14:paraId="49486B7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Vendor lock-in should therefore be viewed as a continuum rather than a binary condition.</w:t>
      </w:r>
    </w:p>
    <w:p w14:paraId="7A4EF66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Some dependencies are relatively superficial and can be removed with modest engineering effort. Others become deeply embedded within application architecture and operational processes, making migration substantially more expensive.</w:t>
      </w:r>
    </w:p>
    <w:p w14:paraId="42501FF7"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API Lock-In</w:t>
      </w:r>
    </w:p>
    <w:p w14:paraId="16E7307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most visible form of dependency arises from provider-specific APIs.</w:t>
      </w:r>
    </w:p>
    <w:p w14:paraId="3E3AB74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Although commercial AI interfaces have become increasingly similar, differences remain in request schemas, authentication models, streaming protocols, structured outputs, tool definitions, error handling, quota behavior, and lifecycle management.</w:t>
      </w:r>
    </w:p>
    <w:p w14:paraId="6D969A5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Applications interacting directly with provider SDKs frequently accumulate assumptions about these implementation details.</w:t>
      </w:r>
    </w:p>
    <w:p w14:paraId="45AB597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Replacing one provider may therefore require modifications extending well beyond endpoint configuration.</w:t>
      </w:r>
    </w:p>
    <w:p w14:paraId="5992FE1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situation resembles earlier cloud computing experiences, where nominally similar storage or messaging services nevertheless exposed different operational semantics.</w:t>
      </w:r>
    </w:p>
    <w:p w14:paraId="772BBC55"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lastRenderedPageBreak/>
        <w:t>Platform Feature Lock-In</w:t>
      </w:r>
    </w:p>
    <w:p w14:paraId="63E4F73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Managed platforms increasingly differentiate themselves through integrated capabilities extending beyond inference.</w:t>
      </w:r>
    </w:p>
    <w:p w14:paraId="61EE1B2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Prompt management systems, evaluation frameworks, knowledge services, safety controls, workflow builders, proprietary agent frameworks, and administrative tooling often expose provider-specific abstractions.</w:t>
      </w:r>
    </w:p>
    <w:p w14:paraId="06949D4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services may significantly accelerate development.</w:t>
      </w:r>
    </w:p>
    <w:p w14:paraId="0E61AAA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However, applications built directly upon proprietary platform capabilities frequently become more difficult to migrate because equivalent abstractions may not exist elsewhere.</w:t>
      </w:r>
    </w:p>
    <w:p w14:paraId="53DC423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does not imply that integrated platform features should be avoided.</w:t>
      </w:r>
    </w:p>
    <w:p w14:paraId="43E56D1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Rather, organizations should understand when convenience outweighs long-term portability requirements.</w:t>
      </w:r>
    </w:p>
    <w:p w14:paraId="53969971"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Model-Specific Lock-In</w:t>
      </w:r>
    </w:p>
    <w:p w14:paraId="5389639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Dependencies may also emerge through the behavior of individual models.</w:t>
      </w:r>
    </w:p>
    <w:p w14:paraId="58BE3BA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Prompt engineering strategies, structured output expectations, tool-calling behavior, and application evaluation datasets frequently become optimized for particular models over time.</w:t>
      </w:r>
    </w:p>
    <w:p w14:paraId="1504089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Even if two providers expose compatible APIs, differences in reasoning style, formatting, instruction following, and tool selection may require prompt adaptation during migration.</w:t>
      </w:r>
    </w:p>
    <w:p w14:paraId="56CA007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API compatibility therefore does not guarantee behavioral compatibility.</w:t>
      </w:r>
    </w:p>
    <w:p w14:paraId="1E80A1E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distinction has become increasingly important as providers adopt similar interface designs while continuing to differentiate their underlying models.</w:t>
      </w:r>
    </w:p>
    <w:p w14:paraId="47CF2DF9"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Data and Embedding Dependencies</w:t>
      </w:r>
    </w:p>
    <w:p w14:paraId="72237F3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Applications implementing retrieval-augmented generation often depend upon embedding models used during indexing.</w:t>
      </w:r>
    </w:p>
    <w:p w14:paraId="56D5934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Changing embedding models frequently requires regenerating vector representations across entire document collections.</w:t>
      </w:r>
    </w:p>
    <w:p w14:paraId="5A7F697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Similarly, provider-specific document processing pipelines, knowledge services, or proprietary retrieval infrastructure may complicate migration.</w:t>
      </w:r>
    </w:p>
    <w:p w14:paraId="64FD412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For organizations anticipating multi-provider strategies, these dependencies should be evaluated early during architectural design.</w:t>
      </w:r>
    </w:p>
    <w:p w14:paraId="62B8A5D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Chapters 10 through 12 examine these considerations in substantially greater depth.</w:t>
      </w:r>
    </w:p>
    <w:p w14:paraId="60BE356A"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Operational Dependencies</w:t>
      </w:r>
    </w:p>
    <w:p w14:paraId="7C14125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Organizations also become dependent upon provider-specific operational ecosystems.</w:t>
      </w:r>
    </w:p>
    <w:p w14:paraId="290FECC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Monitoring dashboards, administrative tooling, IAM integration, billing systems, deployment automation, support processes, and compliance workflows all contribute to organizational familiarity and operational efficiency.</w:t>
      </w:r>
    </w:p>
    <w:p w14:paraId="62FBFE4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Migrating providers therefore involves both technical changes and operational adaptation.</w:t>
      </w:r>
    </w:p>
    <w:p w14:paraId="78572ED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indirect costs are frequently underestimated during initial procurement decisions.</w:t>
      </w:r>
    </w:p>
    <w:p w14:paraId="43AD5675"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Strategies for Improving Portability</w:t>
      </w:r>
    </w:p>
    <w:p w14:paraId="6BDAAAA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Complete provider independence is rarely achievable without sacrificing valuable platform capabilities.</w:t>
      </w:r>
    </w:p>
    <w:p w14:paraId="3ED2CFC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Nevertheless, several architectural practices significantly improve long-term flexibility.</w:t>
      </w:r>
    </w:p>
    <w:p w14:paraId="387A7EE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Applications should isolate provider-specific interactions behind well-defined internal interfaces whenever practical.</w:t>
      </w:r>
    </w:p>
    <w:p w14:paraId="4E62594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Evaluation datasets should remain provider-independent.</w:t>
      </w:r>
    </w:p>
    <w:p w14:paraId="2E08B77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Business logic should not depend upon undocumented model behavior.</w:t>
      </w:r>
    </w:p>
    <w:p w14:paraId="1F73179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Structured outputs should rely upon standardized schemas rather than provider-specific formatting conventions.</w:t>
      </w:r>
    </w:p>
    <w:p w14:paraId="1D5BC62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Where appropriate, organizations may adopt abstraction layers capable of routing requests across multiple providers through a common interface. Examples include AI gateways, provider-neutral SDKs such as </w:t>
      </w:r>
      <w:proofErr w:type="spellStart"/>
      <w:r w:rsidRPr="00370E1E">
        <w:rPr>
          <w:rFonts w:ascii="Times New Roman" w:eastAsia="Times New Roman" w:hAnsi="Times New Roman" w:cs="Times New Roman"/>
          <w:sz w:val="28"/>
          <w:szCs w:val="24"/>
        </w:rPr>
        <w:t>LiteLLM</w:t>
      </w:r>
      <w:proofErr w:type="spellEnd"/>
      <w:r w:rsidRPr="00370E1E">
        <w:rPr>
          <w:rFonts w:ascii="Times New Roman" w:eastAsia="Times New Roman" w:hAnsi="Times New Roman" w:cs="Times New Roman"/>
          <w:sz w:val="28"/>
          <w:szCs w:val="24"/>
        </w:rPr>
        <w:t xml:space="preserve">, and multi-provider routing </w:t>
      </w:r>
      <w:r w:rsidRPr="00370E1E">
        <w:rPr>
          <w:rFonts w:ascii="Times New Roman" w:eastAsia="Times New Roman" w:hAnsi="Times New Roman" w:cs="Times New Roman"/>
          <w:sz w:val="28"/>
          <w:szCs w:val="24"/>
        </w:rPr>
        <w:lastRenderedPageBreak/>
        <w:t xml:space="preserve">platforms such as </w:t>
      </w:r>
      <w:proofErr w:type="spellStart"/>
      <w:r w:rsidRPr="00370E1E">
        <w:rPr>
          <w:rFonts w:ascii="Times New Roman" w:eastAsia="Times New Roman" w:hAnsi="Times New Roman" w:cs="Times New Roman"/>
          <w:sz w:val="28"/>
          <w:szCs w:val="24"/>
        </w:rPr>
        <w:t>OpenRouter</w:t>
      </w:r>
      <w:proofErr w:type="spellEnd"/>
      <w:r w:rsidRPr="00370E1E">
        <w:rPr>
          <w:rFonts w:ascii="Times New Roman" w:eastAsia="Times New Roman" w:hAnsi="Times New Roman" w:cs="Times New Roman"/>
          <w:sz w:val="28"/>
          <w:szCs w:val="24"/>
        </w:rPr>
        <w:t>. These approaches reduce application coupling while preserving access to diverse commercial services.</w:t>
      </w:r>
    </w:p>
    <w:p w14:paraId="64CDB40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However, abstraction itself introduces trade-offs.</w:t>
      </w:r>
    </w:p>
    <w:p w14:paraId="427FBBD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Generic interfaces may expose only the intersection of provider capabilities, delaying adoption of innovative platform features until abstractions evolve accordingly.</w:t>
      </w:r>
    </w:p>
    <w:p w14:paraId="3957194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Chapter 6 examines these architectural trade-offs in detail.</w:t>
      </w:r>
    </w:p>
    <w:p w14:paraId="5D7091C7"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Deliberate Rather Than Accidental Dependencies</w:t>
      </w:r>
    </w:p>
    <w:p w14:paraId="42955DD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Perhaps the most important engineering principle is intentionality.</w:t>
      </w:r>
    </w:p>
    <w:p w14:paraId="773E56D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Vendor lock-in becomes problematic primarily when organizations discover dependencies unexpectedly after they have accumulated.</w:t>
      </w:r>
    </w:p>
    <w:p w14:paraId="2D97B1A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Conversely, consciously accepting provider-specific capabilities in exchange for measurable operational benefits often represents a rational engineering decision.</w:t>
      </w:r>
    </w:p>
    <w:p w14:paraId="2F88460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Platform engineering therefore seeks informed trade-offs rather than universal portability.</w:t>
      </w:r>
    </w:p>
    <w:p w14:paraId="19F3C1B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Table 3-11. Common Sources of Vendor Lock-In</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914"/>
        <w:gridCol w:w="3707"/>
        <w:gridCol w:w="3734"/>
      </w:tblGrid>
      <w:tr w:rsidR="00370E1E" w:rsidRPr="0017187C" w14:paraId="6ADB1011" w14:textId="77777777" w:rsidTr="0017187C">
        <w:trPr>
          <w:tblHeader/>
          <w:tblCellSpacing w:w="15" w:type="dxa"/>
        </w:trPr>
        <w:tc>
          <w:tcPr>
            <w:tcW w:w="0" w:type="auto"/>
            <w:vAlign w:val="center"/>
            <w:hideMark/>
          </w:tcPr>
          <w:p w14:paraId="375AE896"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Source of Dependency</w:t>
            </w:r>
          </w:p>
        </w:tc>
        <w:tc>
          <w:tcPr>
            <w:tcW w:w="0" w:type="auto"/>
            <w:vAlign w:val="center"/>
            <w:hideMark/>
          </w:tcPr>
          <w:p w14:paraId="3599A64C"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Typical Cause</w:t>
            </w:r>
          </w:p>
        </w:tc>
        <w:tc>
          <w:tcPr>
            <w:tcW w:w="0" w:type="auto"/>
            <w:vAlign w:val="center"/>
            <w:hideMark/>
          </w:tcPr>
          <w:p w14:paraId="628D8959"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Mitigation Strategy</w:t>
            </w:r>
          </w:p>
        </w:tc>
      </w:tr>
      <w:tr w:rsidR="00370E1E" w:rsidRPr="0017187C" w14:paraId="0B127ADB" w14:textId="77777777" w:rsidTr="0017187C">
        <w:trPr>
          <w:tblCellSpacing w:w="15" w:type="dxa"/>
        </w:trPr>
        <w:tc>
          <w:tcPr>
            <w:tcW w:w="0" w:type="auto"/>
            <w:vAlign w:val="center"/>
            <w:hideMark/>
          </w:tcPr>
          <w:p w14:paraId="71045C3A"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API implementation</w:t>
            </w:r>
          </w:p>
        </w:tc>
        <w:tc>
          <w:tcPr>
            <w:tcW w:w="0" w:type="auto"/>
            <w:vAlign w:val="center"/>
            <w:hideMark/>
          </w:tcPr>
          <w:p w14:paraId="4F53073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Provider-specific request formats, SDKs, and authentication</w:t>
            </w:r>
          </w:p>
        </w:tc>
        <w:tc>
          <w:tcPr>
            <w:tcW w:w="0" w:type="auto"/>
            <w:vAlign w:val="center"/>
            <w:hideMark/>
          </w:tcPr>
          <w:p w14:paraId="3F49BE33"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Introduce internal abstraction layers or AI gateways where appropriate.</w:t>
            </w:r>
          </w:p>
        </w:tc>
      </w:tr>
      <w:tr w:rsidR="00370E1E" w:rsidRPr="0017187C" w14:paraId="5EA95993" w14:textId="77777777" w:rsidTr="0017187C">
        <w:trPr>
          <w:tblCellSpacing w:w="15" w:type="dxa"/>
        </w:trPr>
        <w:tc>
          <w:tcPr>
            <w:tcW w:w="0" w:type="auto"/>
            <w:vAlign w:val="center"/>
            <w:hideMark/>
          </w:tcPr>
          <w:p w14:paraId="5EFFCC3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Platform services</w:t>
            </w:r>
          </w:p>
        </w:tc>
        <w:tc>
          <w:tcPr>
            <w:tcW w:w="0" w:type="auto"/>
            <w:vAlign w:val="center"/>
            <w:hideMark/>
          </w:tcPr>
          <w:p w14:paraId="164B589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Proprietary prompt management, evaluation, or workflow capabilities</w:t>
            </w:r>
          </w:p>
        </w:tc>
        <w:tc>
          <w:tcPr>
            <w:tcW w:w="0" w:type="auto"/>
            <w:vAlign w:val="center"/>
            <w:hideMark/>
          </w:tcPr>
          <w:p w14:paraId="639177A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Adopt integrated services selectively based on long-term architectural priorities.</w:t>
            </w:r>
          </w:p>
        </w:tc>
      </w:tr>
      <w:tr w:rsidR="00370E1E" w:rsidRPr="0017187C" w14:paraId="54F75337" w14:textId="77777777" w:rsidTr="0017187C">
        <w:trPr>
          <w:tblCellSpacing w:w="15" w:type="dxa"/>
        </w:trPr>
        <w:tc>
          <w:tcPr>
            <w:tcW w:w="0" w:type="auto"/>
            <w:vAlign w:val="center"/>
            <w:hideMark/>
          </w:tcPr>
          <w:p w14:paraId="21DE56EA"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Model behavior</w:t>
            </w:r>
          </w:p>
        </w:tc>
        <w:tc>
          <w:tcPr>
            <w:tcW w:w="0" w:type="auto"/>
            <w:vAlign w:val="center"/>
            <w:hideMark/>
          </w:tcPr>
          <w:p w14:paraId="69B901C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Prompt optimization and workflow assumptions tailored to specific models</w:t>
            </w:r>
          </w:p>
        </w:tc>
        <w:tc>
          <w:tcPr>
            <w:tcW w:w="0" w:type="auto"/>
            <w:vAlign w:val="center"/>
            <w:hideMark/>
          </w:tcPr>
          <w:p w14:paraId="798741E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Maintain representative evaluation datasets and validate migration candidates.</w:t>
            </w:r>
          </w:p>
        </w:tc>
      </w:tr>
      <w:tr w:rsidR="00370E1E" w:rsidRPr="0017187C" w14:paraId="179A44F8" w14:textId="77777777" w:rsidTr="0017187C">
        <w:trPr>
          <w:tblCellSpacing w:w="15" w:type="dxa"/>
        </w:trPr>
        <w:tc>
          <w:tcPr>
            <w:tcW w:w="0" w:type="auto"/>
            <w:vAlign w:val="center"/>
            <w:hideMark/>
          </w:tcPr>
          <w:p w14:paraId="2F405633"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Embeddings and retrieval</w:t>
            </w:r>
          </w:p>
        </w:tc>
        <w:tc>
          <w:tcPr>
            <w:tcW w:w="0" w:type="auto"/>
            <w:vAlign w:val="center"/>
            <w:hideMark/>
          </w:tcPr>
          <w:p w14:paraId="5237A79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Dependence on provider-specific embedding models or managed retrieval services</w:t>
            </w:r>
          </w:p>
        </w:tc>
        <w:tc>
          <w:tcPr>
            <w:tcW w:w="0" w:type="auto"/>
            <w:vAlign w:val="center"/>
            <w:hideMark/>
          </w:tcPr>
          <w:p w14:paraId="3C25F7A5"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Prefer modular retrieval architectures and document embedding lifecycle decisions.</w:t>
            </w:r>
          </w:p>
        </w:tc>
      </w:tr>
      <w:tr w:rsidR="00370E1E" w:rsidRPr="0017187C" w14:paraId="13B2E2A5" w14:textId="77777777" w:rsidTr="0017187C">
        <w:trPr>
          <w:tblCellSpacing w:w="15" w:type="dxa"/>
        </w:trPr>
        <w:tc>
          <w:tcPr>
            <w:tcW w:w="0" w:type="auto"/>
            <w:vAlign w:val="center"/>
            <w:hideMark/>
          </w:tcPr>
          <w:p w14:paraId="14549146"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Operational ecosystem</w:t>
            </w:r>
          </w:p>
        </w:tc>
        <w:tc>
          <w:tcPr>
            <w:tcW w:w="0" w:type="auto"/>
            <w:vAlign w:val="center"/>
            <w:hideMark/>
          </w:tcPr>
          <w:p w14:paraId="0B55E03B"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Monitoring, IAM integration, administrative tooling, and governance workflows</w:t>
            </w:r>
          </w:p>
        </w:tc>
        <w:tc>
          <w:tcPr>
            <w:tcW w:w="0" w:type="auto"/>
            <w:vAlign w:val="center"/>
            <w:hideMark/>
          </w:tcPr>
          <w:p w14:paraId="7887FAF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Evaluate migration effort as part of procurement rather than after deployment.</w:t>
            </w:r>
          </w:p>
        </w:tc>
      </w:tr>
    </w:tbl>
    <w:p w14:paraId="50AD876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Vendor lock-in is therefore best understood as an architectural trade-off rather than an inherent flaw. Managed AI platforms derive much of their value from offering capabilities beyond raw inference, and those capabilities inevitably create varying degrees of dependency. The responsibility of platform engineering is to ensure that such dependencies are explicit, proportionate to the value they deliver, and aligned with the organization's long-term architectural objectives.</w:t>
      </w:r>
    </w:p>
    <w:p w14:paraId="2C30E58B"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t>3.13 Common Misconceptions About Commercial AI Platforms</w:t>
      </w:r>
    </w:p>
    <w:p w14:paraId="6AE2DEE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rapid adoption of commercial AI services has produced a number of persistent misconceptions. Many originate from early experimentation with language models, while others arise from marketing narratives or the understandable tendency to compare AI services with traditional software APIs.</w:t>
      </w:r>
    </w:p>
    <w:p w14:paraId="1C8D78B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misconceptions can lead organizations toward architectures that perform well in demonstrations but encounter significant operational challenges in production. Platform engineering therefore requires separating assumptions that hold for small-scale experimentation from practices appropriate for long-lived enterprise systems.</w:t>
      </w:r>
    </w:p>
    <w:p w14:paraId="7A5BEA0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section examines several of the most common misconceptions encountered in production AI adoption.</w:t>
      </w:r>
    </w:p>
    <w:p w14:paraId="332EE710"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"The Best Benchmark Model Is Always the Best Production Choice"</w:t>
      </w:r>
    </w:p>
    <w:p w14:paraId="296331D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Perhaps the most widespread misconception is that benchmark rankings directly determine production suitability.</w:t>
      </w:r>
    </w:p>
    <w:p w14:paraId="5D7C0DE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Benchmark performance is undeniably valuable. Standardized evaluations provide objective measurements across specific tasks and enable meaningful comparisons between competing models. However, benchmarks intentionally simplify reality. They evaluate controlled problems under predefined conditions rather than complete software systems operating within production environments.</w:t>
      </w:r>
    </w:p>
    <w:p w14:paraId="7B2F0A7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 model leading a reasoning benchmark may exhibit higher latency, increased operational cost, stricter rate limits, or less predictable structured output behavior than another model that achieves slightly lower benchmark scores.</w:t>
      </w:r>
    </w:p>
    <w:p w14:paraId="56B29C5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Similarly, enterprise applications frequently optimize for characteristics not directly represented by public benchmarks, including operational stability, API maturity, regional availability, governance integration, and long-term version management.</w:t>
      </w:r>
    </w:p>
    <w:p w14:paraId="1D24157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Consequently, benchmark results should inform engineering decisions rather than determine them.</w:t>
      </w:r>
    </w:p>
    <w:p w14:paraId="0C582CA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Organizations should validate candidate models against representative application workloads before making architectural commitments.</w:t>
      </w:r>
    </w:p>
    <w:p w14:paraId="2DB4F162"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"Commercial APIs Eliminate Infrastructure Engineering"</w:t>
      </w:r>
    </w:p>
    <w:p w14:paraId="119D0EB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Managed AI services substantially reduce operational complexity compared with self-hosted inference infrastructure.</w:t>
      </w:r>
    </w:p>
    <w:p w14:paraId="514AAC0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However, they do not eliminate infrastructure engineering.</w:t>
      </w:r>
    </w:p>
    <w:p w14:paraId="38B6FDD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Applications still require API gateways, authentication, networking, deployment automation, monitoring, evaluation pipelines, caching strategies, secret management, incident response procedures, and operational governance.</w:t>
      </w:r>
    </w:p>
    <w:p w14:paraId="5F35AEE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In many organizations, infrastructure responsibilities shift rather than disappear.</w:t>
      </w:r>
    </w:p>
    <w:p w14:paraId="298470F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Instead of operating GPU clusters, platform teams increasingly operate the surrounding ecosystem that integrates commercial AI services into enterprise software environments.</w:t>
      </w:r>
    </w:p>
    <w:p w14:paraId="58EDCC4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distinction explains why organizations adopting managed AI services continue to invest heavily in platform engineering despite delegating inference infrastructure to external providers.</w:t>
      </w:r>
    </w:p>
    <w:p w14:paraId="35C1B95F"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"The Provider Handles Security"</w:t>
      </w:r>
    </w:p>
    <w:p w14:paraId="63F1509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providers invest extensively in infrastructure security, physical data center protection, network isolation, service authentication, vulnerability management, and operational resilience.</w:t>
      </w:r>
    </w:p>
    <w:p w14:paraId="3BADC45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responsibilities, however, represent only one layer of overall system security.</w:t>
      </w:r>
    </w:p>
    <w:p w14:paraId="14511CE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Organizations remain responsible for protecting application data, implementing authorization logic, validating tool execution, governing prompt construction, securing business workflows, managing secrets, enforcing organizational policies, and satisfying regulatory obligations.</w:t>
      </w:r>
    </w:p>
    <w:p w14:paraId="06CDF28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Security therefore follows a shared responsibility model similar to cloud computing.</w:t>
      </w:r>
    </w:p>
    <w:p w14:paraId="25DEED0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Provider capabilities reduce operational burden but do not replace application security architecture.</w:t>
      </w:r>
    </w:p>
    <w:p w14:paraId="74371AC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Chapter 14 examines this distinction in depth.</w:t>
      </w:r>
    </w:p>
    <w:p w14:paraId="010B0EDA"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"Model Quality Improves Automatically"</w:t>
      </w:r>
    </w:p>
    <w:p w14:paraId="20456A7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Providers continuously improve foundation models.</w:t>
      </w:r>
    </w:p>
    <w:p w14:paraId="2212CDB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improvements often increase reasoning quality, expand multimodal capabilities, strengthen instruction following, or reduce hallucination rates for certain tasks.</w:t>
      </w:r>
    </w:p>
    <w:p w14:paraId="466BEE4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Nevertheless, improvements remain workload-dependent.</w:t>
      </w:r>
    </w:p>
    <w:p w14:paraId="35A1838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Behavior that benefits one application may require adjustments within another.</w:t>
      </w:r>
    </w:p>
    <w:p w14:paraId="103FD71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Changes to response formatting, safety systems, or reasoning strategies can influence downstream workflows even when overall model capability increases.</w:t>
      </w:r>
    </w:p>
    <w:p w14:paraId="7C2C642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Organizations should therefore validate new model versions before production deployment rather than assuming that newer automatically means better for every application.</w:t>
      </w:r>
    </w:p>
    <w:p w14:paraId="4E0B063B"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"Switching Providers Is Easy"</w:t>
      </w:r>
    </w:p>
    <w:p w14:paraId="17FAEC2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API convergence has significantly reduced migration effort compared with the early commercial AI ecosystem.</w:t>
      </w:r>
    </w:p>
    <w:p w14:paraId="1042BBD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Many providers now support similar request structures, streaming interfaces, structured outputs, and tool-calling patterns.</w:t>
      </w:r>
    </w:p>
    <w:p w14:paraId="6B2DAE0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Despite these similarities, migration rarely consists of changing a configuration value.</w:t>
      </w:r>
    </w:p>
    <w:p w14:paraId="527A2AD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Applications accumulate dependencies upon model behavior, operational processes, authentication mechanisms, quotas, lifecycle policies, evaluation datasets, and organizational workflows.</w:t>
      </w:r>
    </w:p>
    <w:p w14:paraId="33CA745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Successful migration therefore requires planning, testing, and operational coordination comparable to other major infrastructure changes.</w:t>
      </w:r>
    </w:p>
    <w:p w14:paraId="78DD04B7"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"Managed Platforms Replace Internal Engineering Expertise"</w:t>
      </w:r>
    </w:p>
    <w:p w14:paraId="520AD0A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AI platforms simplify many aspects of AI adoption, but they do not eliminate the need for technical expertise.</w:t>
      </w:r>
    </w:p>
    <w:p w14:paraId="03F3470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Indeed, as infrastructure complexity decreases, architectural complexity often becomes more important.</w:t>
      </w:r>
    </w:p>
    <w:p w14:paraId="26F7848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Organizations must still understand workload characteristics, evaluation methodology, governance, operational resilience, system integration, and software architecture.</w:t>
      </w:r>
    </w:p>
    <w:p w14:paraId="00A4B58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Platform engineering therefore evolves rather than disappears.</w:t>
      </w:r>
    </w:p>
    <w:p w14:paraId="49D46DC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emphasis shifts from operating inference infrastructure toward designing reliable AI-enabled software systems.</w:t>
      </w:r>
    </w:p>
    <w:p w14:paraId="7585646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Table 3-12. Common Misconceptions and Engineering Reality</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533"/>
        <w:gridCol w:w="3799"/>
        <w:gridCol w:w="3023"/>
      </w:tblGrid>
      <w:tr w:rsidR="00370E1E" w:rsidRPr="0017187C" w14:paraId="5A1D4319" w14:textId="77777777" w:rsidTr="0017187C">
        <w:trPr>
          <w:tblHeader/>
          <w:tblCellSpacing w:w="15" w:type="dxa"/>
        </w:trPr>
        <w:tc>
          <w:tcPr>
            <w:tcW w:w="0" w:type="auto"/>
            <w:vAlign w:val="center"/>
            <w:hideMark/>
          </w:tcPr>
          <w:p w14:paraId="1969D6A8"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Misconception</w:t>
            </w:r>
          </w:p>
        </w:tc>
        <w:tc>
          <w:tcPr>
            <w:tcW w:w="0" w:type="auto"/>
            <w:vAlign w:val="center"/>
            <w:hideMark/>
          </w:tcPr>
          <w:p w14:paraId="0C5C9BAA"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Engineering Reality</w:t>
            </w:r>
          </w:p>
        </w:tc>
        <w:tc>
          <w:tcPr>
            <w:tcW w:w="0" w:type="auto"/>
            <w:vAlign w:val="center"/>
            <w:hideMark/>
          </w:tcPr>
          <w:p w14:paraId="57CC77D0"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Practical Guidance</w:t>
            </w:r>
          </w:p>
        </w:tc>
      </w:tr>
      <w:tr w:rsidR="00370E1E" w:rsidRPr="0017187C" w14:paraId="4E1D9D12" w14:textId="77777777" w:rsidTr="0017187C">
        <w:trPr>
          <w:tblCellSpacing w:w="15" w:type="dxa"/>
        </w:trPr>
        <w:tc>
          <w:tcPr>
            <w:tcW w:w="0" w:type="auto"/>
            <w:vAlign w:val="center"/>
            <w:hideMark/>
          </w:tcPr>
          <w:p w14:paraId="2FA3FC6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The highest benchmark score guarantees the best production model.</w:t>
            </w:r>
          </w:p>
        </w:tc>
        <w:tc>
          <w:tcPr>
            <w:tcW w:w="0" w:type="auto"/>
            <w:vAlign w:val="center"/>
            <w:hideMark/>
          </w:tcPr>
          <w:p w14:paraId="41180CC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Production success depends upon workload characteristics, operational behavior, and integration requirements in addition to model quality.</w:t>
            </w:r>
          </w:p>
        </w:tc>
        <w:tc>
          <w:tcPr>
            <w:tcW w:w="0" w:type="auto"/>
            <w:vAlign w:val="center"/>
            <w:hideMark/>
          </w:tcPr>
          <w:p w14:paraId="52B03CE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Evaluate representative production workloads rather than relying solely on public benchmarks.</w:t>
            </w:r>
          </w:p>
        </w:tc>
      </w:tr>
      <w:tr w:rsidR="00370E1E" w:rsidRPr="0017187C" w14:paraId="12A67DED" w14:textId="77777777" w:rsidTr="0017187C">
        <w:trPr>
          <w:tblCellSpacing w:w="15" w:type="dxa"/>
        </w:trPr>
        <w:tc>
          <w:tcPr>
            <w:tcW w:w="0" w:type="auto"/>
            <w:vAlign w:val="center"/>
            <w:hideMark/>
          </w:tcPr>
          <w:p w14:paraId="611FA0F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Managed AI services eliminate infrastructure engineering.</w:t>
            </w:r>
          </w:p>
        </w:tc>
        <w:tc>
          <w:tcPr>
            <w:tcW w:w="0" w:type="auto"/>
            <w:vAlign w:val="center"/>
            <w:hideMark/>
          </w:tcPr>
          <w:p w14:paraId="157007D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Infrastructure responsibilities shift toward integration, governance, deployment, and operations.</w:t>
            </w:r>
          </w:p>
        </w:tc>
        <w:tc>
          <w:tcPr>
            <w:tcW w:w="0" w:type="auto"/>
            <w:vAlign w:val="center"/>
            <w:hideMark/>
          </w:tcPr>
          <w:p w14:paraId="05EA9017"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Continue investing in platform engineering capabilities despite outsourcing inference infrastructure.</w:t>
            </w:r>
          </w:p>
        </w:tc>
      </w:tr>
      <w:tr w:rsidR="00370E1E" w:rsidRPr="0017187C" w14:paraId="3C9E1072" w14:textId="77777777" w:rsidTr="0017187C">
        <w:trPr>
          <w:tblCellSpacing w:w="15" w:type="dxa"/>
        </w:trPr>
        <w:tc>
          <w:tcPr>
            <w:tcW w:w="0" w:type="auto"/>
            <w:vAlign w:val="center"/>
            <w:hideMark/>
          </w:tcPr>
          <w:p w14:paraId="1839B016"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Providers are responsible for all security.</w:t>
            </w:r>
          </w:p>
        </w:tc>
        <w:tc>
          <w:tcPr>
            <w:tcW w:w="0" w:type="auto"/>
            <w:vAlign w:val="center"/>
            <w:hideMark/>
          </w:tcPr>
          <w:p w14:paraId="7824FE4D"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Security follows a shared responsibility model.</w:t>
            </w:r>
          </w:p>
        </w:tc>
        <w:tc>
          <w:tcPr>
            <w:tcW w:w="0" w:type="auto"/>
            <w:vAlign w:val="center"/>
            <w:hideMark/>
          </w:tcPr>
          <w:p w14:paraId="3E3CC6A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Combine provider safeguards with organizational security architecture.</w:t>
            </w:r>
          </w:p>
        </w:tc>
      </w:tr>
      <w:tr w:rsidR="00370E1E" w:rsidRPr="0017187C" w14:paraId="2564898C" w14:textId="77777777" w:rsidTr="0017187C">
        <w:trPr>
          <w:tblCellSpacing w:w="15" w:type="dxa"/>
        </w:trPr>
        <w:tc>
          <w:tcPr>
            <w:tcW w:w="0" w:type="auto"/>
            <w:vAlign w:val="center"/>
            <w:hideMark/>
          </w:tcPr>
          <w:p w14:paraId="16E9B11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Newer model versions are always better.</w:t>
            </w:r>
          </w:p>
        </w:tc>
        <w:tc>
          <w:tcPr>
            <w:tcW w:w="0" w:type="auto"/>
            <w:vAlign w:val="center"/>
            <w:hideMark/>
          </w:tcPr>
          <w:p w14:paraId="1E3BAABB"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Model improvements may introduce behavioral changes affecting existing applications.</w:t>
            </w:r>
          </w:p>
        </w:tc>
        <w:tc>
          <w:tcPr>
            <w:tcW w:w="0" w:type="auto"/>
            <w:vAlign w:val="center"/>
            <w:hideMark/>
          </w:tcPr>
          <w:p w14:paraId="72118692"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Validate upgrades using regression testing before deployment.</w:t>
            </w:r>
          </w:p>
        </w:tc>
      </w:tr>
      <w:tr w:rsidR="00370E1E" w:rsidRPr="0017187C" w14:paraId="7F5B9278" w14:textId="77777777" w:rsidTr="0017187C">
        <w:trPr>
          <w:tblCellSpacing w:w="15" w:type="dxa"/>
        </w:trPr>
        <w:tc>
          <w:tcPr>
            <w:tcW w:w="0" w:type="auto"/>
            <w:vAlign w:val="center"/>
            <w:hideMark/>
          </w:tcPr>
          <w:p w14:paraId="1CFD991A"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Compatible APIs guarantee easy migration.</w:t>
            </w:r>
          </w:p>
        </w:tc>
        <w:tc>
          <w:tcPr>
            <w:tcW w:w="0" w:type="auto"/>
            <w:vAlign w:val="center"/>
            <w:hideMark/>
          </w:tcPr>
          <w:p w14:paraId="47E73AB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Behavioral, operational, and governance differences remain significant.</w:t>
            </w:r>
          </w:p>
        </w:tc>
        <w:tc>
          <w:tcPr>
            <w:tcW w:w="0" w:type="auto"/>
            <w:vAlign w:val="center"/>
            <w:hideMark/>
          </w:tcPr>
          <w:p w14:paraId="0CC5124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Plan migrations as engineering projects rather than configuration changes.</w:t>
            </w:r>
          </w:p>
        </w:tc>
      </w:tr>
      <w:tr w:rsidR="00370E1E" w:rsidRPr="0017187C" w14:paraId="1777E878" w14:textId="77777777" w:rsidTr="0017187C">
        <w:trPr>
          <w:tblCellSpacing w:w="15" w:type="dxa"/>
        </w:trPr>
        <w:tc>
          <w:tcPr>
            <w:tcW w:w="0" w:type="auto"/>
            <w:vAlign w:val="center"/>
            <w:hideMark/>
          </w:tcPr>
          <w:p w14:paraId="770F13E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Managed platforms eliminate the need for AI expertise.</w:t>
            </w:r>
          </w:p>
        </w:tc>
        <w:tc>
          <w:tcPr>
            <w:tcW w:w="0" w:type="auto"/>
            <w:vAlign w:val="center"/>
            <w:hideMark/>
          </w:tcPr>
          <w:p w14:paraId="187A9C8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Architectural understanding remains essential for successful production systems.</w:t>
            </w:r>
          </w:p>
        </w:tc>
        <w:tc>
          <w:tcPr>
            <w:tcW w:w="0" w:type="auto"/>
            <w:vAlign w:val="center"/>
            <w:hideMark/>
          </w:tcPr>
          <w:p w14:paraId="32D45970"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Develop internal engineering practices alongside platform adoption.</w:t>
            </w:r>
          </w:p>
        </w:tc>
      </w:tr>
    </w:tbl>
    <w:p w14:paraId="6E1E01B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Recognizing these misconceptions encourages more realistic architectural planning and reduces the likelihood of unexpected operational challenges as AI systems mature beyond prototype deployments.</w:t>
      </w:r>
    </w:p>
    <w:p w14:paraId="10346CDA" w14:textId="77777777" w:rsidR="00370E1E" w:rsidRPr="00370E1E" w:rsidRDefault="004538ED" w:rsidP="00370E1E">
      <w:pPr>
        <w:rPr>
          <w:rFonts w:ascii="Calibri" w:eastAsia="Calibri" w:hAnsi="Calibri" w:cs="Times New Roman"/>
          <w:sz w:val="24"/>
        </w:rPr>
      </w:pPr>
      <w:r>
        <w:rPr>
          <w:rFonts w:ascii="Calibri" w:eastAsia="Calibri" w:hAnsi="Calibri" w:cs="Times New Roman"/>
          <w:sz w:val="24"/>
        </w:rPr>
        <w:pict w14:anchorId="2D732CBC">
          <v:rect id="_x0000_i1033" style="width:0;height:1.5pt" o:hralign="center" o:hrstd="t" o:hr="t" fillcolor="#a0a0a0" stroked="f"/>
        </w:pict>
      </w:r>
    </w:p>
    <w:p w14:paraId="4640907B"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t>3.14 Chapter Summary</w:t>
      </w:r>
    </w:p>
    <w:p w14:paraId="35F39BB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Commercial AI services have become the dominant mechanism through which organizations adopt frontier foundation models. Rather than operating inference infrastructure directly, engineering teams increasingly consume AI capabilities as managed services offering APIs, operational tooling, enterprise governance, identity integration, and lifecycle management.</w:t>
      </w:r>
    </w:p>
    <w:p w14:paraId="5DAAB8C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evolution reflects a broader trend already familiar from cloud computing. Infrastructure responsibilities associated with model hosting, accelerator management, distributed inference, and capacity planning are delegated to specialized providers, allowing organizations to focus more directly on application architecture and business functionality.</w:t>
      </w:r>
    </w:p>
    <w:p w14:paraId="7980056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However, managed AI services should not be understood simply as hosted language models.</w:t>
      </w:r>
    </w:p>
    <w:p w14:paraId="3F5B5EF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Throughout this chapter, commercial platforms have been examined as distributed software systems comprising multiple architectural layers. Foundation models represent only one component within broader platforms that also include authentication, networking, governance, operational reliability, lifecycle management, evaluation tooling, safety mechanisms, and enterprise integration.</w:t>
      </w:r>
    </w:p>
    <w:p w14:paraId="2F55EB0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Several architectural themes recur throughout modern commercial AI platforms.</w:t>
      </w:r>
    </w:p>
    <w:p w14:paraId="0E26ADE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First, the industry is converging toward common interaction patterns. Streaming APIs, structured outputs, tool calling, multimodal interfaces, and unified response APIs have become increasingly consistent across providers, reducing—but not eliminating—the effort required to support multiple platforms.</w:t>
      </w:r>
    </w:p>
    <w:p w14:paraId="7CEA7DD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Second, operational characteristics frequently matter as much as model capability. Latency, availability, regional deployment, quota management, lifecycle transparency, documentation quality, and enterprise support all influence long-term production success.</w:t>
      </w:r>
    </w:p>
    <w:p w14:paraId="4AEB664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Third, commercial platforms increasingly compete through integrated ecosystems rather than through inference alone. Prompt management, evaluation services, managed retrieval, governance capabilities, fine-tuning workflows, and administrative tooling collectively transform AI platforms into comprehensive application development environments.</w:t>
      </w:r>
    </w:p>
    <w:p w14:paraId="43C0316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expansion introduces corresponding architectural trade-offs.</w:t>
      </w:r>
    </w:p>
    <w:p w14:paraId="3F32F97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Integrated platform services accelerate development and simplify operations but may increase provider dependence. Platform engineers must therefore balance short-term productivity against long-term portability, recognizing that some degree of vendor lock-in is an inherent consequence of consuming managed services.</w:t>
      </w:r>
    </w:p>
    <w:p w14:paraId="2198BF3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The chapter has also emphasized that commercial AI adoption does not eliminate engineering responsibility.</w:t>
      </w:r>
    </w:p>
    <w:p w14:paraId="7BEC864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Organizations remain accountable for application architecture, workload-specific evaluation, security, governance, deployment, observability, resilience, operational maintenance, and financial management. Managed platforms reduce infrastructure complexity without replacing sound engineering practices.</w:t>
      </w:r>
    </w:p>
    <w:p w14:paraId="3BE8682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Finally, model selection has been presented as a continuous engineering process rather than a one-time procurement decision. Foundation models evolve rapidly, commercial services continuously introduce new capabilities, and application requirements change over time. Successful organizations therefore establish repeatable evaluation processes, maintain representative regression datasets, monitor provider lifecycle announcements, and periodically reassess architectural decisions.</w:t>
      </w:r>
    </w:p>
    <w:p w14:paraId="5DF14F1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subsequent chapters build upon these concepts by examining situations in which organizations choose to operate models themselves rather than relying exclusively on commercial AI services. Chapter 4 explores open-weight foundation models, software licensing, self-hosted deployment options, and the engineering trade-offs associated with assuming direct operational control over model infrastructure.</w:t>
      </w:r>
    </w:p>
    <w:p w14:paraId="0D748099" w14:textId="77777777" w:rsidR="00370E1E" w:rsidRPr="00370E1E" w:rsidRDefault="004538ED" w:rsidP="00370E1E">
      <w:pPr>
        <w:rPr>
          <w:rFonts w:ascii="Calibri" w:eastAsia="Calibri" w:hAnsi="Calibri" w:cs="Times New Roman"/>
          <w:sz w:val="24"/>
        </w:rPr>
      </w:pPr>
      <w:r>
        <w:rPr>
          <w:rFonts w:ascii="Calibri" w:eastAsia="Calibri" w:hAnsi="Calibri" w:cs="Times New Roman"/>
          <w:sz w:val="24"/>
        </w:rPr>
        <w:pict w14:anchorId="3687F8D8">
          <v:rect id="_x0000_i1034" style="width:0;height:1.5pt" o:hralign="center" o:hrstd="t" o:hr="t" fillcolor="#a0a0a0" stroked="f"/>
        </w:pict>
      </w:r>
    </w:p>
    <w:p w14:paraId="4976337D"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t>3.15 References</w:t>
      </w:r>
    </w:p>
    <w:p w14:paraId="56A22E4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references below emphasize authoritative and durable sources. Where multiple editions of the same guidance exist, the most recent stable publication available at the time of writing should generally be preferred.</w:t>
      </w:r>
    </w:p>
    <w:p w14:paraId="26D755C2"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Research Papers</w:t>
      </w:r>
    </w:p>
    <w:p w14:paraId="2E01AAC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proofErr w:type="spellStart"/>
      <w:r w:rsidRPr="00370E1E">
        <w:rPr>
          <w:rFonts w:ascii="Times New Roman" w:eastAsia="Times New Roman" w:hAnsi="Times New Roman" w:cs="Times New Roman"/>
          <w:sz w:val="28"/>
          <w:szCs w:val="24"/>
        </w:rPr>
        <w:t>Bommasani</w:t>
      </w:r>
      <w:proofErr w:type="spellEnd"/>
      <w:r w:rsidRPr="00370E1E">
        <w:rPr>
          <w:rFonts w:ascii="Times New Roman" w:eastAsia="Times New Roman" w:hAnsi="Times New Roman" w:cs="Times New Roman"/>
          <w:sz w:val="28"/>
          <w:szCs w:val="24"/>
        </w:rPr>
        <w:t xml:space="preserve">, R., Hudson, D. A., </w:t>
      </w:r>
      <w:proofErr w:type="spellStart"/>
      <w:r w:rsidRPr="00370E1E">
        <w:rPr>
          <w:rFonts w:ascii="Times New Roman" w:eastAsia="Times New Roman" w:hAnsi="Times New Roman" w:cs="Times New Roman"/>
          <w:sz w:val="28"/>
          <w:szCs w:val="24"/>
        </w:rPr>
        <w:t>Adeli</w:t>
      </w:r>
      <w:proofErr w:type="spellEnd"/>
      <w:r w:rsidRPr="00370E1E">
        <w:rPr>
          <w:rFonts w:ascii="Times New Roman" w:eastAsia="Times New Roman" w:hAnsi="Times New Roman" w:cs="Times New Roman"/>
          <w:sz w:val="28"/>
          <w:szCs w:val="24"/>
        </w:rPr>
        <w:t xml:space="preserve">, E., et al. (2021). </w:t>
      </w:r>
      <w:r w:rsidRPr="00370E1E">
        <w:rPr>
          <w:rFonts w:ascii="Times New Roman" w:eastAsia="Times New Roman" w:hAnsi="Times New Roman" w:cs="Times New Roman"/>
          <w:i/>
          <w:iCs/>
          <w:sz w:val="28"/>
          <w:szCs w:val="24"/>
        </w:rPr>
        <w:t>On the Opportunities and Risks of Foundation Models.</w:t>
      </w:r>
      <w:r w:rsidRPr="00370E1E">
        <w:rPr>
          <w:rFonts w:ascii="Times New Roman" w:eastAsia="Times New Roman" w:hAnsi="Times New Roman" w:cs="Times New Roman"/>
          <w:sz w:val="28"/>
          <w:szCs w:val="24"/>
        </w:rPr>
        <w:t xml:space="preserve"> Stanford Center for Research on Foundation Models (CRFM).</w:t>
      </w:r>
    </w:p>
    <w:p w14:paraId="110149B8"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5" w:tgtFrame="_new" w:history="1">
        <w:r w:rsidR="00370E1E" w:rsidRPr="00370E1E">
          <w:rPr>
            <w:rFonts w:ascii="Times New Roman" w:eastAsia="Times New Roman" w:hAnsi="Times New Roman" w:cs="Times New Roman"/>
            <w:color w:val="0000FF"/>
            <w:sz w:val="28"/>
            <w:szCs w:val="24"/>
            <w:u w:val="single"/>
          </w:rPr>
          <w:t>https://arxiv.org/abs/2108.07258</w:t>
        </w:r>
      </w:hyperlink>
    </w:p>
    <w:p w14:paraId="7975DED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Wei, J., Tay, Y., </w:t>
      </w:r>
      <w:proofErr w:type="spellStart"/>
      <w:r w:rsidRPr="00370E1E">
        <w:rPr>
          <w:rFonts w:ascii="Times New Roman" w:eastAsia="Times New Roman" w:hAnsi="Times New Roman" w:cs="Times New Roman"/>
          <w:sz w:val="28"/>
          <w:szCs w:val="24"/>
        </w:rPr>
        <w:t>Bommasani</w:t>
      </w:r>
      <w:proofErr w:type="spellEnd"/>
      <w:r w:rsidRPr="00370E1E">
        <w:rPr>
          <w:rFonts w:ascii="Times New Roman" w:eastAsia="Times New Roman" w:hAnsi="Times New Roman" w:cs="Times New Roman"/>
          <w:sz w:val="28"/>
          <w:szCs w:val="24"/>
        </w:rPr>
        <w:t xml:space="preserve">, R., et al. (2022). </w:t>
      </w:r>
      <w:r w:rsidRPr="00370E1E">
        <w:rPr>
          <w:rFonts w:ascii="Times New Roman" w:eastAsia="Times New Roman" w:hAnsi="Times New Roman" w:cs="Times New Roman"/>
          <w:i/>
          <w:iCs/>
          <w:sz w:val="28"/>
          <w:szCs w:val="24"/>
        </w:rPr>
        <w:t>Emergent Abilities of Large Language Models.</w:t>
      </w:r>
    </w:p>
    <w:p w14:paraId="39F418B5"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6" w:tgtFrame="_new" w:history="1">
        <w:r w:rsidR="00370E1E" w:rsidRPr="00370E1E">
          <w:rPr>
            <w:rFonts w:ascii="Times New Roman" w:eastAsia="Times New Roman" w:hAnsi="Times New Roman" w:cs="Times New Roman"/>
            <w:color w:val="0000FF"/>
            <w:sz w:val="28"/>
            <w:szCs w:val="24"/>
            <w:u w:val="single"/>
          </w:rPr>
          <w:t>https://arxiv.org/abs/2206.07682</w:t>
        </w:r>
      </w:hyperlink>
    </w:p>
    <w:p w14:paraId="6464AFC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proofErr w:type="spellStart"/>
      <w:r w:rsidRPr="00370E1E">
        <w:rPr>
          <w:rFonts w:ascii="Times New Roman" w:eastAsia="Times New Roman" w:hAnsi="Times New Roman" w:cs="Times New Roman"/>
          <w:sz w:val="28"/>
          <w:szCs w:val="24"/>
        </w:rPr>
        <w:t>OpenAI</w:t>
      </w:r>
      <w:proofErr w:type="spellEnd"/>
      <w:r w:rsidRPr="00370E1E">
        <w:rPr>
          <w:rFonts w:ascii="Times New Roman" w:eastAsia="Times New Roman" w:hAnsi="Times New Roman" w:cs="Times New Roman"/>
          <w:sz w:val="28"/>
          <w:szCs w:val="24"/>
        </w:rPr>
        <w:t xml:space="preserve">. (2023). </w:t>
      </w:r>
      <w:r w:rsidRPr="00370E1E">
        <w:rPr>
          <w:rFonts w:ascii="Times New Roman" w:eastAsia="Times New Roman" w:hAnsi="Times New Roman" w:cs="Times New Roman"/>
          <w:i/>
          <w:iCs/>
          <w:sz w:val="28"/>
          <w:szCs w:val="24"/>
        </w:rPr>
        <w:t>GPT-4 Technical Report.</w:t>
      </w:r>
    </w:p>
    <w:p w14:paraId="05B8E900"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7" w:tgtFrame="_new" w:history="1">
        <w:r w:rsidR="00370E1E" w:rsidRPr="00370E1E">
          <w:rPr>
            <w:rFonts w:ascii="Times New Roman" w:eastAsia="Times New Roman" w:hAnsi="Times New Roman" w:cs="Times New Roman"/>
            <w:color w:val="0000FF"/>
            <w:sz w:val="28"/>
            <w:szCs w:val="24"/>
            <w:u w:val="single"/>
          </w:rPr>
          <w:t>https://arxiv.org/abs/2303.08774</w:t>
        </w:r>
      </w:hyperlink>
    </w:p>
    <w:p w14:paraId="21CF47D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Anthropic. (2024). </w:t>
      </w:r>
      <w:r w:rsidRPr="00370E1E">
        <w:rPr>
          <w:rFonts w:ascii="Times New Roman" w:eastAsia="Times New Roman" w:hAnsi="Times New Roman" w:cs="Times New Roman"/>
          <w:i/>
          <w:iCs/>
          <w:sz w:val="28"/>
          <w:szCs w:val="24"/>
        </w:rPr>
        <w:t>The Claude 3 Model Family: Opus, Sonnet, Haiku.</w:t>
      </w:r>
    </w:p>
    <w:p w14:paraId="2803EEB4"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8" w:tgtFrame="_new" w:history="1">
        <w:r w:rsidR="00370E1E" w:rsidRPr="00370E1E">
          <w:rPr>
            <w:rFonts w:ascii="Times New Roman" w:eastAsia="Times New Roman" w:hAnsi="Times New Roman" w:cs="Times New Roman"/>
            <w:color w:val="0000FF"/>
            <w:sz w:val="28"/>
            <w:szCs w:val="24"/>
            <w:u w:val="single"/>
          </w:rPr>
          <w:t>https://www.anthropic.com/research/claude-3-family</w:t>
        </w:r>
      </w:hyperlink>
    </w:p>
    <w:p w14:paraId="39E942F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Fu, X., et al. (2024). </w:t>
      </w:r>
      <w:proofErr w:type="spellStart"/>
      <w:r w:rsidRPr="00370E1E">
        <w:rPr>
          <w:rFonts w:ascii="Times New Roman" w:eastAsia="Times New Roman" w:hAnsi="Times New Roman" w:cs="Times New Roman"/>
          <w:i/>
          <w:iCs/>
          <w:sz w:val="28"/>
          <w:szCs w:val="24"/>
        </w:rPr>
        <w:t>LiveBench</w:t>
      </w:r>
      <w:proofErr w:type="spellEnd"/>
      <w:r w:rsidRPr="00370E1E">
        <w:rPr>
          <w:rFonts w:ascii="Times New Roman" w:eastAsia="Times New Roman" w:hAnsi="Times New Roman" w:cs="Times New Roman"/>
          <w:i/>
          <w:iCs/>
          <w:sz w:val="28"/>
          <w:szCs w:val="24"/>
        </w:rPr>
        <w:t>: A Challenging, Contamination-Free LLM Benchmark.</w:t>
      </w:r>
    </w:p>
    <w:p w14:paraId="44B9B8F8"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9" w:tgtFrame="_new" w:history="1">
        <w:r w:rsidR="00370E1E" w:rsidRPr="00370E1E">
          <w:rPr>
            <w:rFonts w:ascii="Times New Roman" w:eastAsia="Times New Roman" w:hAnsi="Times New Roman" w:cs="Times New Roman"/>
            <w:color w:val="0000FF"/>
            <w:sz w:val="28"/>
            <w:szCs w:val="24"/>
            <w:u w:val="single"/>
          </w:rPr>
          <w:t>https://livebench.ai/</w:t>
        </w:r>
      </w:hyperlink>
    </w:p>
    <w:p w14:paraId="23F9DC6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Princeton University, Salesforce Research, et al. (continuously maintained). </w:t>
      </w:r>
      <w:r w:rsidRPr="00370E1E">
        <w:rPr>
          <w:rFonts w:ascii="Times New Roman" w:eastAsia="Times New Roman" w:hAnsi="Times New Roman" w:cs="Times New Roman"/>
          <w:i/>
          <w:iCs/>
          <w:sz w:val="28"/>
          <w:szCs w:val="24"/>
        </w:rPr>
        <w:t>SWE-bench: Can Language Models Resolve Real GitHub Issues?</w:t>
      </w:r>
    </w:p>
    <w:p w14:paraId="438870B8"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10" w:tgtFrame="_new" w:history="1">
        <w:r w:rsidR="00370E1E" w:rsidRPr="00370E1E">
          <w:rPr>
            <w:rFonts w:ascii="Times New Roman" w:eastAsia="Times New Roman" w:hAnsi="Times New Roman" w:cs="Times New Roman"/>
            <w:color w:val="0000FF"/>
            <w:sz w:val="28"/>
            <w:szCs w:val="24"/>
            <w:u w:val="single"/>
          </w:rPr>
          <w:t>https://www.swebench.com/</w:t>
        </w:r>
      </w:hyperlink>
    </w:p>
    <w:p w14:paraId="645929D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Center for Research on Foundation Models (CRFM). </w:t>
      </w:r>
      <w:r w:rsidRPr="00370E1E">
        <w:rPr>
          <w:rFonts w:ascii="Times New Roman" w:eastAsia="Times New Roman" w:hAnsi="Times New Roman" w:cs="Times New Roman"/>
          <w:i/>
          <w:iCs/>
          <w:sz w:val="28"/>
          <w:szCs w:val="24"/>
        </w:rPr>
        <w:t>HELM (Holistic Evaluation of Language Models).</w:t>
      </w:r>
    </w:p>
    <w:p w14:paraId="4BA8207C"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11" w:tgtFrame="_new" w:history="1">
        <w:r w:rsidR="00370E1E" w:rsidRPr="00370E1E">
          <w:rPr>
            <w:rFonts w:ascii="Times New Roman" w:eastAsia="Times New Roman" w:hAnsi="Times New Roman" w:cs="Times New Roman"/>
            <w:color w:val="0000FF"/>
            <w:sz w:val="28"/>
            <w:szCs w:val="24"/>
            <w:u w:val="single"/>
          </w:rPr>
          <w:t>https://crfm.stanford.edu/helm/</w:t>
        </w:r>
      </w:hyperlink>
    </w:p>
    <w:p w14:paraId="0BF31209"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Official Documentation</w:t>
      </w:r>
    </w:p>
    <w:p w14:paraId="0707A6B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proofErr w:type="spellStart"/>
      <w:r w:rsidRPr="00370E1E">
        <w:rPr>
          <w:rFonts w:ascii="Times New Roman" w:eastAsia="Times New Roman" w:hAnsi="Times New Roman" w:cs="Times New Roman"/>
          <w:sz w:val="28"/>
          <w:szCs w:val="24"/>
        </w:rPr>
        <w:t>OpenAI</w:t>
      </w:r>
      <w:proofErr w:type="spellEnd"/>
      <w:r w:rsidRPr="00370E1E">
        <w:rPr>
          <w:rFonts w:ascii="Times New Roman" w:eastAsia="Times New Roman" w:hAnsi="Times New Roman" w:cs="Times New Roman"/>
          <w:sz w:val="28"/>
          <w:szCs w:val="24"/>
        </w:rPr>
        <w:t xml:space="preserve"> Platform Documentation</w:t>
      </w:r>
    </w:p>
    <w:p w14:paraId="4B933383"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12" w:tgtFrame="_new" w:history="1">
        <w:r w:rsidR="00370E1E" w:rsidRPr="00370E1E">
          <w:rPr>
            <w:rFonts w:ascii="Times New Roman" w:eastAsia="Times New Roman" w:hAnsi="Times New Roman" w:cs="Times New Roman"/>
            <w:color w:val="0000FF"/>
            <w:sz w:val="28"/>
            <w:szCs w:val="24"/>
            <w:u w:val="single"/>
          </w:rPr>
          <w:t>https://platform.openai.com/docs</w:t>
        </w:r>
      </w:hyperlink>
    </w:p>
    <w:p w14:paraId="692C068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proofErr w:type="spellStart"/>
      <w:r w:rsidRPr="00370E1E">
        <w:rPr>
          <w:rFonts w:ascii="Times New Roman" w:eastAsia="Times New Roman" w:hAnsi="Times New Roman" w:cs="Times New Roman"/>
          <w:sz w:val="28"/>
          <w:szCs w:val="24"/>
        </w:rPr>
        <w:t>OpenAI</w:t>
      </w:r>
      <w:proofErr w:type="spellEnd"/>
      <w:r w:rsidRPr="00370E1E">
        <w:rPr>
          <w:rFonts w:ascii="Times New Roman" w:eastAsia="Times New Roman" w:hAnsi="Times New Roman" w:cs="Times New Roman"/>
          <w:sz w:val="28"/>
          <w:szCs w:val="24"/>
        </w:rPr>
        <w:t xml:space="preserve"> API Documentation – Responses API</w:t>
      </w:r>
    </w:p>
    <w:p w14:paraId="59042085"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13" w:tgtFrame="_new" w:history="1">
        <w:r w:rsidR="00370E1E" w:rsidRPr="00370E1E">
          <w:rPr>
            <w:rFonts w:ascii="Times New Roman" w:eastAsia="Times New Roman" w:hAnsi="Times New Roman" w:cs="Times New Roman"/>
            <w:color w:val="0000FF"/>
            <w:sz w:val="28"/>
            <w:szCs w:val="24"/>
            <w:u w:val="single"/>
          </w:rPr>
          <w:t>https://platform.openai.com/docs/api-reference/responses</w:t>
        </w:r>
      </w:hyperlink>
    </w:p>
    <w:p w14:paraId="0E606B3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Anthropic Documentation</w:t>
      </w:r>
    </w:p>
    <w:p w14:paraId="23FE72E7"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14" w:tgtFrame="_new" w:history="1">
        <w:r w:rsidR="00370E1E" w:rsidRPr="00370E1E">
          <w:rPr>
            <w:rFonts w:ascii="Times New Roman" w:eastAsia="Times New Roman" w:hAnsi="Times New Roman" w:cs="Times New Roman"/>
            <w:color w:val="0000FF"/>
            <w:sz w:val="28"/>
            <w:szCs w:val="24"/>
            <w:u w:val="single"/>
          </w:rPr>
          <w:t>https://docs.anthropic.com/</w:t>
        </w:r>
      </w:hyperlink>
    </w:p>
    <w:p w14:paraId="738AD1C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Google Cloud Vertex AI Documentation</w:t>
      </w:r>
    </w:p>
    <w:p w14:paraId="2F9F5CB2"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15" w:tgtFrame="_new" w:history="1">
        <w:r w:rsidR="00370E1E" w:rsidRPr="00370E1E">
          <w:rPr>
            <w:rFonts w:ascii="Times New Roman" w:eastAsia="Times New Roman" w:hAnsi="Times New Roman" w:cs="Times New Roman"/>
            <w:color w:val="0000FF"/>
            <w:sz w:val="28"/>
            <w:szCs w:val="24"/>
            <w:u w:val="single"/>
          </w:rPr>
          <w:t>https://cloud.google.com/vertex-ai/docs</w:t>
        </w:r>
      </w:hyperlink>
    </w:p>
    <w:p w14:paraId="0FB3ED9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Microsoft Azure AI Foundry Documentation</w:t>
      </w:r>
    </w:p>
    <w:p w14:paraId="04AD5913"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16" w:tgtFrame="_new" w:history="1">
        <w:r w:rsidR="00370E1E" w:rsidRPr="00370E1E">
          <w:rPr>
            <w:rFonts w:ascii="Times New Roman" w:eastAsia="Times New Roman" w:hAnsi="Times New Roman" w:cs="Times New Roman"/>
            <w:color w:val="0000FF"/>
            <w:sz w:val="28"/>
            <w:szCs w:val="24"/>
            <w:u w:val="single"/>
          </w:rPr>
          <w:t>https://learn.microsoft.com/azure/ai-foundry/</w:t>
        </w:r>
      </w:hyperlink>
    </w:p>
    <w:p w14:paraId="093EE46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Amazon Bedrock User Guide</w:t>
      </w:r>
    </w:p>
    <w:p w14:paraId="4CCC12BD"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17" w:tgtFrame="_new" w:history="1">
        <w:r w:rsidR="00370E1E" w:rsidRPr="00370E1E">
          <w:rPr>
            <w:rFonts w:ascii="Times New Roman" w:eastAsia="Times New Roman" w:hAnsi="Times New Roman" w:cs="Times New Roman"/>
            <w:color w:val="0000FF"/>
            <w:sz w:val="28"/>
            <w:szCs w:val="24"/>
            <w:u w:val="single"/>
          </w:rPr>
          <w:t>https://docs.aws.amazon.com/bedrock/</w:t>
        </w:r>
      </w:hyperlink>
    </w:p>
    <w:p w14:paraId="4BF7AAA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Amazon Bedrock API Reference</w:t>
      </w:r>
    </w:p>
    <w:p w14:paraId="775AF29A"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18" w:tgtFrame="_new" w:history="1">
        <w:r w:rsidR="00370E1E" w:rsidRPr="00370E1E">
          <w:rPr>
            <w:rFonts w:ascii="Times New Roman" w:eastAsia="Times New Roman" w:hAnsi="Times New Roman" w:cs="Times New Roman"/>
            <w:color w:val="0000FF"/>
            <w:sz w:val="28"/>
            <w:szCs w:val="24"/>
            <w:u w:val="single"/>
          </w:rPr>
          <w:t>https://docs.aws.amazon.com/bedrock/latest/APIReference/</w:t>
        </w:r>
      </w:hyperlink>
    </w:p>
    <w:p w14:paraId="7719FCA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Hugging Face Hub Documentation</w:t>
      </w:r>
    </w:p>
    <w:p w14:paraId="3AFE4C23"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19" w:tgtFrame="_new" w:history="1">
        <w:r w:rsidR="00370E1E" w:rsidRPr="00370E1E">
          <w:rPr>
            <w:rFonts w:ascii="Times New Roman" w:eastAsia="Times New Roman" w:hAnsi="Times New Roman" w:cs="Times New Roman"/>
            <w:color w:val="0000FF"/>
            <w:sz w:val="28"/>
            <w:szCs w:val="24"/>
            <w:u w:val="single"/>
          </w:rPr>
          <w:t>https://huggingface.co/docs</w:t>
        </w:r>
      </w:hyperlink>
    </w:p>
    <w:p w14:paraId="48BBC0D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proofErr w:type="spellStart"/>
      <w:r w:rsidRPr="00370E1E">
        <w:rPr>
          <w:rFonts w:ascii="Times New Roman" w:eastAsia="Times New Roman" w:hAnsi="Times New Roman" w:cs="Times New Roman"/>
          <w:sz w:val="28"/>
          <w:szCs w:val="24"/>
        </w:rPr>
        <w:t>OpenRouter</w:t>
      </w:r>
      <w:proofErr w:type="spellEnd"/>
      <w:r w:rsidRPr="00370E1E">
        <w:rPr>
          <w:rFonts w:ascii="Times New Roman" w:eastAsia="Times New Roman" w:hAnsi="Times New Roman" w:cs="Times New Roman"/>
          <w:sz w:val="28"/>
          <w:szCs w:val="24"/>
        </w:rPr>
        <w:t xml:space="preserve"> Documentation</w:t>
      </w:r>
    </w:p>
    <w:p w14:paraId="65E1E80C"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20" w:tgtFrame="_new" w:history="1">
        <w:r w:rsidR="00370E1E" w:rsidRPr="00370E1E">
          <w:rPr>
            <w:rFonts w:ascii="Times New Roman" w:eastAsia="Times New Roman" w:hAnsi="Times New Roman" w:cs="Times New Roman"/>
            <w:color w:val="0000FF"/>
            <w:sz w:val="28"/>
            <w:szCs w:val="24"/>
            <w:u w:val="single"/>
          </w:rPr>
          <w:t>https://openrouter.ai/docs</w:t>
        </w:r>
      </w:hyperlink>
    </w:p>
    <w:p w14:paraId="268FFC7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proofErr w:type="spellStart"/>
      <w:r w:rsidRPr="00370E1E">
        <w:rPr>
          <w:rFonts w:ascii="Times New Roman" w:eastAsia="Times New Roman" w:hAnsi="Times New Roman" w:cs="Times New Roman"/>
          <w:sz w:val="28"/>
          <w:szCs w:val="24"/>
        </w:rPr>
        <w:t>LiteLLM</w:t>
      </w:r>
      <w:proofErr w:type="spellEnd"/>
      <w:r w:rsidRPr="00370E1E">
        <w:rPr>
          <w:rFonts w:ascii="Times New Roman" w:eastAsia="Times New Roman" w:hAnsi="Times New Roman" w:cs="Times New Roman"/>
          <w:sz w:val="28"/>
          <w:szCs w:val="24"/>
        </w:rPr>
        <w:t xml:space="preserve"> Documentation</w:t>
      </w:r>
    </w:p>
    <w:p w14:paraId="7CD413A0"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21" w:tgtFrame="_new" w:history="1">
        <w:r w:rsidR="00370E1E" w:rsidRPr="00370E1E">
          <w:rPr>
            <w:rFonts w:ascii="Times New Roman" w:eastAsia="Times New Roman" w:hAnsi="Times New Roman" w:cs="Times New Roman"/>
            <w:color w:val="0000FF"/>
            <w:sz w:val="28"/>
            <w:szCs w:val="24"/>
            <w:u w:val="single"/>
          </w:rPr>
          <w:t>https://docs.litellm.ai/</w:t>
        </w:r>
      </w:hyperlink>
    </w:p>
    <w:p w14:paraId="6F01D12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Model Context Protocol Specification</w:t>
      </w:r>
    </w:p>
    <w:p w14:paraId="33C14133"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22" w:tgtFrame="_new" w:history="1">
        <w:r w:rsidR="00370E1E" w:rsidRPr="00370E1E">
          <w:rPr>
            <w:rFonts w:ascii="Times New Roman" w:eastAsia="Times New Roman" w:hAnsi="Times New Roman" w:cs="Times New Roman"/>
            <w:color w:val="0000FF"/>
            <w:sz w:val="28"/>
            <w:szCs w:val="24"/>
            <w:u w:val="single"/>
          </w:rPr>
          <w:t>https://modelcontextprotocol.io/</w:t>
        </w:r>
      </w:hyperlink>
    </w:p>
    <w:p w14:paraId="17EF0364"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Engineering Blogs and Technical Articles</w:t>
      </w:r>
    </w:p>
    <w:p w14:paraId="4761E03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proofErr w:type="spellStart"/>
      <w:r w:rsidRPr="00370E1E">
        <w:rPr>
          <w:rFonts w:ascii="Times New Roman" w:eastAsia="Times New Roman" w:hAnsi="Times New Roman" w:cs="Times New Roman"/>
          <w:sz w:val="28"/>
          <w:szCs w:val="24"/>
        </w:rPr>
        <w:t>OpenAI</w:t>
      </w:r>
      <w:proofErr w:type="spellEnd"/>
      <w:r w:rsidRPr="00370E1E">
        <w:rPr>
          <w:rFonts w:ascii="Times New Roman" w:eastAsia="Times New Roman" w:hAnsi="Times New Roman" w:cs="Times New Roman"/>
          <w:sz w:val="28"/>
          <w:szCs w:val="24"/>
        </w:rPr>
        <w:t xml:space="preserve"> Engineering Blog</w:t>
      </w:r>
    </w:p>
    <w:p w14:paraId="10E312AB"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23" w:tgtFrame="_new" w:history="1">
        <w:r w:rsidR="00370E1E" w:rsidRPr="00370E1E">
          <w:rPr>
            <w:rFonts w:ascii="Times New Roman" w:eastAsia="Times New Roman" w:hAnsi="Times New Roman" w:cs="Times New Roman"/>
            <w:color w:val="0000FF"/>
            <w:sz w:val="28"/>
            <w:szCs w:val="24"/>
            <w:u w:val="single"/>
          </w:rPr>
          <w:t>https://openai.com/news/</w:t>
        </w:r>
      </w:hyperlink>
    </w:p>
    <w:p w14:paraId="724FF38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Anthropic Engineering and Research</w:t>
      </w:r>
    </w:p>
    <w:p w14:paraId="003F425E"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24" w:tgtFrame="_new" w:history="1">
        <w:r w:rsidR="00370E1E" w:rsidRPr="00370E1E">
          <w:rPr>
            <w:rFonts w:ascii="Times New Roman" w:eastAsia="Times New Roman" w:hAnsi="Times New Roman" w:cs="Times New Roman"/>
            <w:color w:val="0000FF"/>
            <w:sz w:val="28"/>
            <w:szCs w:val="24"/>
            <w:u w:val="single"/>
          </w:rPr>
          <w:t>https://www.anthropic.com/engineering</w:t>
        </w:r>
      </w:hyperlink>
    </w:p>
    <w:p w14:paraId="15E1B10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Google Cloud Architecture Center</w:t>
      </w:r>
    </w:p>
    <w:p w14:paraId="0E51C2E0"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25" w:tgtFrame="_new" w:history="1">
        <w:r w:rsidR="00370E1E" w:rsidRPr="00370E1E">
          <w:rPr>
            <w:rFonts w:ascii="Times New Roman" w:eastAsia="Times New Roman" w:hAnsi="Times New Roman" w:cs="Times New Roman"/>
            <w:color w:val="0000FF"/>
            <w:sz w:val="28"/>
            <w:szCs w:val="24"/>
            <w:u w:val="single"/>
          </w:rPr>
          <w:t>https://cloud.google.com/architecture</w:t>
        </w:r>
      </w:hyperlink>
    </w:p>
    <w:p w14:paraId="71ADBEF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AWS Machine Learning Blog</w:t>
      </w:r>
    </w:p>
    <w:p w14:paraId="31848AA4"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26" w:tgtFrame="_new" w:history="1">
        <w:r w:rsidR="00370E1E" w:rsidRPr="00370E1E">
          <w:rPr>
            <w:rFonts w:ascii="Times New Roman" w:eastAsia="Times New Roman" w:hAnsi="Times New Roman" w:cs="Times New Roman"/>
            <w:color w:val="0000FF"/>
            <w:sz w:val="28"/>
            <w:szCs w:val="24"/>
            <w:u w:val="single"/>
          </w:rPr>
          <w:t>https://aws.amazon.com/blogs/machine-learning/</w:t>
        </w:r>
      </w:hyperlink>
    </w:p>
    <w:p w14:paraId="44C7915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Microsoft Azure AI Blog</w:t>
      </w:r>
    </w:p>
    <w:p w14:paraId="37208A2E"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27" w:tgtFrame="_new" w:history="1">
        <w:r w:rsidR="00370E1E" w:rsidRPr="00370E1E">
          <w:rPr>
            <w:rFonts w:ascii="Times New Roman" w:eastAsia="Times New Roman" w:hAnsi="Times New Roman" w:cs="Times New Roman"/>
            <w:color w:val="0000FF"/>
            <w:sz w:val="28"/>
            <w:szCs w:val="24"/>
            <w:u w:val="single"/>
          </w:rPr>
          <w:t>https://azure.microsoft.com/blog/</w:t>
        </w:r>
      </w:hyperlink>
    </w:p>
    <w:p w14:paraId="7661E80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Hugging Face Blog</w:t>
      </w:r>
    </w:p>
    <w:p w14:paraId="250FC5F7"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28" w:tgtFrame="_new" w:history="1">
        <w:r w:rsidR="00370E1E" w:rsidRPr="00370E1E">
          <w:rPr>
            <w:rFonts w:ascii="Times New Roman" w:eastAsia="Times New Roman" w:hAnsi="Times New Roman" w:cs="Times New Roman"/>
            <w:color w:val="0000FF"/>
            <w:sz w:val="28"/>
            <w:szCs w:val="24"/>
            <w:u w:val="single"/>
          </w:rPr>
          <w:t>https://huggingface.co/blog</w:t>
        </w:r>
      </w:hyperlink>
    </w:p>
    <w:p w14:paraId="692A51C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Cloudflare Blog – AI and Inference</w:t>
      </w:r>
    </w:p>
    <w:p w14:paraId="1790DA60"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29" w:tgtFrame="_new" w:history="1">
        <w:r w:rsidR="00370E1E" w:rsidRPr="00370E1E">
          <w:rPr>
            <w:rFonts w:ascii="Times New Roman" w:eastAsia="Times New Roman" w:hAnsi="Times New Roman" w:cs="Times New Roman"/>
            <w:color w:val="0000FF"/>
            <w:sz w:val="28"/>
            <w:szCs w:val="24"/>
            <w:u w:val="single"/>
          </w:rPr>
          <w:t>https://blog.cloudflare.com/tag/ai/</w:t>
        </w:r>
      </w:hyperlink>
    </w:p>
    <w:p w14:paraId="2B16517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NVIDIA Technical Blog – Generative AI</w:t>
      </w:r>
    </w:p>
    <w:p w14:paraId="12412698"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30" w:tgtFrame="_new" w:history="1">
        <w:r w:rsidR="00370E1E" w:rsidRPr="00370E1E">
          <w:rPr>
            <w:rFonts w:ascii="Times New Roman" w:eastAsia="Times New Roman" w:hAnsi="Times New Roman" w:cs="Times New Roman"/>
            <w:color w:val="0000FF"/>
            <w:sz w:val="28"/>
            <w:szCs w:val="24"/>
            <w:u w:val="single"/>
          </w:rPr>
          <w:t>https://developer.nvidia.com/blog/</w:t>
        </w:r>
      </w:hyperlink>
    </w:p>
    <w:p w14:paraId="68724432"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Benchmarks and Evaluation Resources</w:t>
      </w:r>
    </w:p>
    <w:p w14:paraId="02AF2E1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Artificial Analysis</w:t>
      </w:r>
    </w:p>
    <w:p w14:paraId="15883932"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31" w:tgtFrame="_new" w:history="1">
        <w:r w:rsidR="00370E1E" w:rsidRPr="00370E1E">
          <w:rPr>
            <w:rFonts w:ascii="Times New Roman" w:eastAsia="Times New Roman" w:hAnsi="Times New Roman" w:cs="Times New Roman"/>
            <w:color w:val="0000FF"/>
            <w:sz w:val="28"/>
            <w:szCs w:val="24"/>
            <w:u w:val="single"/>
          </w:rPr>
          <w:t>https://artificialanalysis.ai/</w:t>
        </w:r>
      </w:hyperlink>
    </w:p>
    <w:p w14:paraId="2606EAE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proofErr w:type="spellStart"/>
      <w:r w:rsidRPr="00370E1E">
        <w:rPr>
          <w:rFonts w:ascii="Times New Roman" w:eastAsia="Times New Roman" w:hAnsi="Times New Roman" w:cs="Times New Roman"/>
          <w:sz w:val="28"/>
          <w:szCs w:val="24"/>
        </w:rPr>
        <w:t>LiveBench</w:t>
      </w:r>
      <w:proofErr w:type="spellEnd"/>
    </w:p>
    <w:p w14:paraId="726EE2E1"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32" w:tgtFrame="_new" w:history="1">
        <w:r w:rsidR="00370E1E" w:rsidRPr="00370E1E">
          <w:rPr>
            <w:rFonts w:ascii="Times New Roman" w:eastAsia="Times New Roman" w:hAnsi="Times New Roman" w:cs="Times New Roman"/>
            <w:color w:val="0000FF"/>
            <w:sz w:val="28"/>
            <w:szCs w:val="24"/>
            <w:u w:val="single"/>
          </w:rPr>
          <w:t>https://livebench.ai/</w:t>
        </w:r>
      </w:hyperlink>
    </w:p>
    <w:p w14:paraId="2302C3B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SWE-bench</w:t>
      </w:r>
    </w:p>
    <w:p w14:paraId="3C1AB4DF"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33" w:tgtFrame="_new" w:history="1">
        <w:r w:rsidR="00370E1E" w:rsidRPr="00370E1E">
          <w:rPr>
            <w:rFonts w:ascii="Times New Roman" w:eastAsia="Times New Roman" w:hAnsi="Times New Roman" w:cs="Times New Roman"/>
            <w:color w:val="0000FF"/>
            <w:sz w:val="28"/>
            <w:szCs w:val="24"/>
            <w:u w:val="single"/>
          </w:rPr>
          <w:t>https://www.swebench.com/</w:t>
        </w:r>
      </w:hyperlink>
    </w:p>
    <w:p w14:paraId="679998B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HELM</w:t>
      </w:r>
    </w:p>
    <w:p w14:paraId="0A8580AD"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34" w:tgtFrame="_new" w:history="1">
        <w:r w:rsidR="00370E1E" w:rsidRPr="00370E1E">
          <w:rPr>
            <w:rFonts w:ascii="Times New Roman" w:eastAsia="Times New Roman" w:hAnsi="Times New Roman" w:cs="Times New Roman"/>
            <w:color w:val="0000FF"/>
            <w:sz w:val="28"/>
            <w:szCs w:val="24"/>
            <w:u w:val="single"/>
          </w:rPr>
          <w:t>https://crfm.stanford.edu/helm/</w:t>
        </w:r>
      </w:hyperlink>
    </w:p>
    <w:p w14:paraId="3EA6238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Humanity's Last Exam</w:t>
      </w:r>
    </w:p>
    <w:p w14:paraId="06AE7C44"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35" w:tgtFrame="_new" w:history="1">
        <w:r w:rsidR="00370E1E" w:rsidRPr="00370E1E">
          <w:rPr>
            <w:rFonts w:ascii="Times New Roman" w:eastAsia="Times New Roman" w:hAnsi="Times New Roman" w:cs="Times New Roman"/>
            <w:color w:val="0000FF"/>
            <w:sz w:val="28"/>
            <w:szCs w:val="24"/>
            <w:u w:val="single"/>
          </w:rPr>
          <w:t>https://lastexam.ai/</w:t>
        </w:r>
      </w:hyperlink>
    </w:p>
    <w:p w14:paraId="6EE1FE56"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Standards and Specifications</w:t>
      </w:r>
    </w:p>
    <w:p w14:paraId="6EE72DF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proofErr w:type="spellStart"/>
      <w:r w:rsidRPr="00370E1E">
        <w:rPr>
          <w:rFonts w:ascii="Times New Roman" w:eastAsia="Times New Roman" w:hAnsi="Times New Roman" w:cs="Times New Roman"/>
          <w:sz w:val="28"/>
          <w:szCs w:val="24"/>
        </w:rPr>
        <w:t>OpenAPI</w:t>
      </w:r>
      <w:proofErr w:type="spellEnd"/>
      <w:r w:rsidRPr="00370E1E">
        <w:rPr>
          <w:rFonts w:ascii="Times New Roman" w:eastAsia="Times New Roman" w:hAnsi="Times New Roman" w:cs="Times New Roman"/>
          <w:sz w:val="28"/>
          <w:szCs w:val="24"/>
        </w:rPr>
        <w:t xml:space="preserve"> Specification</w:t>
      </w:r>
    </w:p>
    <w:p w14:paraId="35DA4467"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36" w:tgtFrame="_new" w:history="1">
        <w:r w:rsidR="00370E1E" w:rsidRPr="00370E1E">
          <w:rPr>
            <w:rFonts w:ascii="Times New Roman" w:eastAsia="Times New Roman" w:hAnsi="Times New Roman" w:cs="Times New Roman"/>
            <w:color w:val="0000FF"/>
            <w:sz w:val="28"/>
            <w:szCs w:val="24"/>
            <w:u w:val="single"/>
          </w:rPr>
          <w:t>https://spec.openapis.org/</w:t>
        </w:r>
      </w:hyperlink>
    </w:p>
    <w:p w14:paraId="117EF2C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JSON Schema Specification</w:t>
      </w:r>
    </w:p>
    <w:p w14:paraId="4E3430C1"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37" w:tgtFrame="_new" w:history="1">
        <w:r w:rsidR="00370E1E" w:rsidRPr="00370E1E">
          <w:rPr>
            <w:rFonts w:ascii="Times New Roman" w:eastAsia="Times New Roman" w:hAnsi="Times New Roman" w:cs="Times New Roman"/>
            <w:color w:val="0000FF"/>
            <w:sz w:val="28"/>
            <w:szCs w:val="24"/>
            <w:u w:val="single"/>
          </w:rPr>
          <w:t>https://json-schema.org/</w:t>
        </w:r>
      </w:hyperlink>
    </w:p>
    <w:p w14:paraId="433F370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OAuth 2.0 Authorization Framework (RFC 6749)</w:t>
      </w:r>
    </w:p>
    <w:p w14:paraId="6B2DE180"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38" w:tgtFrame="_new" w:history="1">
        <w:r w:rsidR="00370E1E" w:rsidRPr="00370E1E">
          <w:rPr>
            <w:rFonts w:ascii="Times New Roman" w:eastAsia="Times New Roman" w:hAnsi="Times New Roman" w:cs="Times New Roman"/>
            <w:color w:val="0000FF"/>
            <w:sz w:val="28"/>
            <w:szCs w:val="24"/>
            <w:u w:val="single"/>
          </w:rPr>
          <w:t>https://www.rfc-editor.org/rfc/rfc6749</w:t>
        </w:r>
      </w:hyperlink>
    </w:p>
    <w:p w14:paraId="5A30D7E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OAuth 2.0 Bearer Token Usage (RFC 6750)</w:t>
      </w:r>
    </w:p>
    <w:p w14:paraId="1ED84C48"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39" w:tgtFrame="_new" w:history="1">
        <w:r w:rsidR="00370E1E" w:rsidRPr="00370E1E">
          <w:rPr>
            <w:rFonts w:ascii="Times New Roman" w:eastAsia="Times New Roman" w:hAnsi="Times New Roman" w:cs="Times New Roman"/>
            <w:color w:val="0000FF"/>
            <w:sz w:val="28"/>
            <w:szCs w:val="24"/>
            <w:u w:val="single"/>
          </w:rPr>
          <w:t>https://www.rfc-editor.org/rfc/rfc6750</w:t>
        </w:r>
      </w:hyperlink>
    </w:p>
    <w:p w14:paraId="6AF32DE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Server-Sent Events (HTML Living Standard)</w:t>
      </w:r>
    </w:p>
    <w:p w14:paraId="0E362A7B" w14:textId="77777777" w:rsidR="00370E1E" w:rsidRPr="00370E1E" w:rsidRDefault="004538ED" w:rsidP="00370E1E">
      <w:pPr>
        <w:spacing w:before="100" w:beforeAutospacing="1" w:after="100" w:afterAutospacing="1" w:line="240" w:lineRule="auto"/>
        <w:rPr>
          <w:rFonts w:ascii="Times New Roman" w:eastAsia="Times New Roman" w:hAnsi="Times New Roman" w:cs="Times New Roman"/>
          <w:sz w:val="28"/>
          <w:szCs w:val="24"/>
        </w:rPr>
      </w:pPr>
      <w:hyperlink r:id="rId40" w:tgtFrame="_new" w:history="1">
        <w:r w:rsidR="00370E1E" w:rsidRPr="00370E1E">
          <w:rPr>
            <w:rFonts w:ascii="Times New Roman" w:eastAsia="Times New Roman" w:hAnsi="Times New Roman" w:cs="Times New Roman"/>
            <w:color w:val="0000FF"/>
            <w:sz w:val="28"/>
            <w:szCs w:val="24"/>
            <w:u w:val="single"/>
          </w:rPr>
          <w:t>https://html.spec.whatwg.org/multipage/server-sent-events.html</w:t>
        </w:r>
      </w:hyperlink>
    </w:p>
    <w:p w14:paraId="41D0E21A" w14:textId="7A07C06F" w:rsidR="00FB1517"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references provide the evidence base for the architectural concepts presented throughout this chapter and serve as primary resources for readers wishing to explore provider documentation, evaluation methodologies, enterprise integration patterns, and evolving industry standards in greater technical depth.</w:t>
      </w:r>
    </w:p>
    <w:sectPr w:rsidR="00FB1517" w:rsidRPr="00370E1E" w:rsidSect="00B3619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04998"/>
    <w:multiLevelType w:val="multilevel"/>
    <w:tmpl w:val="1B20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81CC4"/>
    <w:multiLevelType w:val="multilevel"/>
    <w:tmpl w:val="7C32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613D7"/>
    <w:multiLevelType w:val="multilevel"/>
    <w:tmpl w:val="813A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76845"/>
    <w:multiLevelType w:val="multilevel"/>
    <w:tmpl w:val="E366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52FF5"/>
    <w:multiLevelType w:val="multilevel"/>
    <w:tmpl w:val="1B86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C2C4D"/>
    <w:multiLevelType w:val="multilevel"/>
    <w:tmpl w:val="9C72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60A73"/>
    <w:multiLevelType w:val="multilevel"/>
    <w:tmpl w:val="3742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164DA7"/>
    <w:multiLevelType w:val="multilevel"/>
    <w:tmpl w:val="693A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9778B"/>
    <w:multiLevelType w:val="multilevel"/>
    <w:tmpl w:val="DD28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117E7"/>
    <w:multiLevelType w:val="multilevel"/>
    <w:tmpl w:val="610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381F28"/>
    <w:multiLevelType w:val="multilevel"/>
    <w:tmpl w:val="FEFA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28432D"/>
    <w:multiLevelType w:val="multilevel"/>
    <w:tmpl w:val="BCB2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544EAB"/>
    <w:multiLevelType w:val="multilevel"/>
    <w:tmpl w:val="9C62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4"/>
  </w:num>
  <w:num w:numId="4">
    <w:abstractNumId w:val="5"/>
  </w:num>
  <w:num w:numId="5">
    <w:abstractNumId w:val="7"/>
  </w:num>
  <w:num w:numId="6">
    <w:abstractNumId w:val="2"/>
  </w:num>
  <w:num w:numId="7">
    <w:abstractNumId w:val="6"/>
  </w:num>
  <w:num w:numId="8">
    <w:abstractNumId w:val="11"/>
  </w:num>
  <w:num w:numId="9">
    <w:abstractNumId w:val="10"/>
  </w:num>
  <w:num w:numId="10">
    <w:abstractNumId w:val="3"/>
  </w:num>
  <w:num w:numId="11">
    <w:abstractNumId w:val="0"/>
  </w:num>
  <w:num w:numId="12">
    <w:abstractNumId w:val="12"/>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BC3"/>
    <w:rsid w:val="0017187C"/>
    <w:rsid w:val="00370E1E"/>
    <w:rsid w:val="003A510B"/>
    <w:rsid w:val="004538ED"/>
    <w:rsid w:val="007E6BC3"/>
    <w:rsid w:val="00B36192"/>
    <w:rsid w:val="00FB1517"/>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79A45"/>
  <w15:chartTrackingRefBased/>
  <w15:docId w15:val="{48FAE9B7-C33A-4032-B0E3-1E569D1E1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70E1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70E1E"/>
    <w:pPr>
      <w:keepNext/>
      <w:keepLines/>
      <w:spacing w:before="40" w:after="0"/>
      <w:outlineLvl w:val="1"/>
    </w:pPr>
    <w:rPr>
      <w:rFonts w:ascii="Calibri Light" w:eastAsia="Times New Roman" w:hAnsi="Calibri Light" w:cs="Times New Roman"/>
      <w:color w:val="2F5496"/>
      <w:sz w:val="26"/>
      <w:szCs w:val="26"/>
    </w:rPr>
  </w:style>
  <w:style w:type="paragraph" w:styleId="Heading3">
    <w:name w:val="heading 3"/>
    <w:basedOn w:val="Normal"/>
    <w:next w:val="Normal"/>
    <w:link w:val="Heading3Char"/>
    <w:uiPriority w:val="9"/>
    <w:semiHidden/>
    <w:unhideWhenUsed/>
    <w:qFormat/>
    <w:rsid w:val="00370E1E"/>
    <w:pPr>
      <w:keepNext/>
      <w:keepLines/>
      <w:spacing w:before="40" w:after="0"/>
      <w:outlineLvl w:val="2"/>
    </w:pPr>
    <w:rPr>
      <w:rFonts w:ascii="Calibri Light" w:eastAsia="Times New Roman" w:hAnsi="Calibri Light" w:cs="Times New Roman"/>
      <w:color w:val="1F3763"/>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E1E"/>
    <w:rPr>
      <w:rFonts w:ascii="Times New Roman" w:eastAsia="Times New Roman" w:hAnsi="Times New Roman" w:cs="Times New Roman"/>
      <w:b/>
      <w:bCs/>
      <w:kern w:val="36"/>
      <w:sz w:val="48"/>
      <w:szCs w:val="48"/>
    </w:rPr>
  </w:style>
  <w:style w:type="paragraph" w:customStyle="1" w:styleId="21">
    <w:name w:val="Заголовок 21"/>
    <w:basedOn w:val="Normal"/>
    <w:next w:val="Normal"/>
    <w:uiPriority w:val="9"/>
    <w:semiHidden/>
    <w:unhideWhenUsed/>
    <w:qFormat/>
    <w:rsid w:val="00370E1E"/>
    <w:pPr>
      <w:keepNext/>
      <w:keepLines/>
      <w:spacing w:before="40" w:after="0"/>
      <w:outlineLvl w:val="1"/>
    </w:pPr>
    <w:rPr>
      <w:rFonts w:ascii="Calibri Light" w:eastAsia="Times New Roman" w:hAnsi="Calibri Light" w:cs="Times New Roman"/>
      <w:color w:val="2F5496"/>
      <w:sz w:val="26"/>
      <w:szCs w:val="26"/>
    </w:rPr>
  </w:style>
  <w:style w:type="paragraph" w:customStyle="1" w:styleId="31">
    <w:name w:val="Заголовок 31"/>
    <w:basedOn w:val="Normal"/>
    <w:next w:val="Normal"/>
    <w:uiPriority w:val="9"/>
    <w:semiHidden/>
    <w:unhideWhenUsed/>
    <w:qFormat/>
    <w:rsid w:val="00370E1E"/>
    <w:pPr>
      <w:keepNext/>
      <w:keepLines/>
      <w:spacing w:before="40" w:after="0"/>
      <w:outlineLvl w:val="2"/>
    </w:pPr>
    <w:rPr>
      <w:rFonts w:ascii="Calibri Light" w:eastAsia="Times New Roman" w:hAnsi="Calibri Light" w:cs="Times New Roman"/>
      <w:color w:val="1F3763"/>
      <w:sz w:val="24"/>
      <w:szCs w:val="24"/>
    </w:rPr>
  </w:style>
  <w:style w:type="numbering" w:customStyle="1" w:styleId="1">
    <w:name w:val="Нет списка1"/>
    <w:next w:val="NoList"/>
    <w:uiPriority w:val="99"/>
    <w:semiHidden/>
    <w:unhideWhenUsed/>
    <w:rsid w:val="00370E1E"/>
  </w:style>
  <w:style w:type="character" w:customStyle="1" w:styleId="Heading2Char">
    <w:name w:val="Heading 2 Char"/>
    <w:basedOn w:val="DefaultParagraphFont"/>
    <w:link w:val="Heading2"/>
    <w:uiPriority w:val="9"/>
    <w:semiHidden/>
    <w:rsid w:val="00370E1E"/>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semiHidden/>
    <w:rsid w:val="00370E1E"/>
    <w:rPr>
      <w:rFonts w:ascii="Calibri Light" w:eastAsia="Times New Roman" w:hAnsi="Calibri Light" w:cs="Times New Roman"/>
      <w:color w:val="1F3763"/>
      <w:sz w:val="24"/>
      <w:szCs w:val="24"/>
    </w:rPr>
  </w:style>
  <w:style w:type="paragraph" w:styleId="NormalWeb">
    <w:name w:val="Normal (Web)"/>
    <w:basedOn w:val="Normal"/>
    <w:uiPriority w:val="99"/>
    <w:semiHidden/>
    <w:unhideWhenUsed/>
    <w:rsid w:val="00370E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70E1E"/>
    <w:rPr>
      <w:b/>
      <w:bCs/>
    </w:rPr>
  </w:style>
  <w:style w:type="character" w:styleId="Emphasis">
    <w:name w:val="Emphasis"/>
    <w:basedOn w:val="DefaultParagraphFont"/>
    <w:uiPriority w:val="20"/>
    <w:qFormat/>
    <w:rsid w:val="00370E1E"/>
    <w:rPr>
      <w:i/>
      <w:iCs/>
    </w:rPr>
  </w:style>
  <w:style w:type="paragraph" w:customStyle="1" w:styleId="10">
    <w:name w:val="Без интервала1"/>
    <w:next w:val="NoSpacing"/>
    <w:uiPriority w:val="1"/>
    <w:qFormat/>
    <w:rsid w:val="00370E1E"/>
    <w:pPr>
      <w:spacing w:after="0" w:line="240" w:lineRule="auto"/>
    </w:pPr>
  </w:style>
  <w:style w:type="character" w:customStyle="1" w:styleId="whitespace-normal">
    <w:name w:val="whitespace-normal"/>
    <w:basedOn w:val="DefaultParagraphFont"/>
    <w:rsid w:val="00370E1E"/>
  </w:style>
  <w:style w:type="character" w:styleId="Hyperlink">
    <w:name w:val="Hyperlink"/>
    <w:basedOn w:val="DefaultParagraphFont"/>
    <w:uiPriority w:val="99"/>
    <w:semiHidden/>
    <w:unhideWhenUsed/>
    <w:rsid w:val="00370E1E"/>
    <w:rPr>
      <w:color w:val="0000FF"/>
      <w:u w:val="single"/>
    </w:rPr>
  </w:style>
  <w:style w:type="character" w:customStyle="1" w:styleId="11">
    <w:name w:val="Просмотренная гиперссылка1"/>
    <w:basedOn w:val="DefaultParagraphFont"/>
    <w:uiPriority w:val="99"/>
    <w:semiHidden/>
    <w:unhideWhenUsed/>
    <w:rsid w:val="00370E1E"/>
    <w:rPr>
      <w:color w:val="954F72"/>
      <w:u w:val="single"/>
    </w:rPr>
  </w:style>
  <w:style w:type="character" w:customStyle="1" w:styleId="210">
    <w:name w:val="Заголовок 2 Знак1"/>
    <w:basedOn w:val="DefaultParagraphFont"/>
    <w:uiPriority w:val="9"/>
    <w:semiHidden/>
    <w:rsid w:val="00370E1E"/>
    <w:rPr>
      <w:rFonts w:asciiTheme="majorHAnsi" w:eastAsiaTheme="majorEastAsia" w:hAnsiTheme="majorHAnsi" w:cstheme="majorBidi"/>
      <w:color w:val="2F5496" w:themeColor="accent1" w:themeShade="BF"/>
      <w:sz w:val="26"/>
      <w:szCs w:val="26"/>
    </w:rPr>
  </w:style>
  <w:style w:type="character" w:customStyle="1" w:styleId="310">
    <w:name w:val="Заголовок 3 Знак1"/>
    <w:basedOn w:val="DefaultParagraphFont"/>
    <w:uiPriority w:val="9"/>
    <w:semiHidden/>
    <w:rsid w:val="00370E1E"/>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370E1E"/>
    <w:pPr>
      <w:spacing w:after="0" w:line="240" w:lineRule="auto"/>
    </w:pPr>
  </w:style>
  <w:style w:type="character" w:styleId="FollowedHyperlink">
    <w:name w:val="FollowedHyperlink"/>
    <w:basedOn w:val="DefaultParagraphFont"/>
    <w:uiPriority w:val="99"/>
    <w:semiHidden/>
    <w:unhideWhenUsed/>
    <w:rsid w:val="00370E1E"/>
    <w:rPr>
      <w:color w:val="954F72" w:themeColor="followedHyperlink"/>
      <w:u w:val="single"/>
    </w:rPr>
  </w:style>
  <w:style w:type="character" w:styleId="CommentReference">
    <w:name w:val="annotation reference"/>
    <w:basedOn w:val="DefaultParagraphFont"/>
    <w:uiPriority w:val="99"/>
    <w:semiHidden/>
    <w:unhideWhenUsed/>
    <w:rsid w:val="0017187C"/>
    <w:rPr>
      <w:sz w:val="16"/>
      <w:szCs w:val="16"/>
    </w:rPr>
  </w:style>
  <w:style w:type="paragraph" w:styleId="CommentText">
    <w:name w:val="annotation text"/>
    <w:basedOn w:val="Normal"/>
    <w:link w:val="CommentTextChar"/>
    <w:uiPriority w:val="99"/>
    <w:semiHidden/>
    <w:unhideWhenUsed/>
    <w:rsid w:val="0017187C"/>
    <w:pPr>
      <w:spacing w:line="240" w:lineRule="auto"/>
    </w:pPr>
    <w:rPr>
      <w:sz w:val="20"/>
      <w:szCs w:val="20"/>
    </w:rPr>
  </w:style>
  <w:style w:type="character" w:customStyle="1" w:styleId="CommentTextChar">
    <w:name w:val="Comment Text Char"/>
    <w:basedOn w:val="DefaultParagraphFont"/>
    <w:link w:val="CommentText"/>
    <w:uiPriority w:val="99"/>
    <w:semiHidden/>
    <w:rsid w:val="0017187C"/>
    <w:rPr>
      <w:sz w:val="20"/>
      <w:szCs w:val="20"/>
    </w:rPr>
  </w:style>
  <w:style w:type="paragraph" w:styleId="CommentSubject">
    <w:name w:val="annotation subject"/>
    <w:basedOn w:val="CommentText"/>
    <w:next w:val="CommentText"/>
    <w:link w:val="CommentSubjectChar"/>
    <w:uiPriority w:val="99"/>
    <w:semiHidden/>
    <w:unhideWhenUsed/>
    <w:rsid w:val="0017187C"/>
    <w:rPr>
      <w:b/>
      <w:bCs/>
    </w:rPr>
  </w:style>
  <w:style w:type="character" w:customStyle="1" w:styleId="CommentSubjectChar">
    <w:name w:val="Comment Subject Char"/>
    <w:basedOn w:val="CommentTextChar"/>
    <w:link w:val="CommentSubject"/>
    <w:uiPriority w:val="99"/>
    <w:semiHidden/>
    <w:rsid w:val="0017187C"/>
    <w:rPr>
      <w:b/>
      <w:bCs/>
      <w:sz w:val="20"/>
      <w:szCs w:val="20"/>
    </w:rPr>
  </w:style>
  <w:style w:type="paragraph" w:styleId="Title">
    <w:name w:val="Title"/>
    <w:basedOn w:val="Normal"/>
    <w:next w:val="Normal"/>
    <w:link w:val="TitleChar"/>
    <w:uiPriority w:val="10"/>
    <w:qFormat/>
    <w:rsid w:val="004538E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8E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5852474">
      <w:bodyDiv w:val="1"/>
      <w:marLeft w:val="0"/>
      <w:marRight w:val="0"/>
      <w:marTop w:val="0"/>
      <w:marBottom w:val="0"/>
      <w:divBdr>
        <w:top w:val="none" w:sz="0" w:space="0" w:color="auto"/>
        <w:left w:val="none" w:sz="0" w:space="0" w:color="auto"/>
        <w:bottom w:val="none" w:sz="0" w:space="0" w:color="auto"/>
        <w:right w:val="none" w:sz="0" w:space="0" w:color="auto"/>
      </w:divBdr>
      <w:divsChild>
        <w:div w:id="1134636675">
          <w:marLeft w:val="0"/>
          <w:marRight w:val="0"/>
          <w:marTop w:val="0"/>
          <w:marBottom w:val="0"/>
          <w:divBdr>
            <w:top w:val="none" w:sz="0" w:space="0" w:color="auto"/>
            <w:left w:val="none" w:sz="0" w:space="0" w:color="auto"/>
            <w:bottom w:val="none" w:sz="0" w:space="0" w:color="auto"/>
            <w:right w:val="none" w:sz="0" w:space="0" w:color="auto"/>
          </w:divBdr>
          <w:divsChild>
            <w:div w:id="10662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latform.openai.com/docs/api-reference/responses" TargetMode="External"/><Relationship Id="rId18" Type="http://schemas.openxmlformats.org/officeDocument/2006/relationships/hyperlink" Target="https://docs.aws.amazon.com/bedrock/latest/APIReference/" TargetMode="External"/><Relationship Id="rId26" Type="http://schemas.openxmlformats.org/officeDocument/2006/relationships/hyperlink" Target="https://aws.amazon.com/blogs/machine-learning/" TargetMode="External"/><Relationship Id="rId39" Type="http://schemas.openxmlformats.org/officeDocument/2006/relationships/hyperlink" Target="https://www.rfc-editor.org/rfc/rfc6750" TargetMode="External"/><Relationship Id="rId21" Type="http://schemas.openxmlformats.org/officeDocument/2006/relationships/hyperlink" Target="https://docs.litellm.ai/" TargetMode="External"/><Relationship Id="rId34" Type="http://schemas.openxmlformats.org/officeDocument/2006/relationships/hyperlink" Target="https://crfm.stanford.edu/helm/" TargetMode="External"/><Relationship Id="rId42" Type="http://schemas.openxmlformats.org/officeDocument/2006/relationships/theme" Target="theme/theme1.xml"/><Relationship Id="rId7" Type="http://schemas.openxmlformats.org/officeDocument/2006/relationships/hyperlink" Target="https://arxiv.org/abs/2303.08774" TargetMode="External"/><Relationship Id="rId2" Type="http://schemas.openxmlformats.org/officeDocument/2006/relationships/styles" Target="styles.xml"/><Relationship Id="rId16" Type="http://schemas.openxmlformats.org/officeDocument/2006/relationships/hyperlink" Target="https://learn.microsoft.com/azure/ai-foundry/" TargetMode="External"/><Relationship Id="rId20" Type="http://schemas.openxmlformats.org/officeDocument/2006/relationships/hyperlink" Target="https://openrouter.ai/docs" TargetMode="External"/><Relationship Id="rId29" Type="http://schemas.openxmlformats.org/officeDocument/2006/relationships/hyperlink" Target="https://blog.cloudflare.com/tag/ai/"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rxiv.org/abs/2206.07682" TargetMode="External"/><Relationship Id="rId11" Type="http://schemas.openxmlformats.org/officeDocument/2006/relationships/hyperlink" Target="https://crfm.stanford.edu/helm/" TargetMode="External"/><Relationship Id="rId24" Type="http://schemas.openxmlformats.org/officeDocument/2006/relationships/hyperlink" Target="https://www.anthropic.com/engineering" TargetMode="External"/><Relationship Id="rId32" Type="http://schemas.openxmlformats.org/officeDocument/2006/relationships/hyperlink" Target="https://livebench.ai/" TargetMode="External"/><Relationship Id="rId37" Type="http://schemas.openxmlformats.org/officeDocument/2006/relationships/hyperlink" Target="https://json-schema.org/" TargetMode="External"/><Relationship Id="rId40" Type="http://schemas.openxmlformats.org/officeDocument/2006/relationships/hyperlink" Target="https://html.spec.whatwg.org/multipage/server-sent-events.html" TargetMode="External"/><Relationship Id="rId5" Type="http://schemas.openxmlformats.org/officeDocument/2006/relationships/hyperlink" Target="https://arxiv.org/abs/2108.07258" TargetMode="External"/><Relationship Id="rId15" Type="http://schemas.openxmlformats.org/officeDocument/2006/relationships/hyperlink" Target="https://cloud.google.com/vertex-ai/docs" TargetMode="External"/><Relationship Id="rId23" Type="http://schemas.openxmlformats.org/officeDocument/2006/relationships/hyperlink" Target="https://openai.com/news/" TargetMode="External"/><Relationship Id="rId28" Type="http://schemas.openxmlformats.org/officeDocument/2006/relationships/hyperlink" Target="https://huggingface.co/blog" TargetMode="External"/><Relationship Id="rId36" Type="http://schemas.openxmlformats.org/officeDocument/2006/relationships/hyperlink" Target="https://spec.openapis.org/" TargetMode="External"/><Relationship Id="rId10" Type="http://schemas.openxmlformats.org/officeDocument/2006/relationships/hyperlink" Target="https://www.swebench.com/" TargetMode="External"/><Relationship Id="rId19" Type="http://schemas.openxmlformats.org/officeDocument/2006/relationships/hyperlink" Target="https://huggingface.co/docs" TargetMode="External"/><Relationship Id="rId31" Type="http://schemas.openxmlformats.org/officeDocument/2006/relationships/hyperlink" Target="https://artificialanalysis.ai/" TargetMode="External"/><Relationship Id="rId4" Type="http://schemas.openxmlformats.org/officeDocument/2006/relationships/webSettings" Target="webSettings.xml"/><Relationship Id="rId9" Type="http://schemas.openxmlformats.org/officeDocument/2006/relationships/hyperlink" Target="https://livebench.ai/" TargetMode="External"/><Relationship Id="rId14" Type="http://schemas.openxmlformats.org/officeDocument/2006/relationships/hyperlink" Target="https://docs.anthropic.com/" TargetMode="External"/><Relationship Id="rId22" Type="http://schemas.openxmlformats.org/officeDocument/2006/relationships/hyperlink" Target="https://modelcontextprotocol.io/" TargetMode="External"/><Relationship Id="rId27" Type="http://schemas.openxmlformats.org/officeDocument/2006/relationships/hyperlink" Target="https://azure.microsoft.com/blog/" TargetMode="External"/><Relationship Id="rId30" Type="http://schemas.openxmlformats.org/officeDocument/2006/relationships/hyperlink" Target="https://developer.nvidia.com/blog/" TargetMode="External"/><Relationship Id="rId35" Type="http://schemas.openxmlformats.org/officeDocument/2006/relationships/hyperlink" Target="https://lastexam.ai/" TargetMode="External"/><Relationship Id="rId8" Type="http://schemas.openxmlformats.org/officeDocument/2006/relationships/hyperlink" Target="https://www.anthropic.com/research/claude-3-family" TargetMode="External"/><Relationship Id="rId3" Type="http://schemas.openxmlformats.org/officeDocument/2006/relationships/settings" Target="settings.xml"/><Relationship Id="rId12" Type="http://schemas.openxmlformats.org/officeDocument/2006/relationships/hyperlink" Target="https://platform.openai.com/docs" TargetMode="External"/><Relationship Id="rId17" Type="http://schemas.openxmlformats.org/officeDocument/2006/relationships/hyperlink" Target="https://docs.aws.amazon.com/bedrock/" TargetMode="External"/><Relationship Id="rId25" Type="http://schemas.openxmlformats.org/officeDocument/2006/relationships/hyperlink" Target="https://cloud.google.com/architecture" TargetMode="External"/><Relationship Id="rId33" Type="http://schemas.openxmlformats.org/officeDocument/2006/relationships/hyperlink" Target="https://www.swebench.com/" TargetMode="External"/><Relationship Id="rId38" Type="http://schemas.openxmlformats.org/officeDocument/2006/relationships/hyperlink" Target="https://www.rfc-editor.org/rfc/rfc674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52</Pages>
  <Words>15152</Words>
  <Characters>86371</Characters>
  <Application>Microsoft Office Word</Application>
  <DocSecurity>0</DocSecurity>
  <Lines>719</Lines>
  <Paragraphs>202</Paragraphs>
  <ScaleCrop>false</ScaleCrop>
  <Company/>
  <LinksUpToDate>false</LinksUpToDate>
  <CharactersWithSpaces>101321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Шевцов Богдан</dc:creator>
  <cp:keywords/>
  <dc:description/>
  <cp:lastModifiedBy>Bogdan Shevtcov</cp:lastModifiedBy>
  <cp:revision>5</cp:revision>
  <dcterms:created xsi:type="dcterms:W3CDTF">2026-08-07T16:30:00Z</dcterms:created>
  <dcterms:modified xsi:type="dcterms:W3CDTF">2026-08-08T13:26:00Z</dcterms:modified>
</cp:coreProperties>
</file>