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0FCAA0" w14:textId="77777777" w:rsidR="003A47D2" w:rsidRPr="00046211" w:rsidRDefault="003A47D2" w:rsidP="003A47D2">
      <w:pPr>
        <w:pStyle w:val="1"/>
        <w:rPr>
          <w:sz w:val="52"/>
        </w:rPr>
      </w:pPr>
      <w:r w:rsidRPr="00046211">
        <w:rPr>
          <w:sz w:val="52"/>
        </w:rPr>
        <w:t>Part I — Foundations and Platform Strategy</w:t>
      </w:r>
    </w:p>
    <w:p w14:paraId="16DD29AE" w14:textId="77777777" w:rsidR="00D80B45" w:rsidRPr="00046211" w:rsidRDefault="00D80B45" w:rsidP="00D80B45">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t>1.1 What Is AI Platform Engineering?</w:t>
      </w:r>
    </w:p>
    <w:p w14:paraId="3D94AB9D"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Artificial intelligence has become an increasingly important component of modern software systems, but the engineering challenges associated with deploying AI capabilities differ significantly from those of developing machine learning models. In many organizations, the primary technical challenge is no longer designing neural network architectures or training foundation models. Instead, engineering effort is concentrated on integrating, operating, securing, scaling, and governing AI capabilities within production software systems.</w:t>
      </w:r>
    </w:p>
    <w:p w14:paraId="0B8870BE"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This shift has given rise to what is increasingly referred to as </w:t>
      </w:r>
      <w:r w:rsidRPr="00046211">
        <w:rPr>
          <w:rFonts w:ascii="Times New Roman" w:eastAsia="Times New Roman" w:hAnsi="Times New Roman" w:cs="Times New Roman"/>
          <w:b/>
          <w:bCs/>
          <w:sz w:val="28"/>
          <w:szCs w:val="24"/>
        </w:rPr>
        <w:t>AI Platform Engineering</w:t>
      </w:r>
      <w:r w:rsidRPr="00046211">
        <w:rPr>
          <w:rFonts w:ascii="Times New Roman" w:eastAsia="Times New Roman" w:hAnsi="Times New Roman" w:cs="Times New Roman"/>
          <w:sz w:val="28"/>
          <w:szCs w:val="24"/>
        </w:rPr>
        <w:t xml:space="preserve">. Although the term does not yet have a universally accepted formal definition, industry practice has converged on a common interpretation. AI Platform Engineering concerns the design, implementation, and operation of the infrastructure, services, workflows, and governance mechanisms that enable multiple AI-powered applications to be developed and operated consistently at production scale. Recent developments in the cloud-native ecosystem—including the formation of dedicated Kubernetes working groups for AI networking and inference infrastructure—illustrate that the industry increasingly recognizes AI infrastructure as a distinct systems engineering domain rather than merely another application workload. </w:t>
      </w:r>
    </w:p>
    <w:p w14:paraId="0C59E02D"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Unlike traditional machine learning platforms, which were primarily optimized around data preparation, model training, and experiment management, modern AI platforms are predominantly inference-oriented. Most organizations consume pre-trained foundation models through commercial APIs or deploy open-weight models internally, shifting engineering priorities toward inference latency, routing, reliability, security, governance, cost management, and operational lifecycle management.</w:t>
      </w:r>
    </w:p>
    <w:p w14:paraId="6EF9C5D5"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Consequently, AI Platform Engineering should be viewed as an evolution of several established engineering disciplines rather than as an entirely new field.</w:t>
      </w:r>
    </w:p>
    <w:p w14:paraId="7F277203"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Table 1-1. Relationship Between Engineering Disciplines and AI Platform Engineering</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561"/>
        <w:gridCol w:w="2232"/>
        <w:gridCol w:w="2148"/>
        <w:gridCol w:w="3419"/>
      </w:tblGrid>
      <w:tr w:rsidR="00D80B45" w:rsidRPr="00BB10E7" w14:paraId="46EE9BD2" w14:textId="77777777" w:rsidTr="00BB10E7">
        <w:trPr>
          <w:tblHeader/>
          <w:tblCellSpacing w:w="15" w:type="dxa"/>
        </w:trPr>
        <w:tc>
          <w:tcPr>
            <w:tcW w:w="0" w:type="auto"/>
            <w:vAlign w:val="center"/>
            <w:hideMark/>
          </w:tcPr>
          <w:p w14:paraId="274DE430"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lastRenderedPageBreak/>
              <w:t>Discipline</w:t>
            </w:r>
          </w:p>
        </w:tc>
        <w:tc>
          <w:tcPr>
            <w:tcW w:w="0" w:type="auto"/>
            <w:vAlign w:val="center"/>
            <w:hideMark/>
          </w:tcPr>
          <w:p w14:paraId="7237CC18"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Primary Responsibility</w:t>
            </w:r>
          </w:p>
        </w:tc>
        <w:tc>
          <w:tcPr>
            <w:tcW w:w="0" w:type="auto"/>
            <w:vAlign w:val="center"/>
            <w:hideMark/>
          </w:tcPr>
          <w:p w14:paraId="619D9992"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Typical Deliverables</w:t>
            </w:r>
          </w:p>
        </w:tc>
        <w:tc>
          <w:tcPr>
            <w:tcW w:w="0" w:type="auto"/>
            <w:vAlign w:val="center"/>
            <w:hideMark/>
          </w:tcPr>
          <w:p w14:paraId="761962C2"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Relationship to AI Platform Engineering</w:t>
            </w:r>
          </w:p>
        </w:tc>
      </w:tr>
      <w:tr w:rsidR="00D80B45" w:rsidRPr="00BB10E7" w14:paraId="46C67AE1" w14:textId="77777777" w:rsidTr="00BB10E7">
        <w:trPr>
          <w:tblCellSpacing w:w="15" w:type="dxa"/>
        </w:trPr>
        <w:tc>
          <w:tcPr>
            <w:tcW w:w="0" w:type="auto"/>
            <w:vAlign w:val="center"/>
            <w:hideMark/>
          </w:tcPr>
          <w:p w14:paraId="4ADC9E21"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Software Engineering</w:t>
            </w:r>
          </w:p>
        </w:tc>
        <w:tc>
          <w:tcPr>
            <w:tcW w:w="0" w:type="auto"/>
            <w:vAlign w:val="center"/>
            <w:hideMark/>
          </w:tcPr>
          <w:p w14:paraId="0CAB45D6"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Designing and implementing applications and services</w:t>
            </w:r>
          </w:p>
        </w:tc>
        <w:tc>
          <w:tcPr>
            <w:tcW w:w="0" w:type="auto"/>
            <w:vAlign w:val="center"/>
            <w:hideMark/>
          </w:tcPr>
          <w:p w14:paraId="21A2E129"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Application code, APIs, business logic</w:t>
            </w:r>
          </w:p>
        </w:tc>
        <w:tc>
          <w:tcPr>
            <w:tcW w:w="0" w:type="auto"/>
            <w:vAlign w:val="center"/>
            <w:hideMark/>
          </w:tcPr>
          <w:p w14:paraId="00A4A123"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platforms expose capabilities consumed by software applications but do not replace conventional software engineering practices.</w:t>
            </w:r>
          </w:p>
        </w:tc>
      </w:tr>
      <w:tr w:rsidR="00D80B45" w:rsidRPr="00BB10E7" w14:paraId="37F395CC" w14:textId="77777777" w:rsidTr="00BB10E7">
        <w:trPr>
          <w:tblCellSpacing w:w="15" w:type="dxa"/>
        </w:trPr>
        <w:tc>
          <w:tcPr>
            <w:tcW w:w="0" w:type="auto"/>
            <w:vAlign w:val="center"/>
            <w:hideMark/>
          </w:tcPr>
          <w:p w14:paraId="4764E84C"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Platform Engineering</w:t>
            </w:r>
          </w:p>
        </w:tc>
        <w:tc>
          <w:tcPr>
            <w:tcW w:w="0" w:type="auto"/>
            <w:vAlign w:val="center"/>
            <w:hideMark/>
          </w:tcPr>
          <w:p w14:paraId="053099C2"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Building reusable internal developer platforms</w:t>
            </w:r>
          </w:p>
        </w:tc>
        <w:tc>
          <w:tcPr>
            <w:tcW w:w="0" w:type="auto"/>
            <w:vAlign w:val="center"/>
            <w:hideMark/>
          </w:tcPr>
          <w:p w14:paraId="34875B67"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Shared infrastructure, deployment platforms, self-service tooling</w:t>
            </w:r>
          </w:p>
        </w:tc>
        <w:tc>
          <w:tcPr>
            <w:tcW w:w="0" w:type="auto"/>
            <w:vAlign w:val="center"/>
            <w:hideMark/>
          </w:tcPr>
          <w:p w14:paraId="47CA5389"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platforms extend platform engineering concepts by providing standardized AI services, model access, governance, and operational tooling.</w:t>
            </w:r>
          </w:p>
        </w:tc>
      </w:tr>
      <w:tr w:rsidR="00D80B45" w:rsidRPr="00BB10E7" w14:paraId="3E79FCF6" w14:textId="77777777" w:rsidTr="00BB10E7">
        <w:trPr>
          <w:tblCellSpacing w:w="15" w:type="dxa"/>
        </w:trPr>
        <w:tc>
          <w:tcPr>
            <w:tcW w:w="0" w:type="auto"/>
            <w:vAlign w:val="center"/>
            <w:hideMark/>
          </w:tcPr>
          <w:p w14:paraId="16C68396"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Cloud Engineering</w:t>
            </w:r>
          </w:p>
        </w:tc>
        <w:tc>
          <w:tcPr>
            <w:tcW w:w="0" w:type="auto"/>
            <w:vAlign w:val="center"/>
            <w:hideMark/>
          </w:tcPr>
          <w:p w14:paraId="58B2C81D"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Provisioning and operating cloud infrastructure</w:t>
            </w:r>
          </w:p>
        </w:tc>
        <w:tc>
          <w:tcPr>
            <w:tcW w:w="0" w:type="auto"/>
            <w:vAlign w:val="center"/>
            <w:hideMark/>
          </w:tcPr>
          <w:p w14:paraId="5DB3EA55"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Compute, networking, storage, Kubernetes clusters</w:t>
            </w:r>
          </w:p>
        </w:tc>
        <w:tc>
          <w:tcPr>
            <w:tcW w:w="0" w:type="auto"/>
            <w:vAlign w:val="center"/>
            <w:hideMark/>
          </w:tcPr>
          <w:p w14:paraId="5A31AB0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platforms depend heavily on cloud infrastructure but introduce additional concerns such as accelerator management and inference routing.</w:t>
            </w:r>
          </w:p>
        </w:tc>
      </w:tr>
      <w:tr w:rsidR="00D80B45" w:rsidRPr="00BB10E7" w14:paraId="0E2277C7" w14:textId="77777777" w:rsidTr="00BB10E7">
        <w:trPr>
          <w:tblCellSpacing w:w="15" w:type="dxa"/>
        </w:trPr>
        <w:tc>
          <w:tcPr>
            <w:tcW w:w="0" w:type="auto"/>
            <w:vAlign w:val="center"/>
            <w:hideMark/>
          </w:tcPr>
          <w:p w14:paraId="68EA3AA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Site Reliability Engineering (SRE)</w:t>
            </w:r>
          </w:p>
        </w:tc>
        <w:tc>
          <w:tcPr>
            <w:tcW w:w="0" w:type="auto"/>
            <w:vAlign w:val="center"/>
            <w:hideMark/>
          </w:tcPr>
          <w:p w14:paraId="7CD968A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Reliability, scalability, incident response, service-level objectives</w:t>
            </w:r>
          </w:p>
        </w:tc>
        <w:tc>
          <w:tcPr>
            <w:tcW w:w="0" w:type="auto"/>
            <w:vAlign w:val="center"/>
            <w:hideMark/>
          </w:tcPr>
          <w:p w14:paraId="3B914AF4"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Monitoring systems, reliability automation, operational procedures</w:t>
            </w:r>
          </w:p>
        </w:tc>
        <w:tc>
          <w:tcPr>
            <w:tcW w:w="0" w:type="auto"/>
            <w:vAlign w:val="center"/>
            <w:hideMark/>
          </w:tcPr>
          <w:p w14:paraId="4FF53C9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services inherit distributed systems reliability requirements while introducing AI-specific operational metrics such as token throughput and inference latency.</w:t>
            </w:r>
          </w:p>
        </w:tc>
      </w:tr>
      <w:tr w:rsidR="00D80B45" w:rsidRPr="00BB10E7" w14:paraId="1BA34FAA" w14:textId="77777777" w:rsidTr="00BB10E7">
        <w:trPr>
          <w:tblCellSpacing w:w="15" w:type="dxa"/>
        </w:trPr>
        <w:tc>
          <w:tcPr>
            <w:tcW w:w="0" w:type="auto"/>
            <w:vAlign w:val="center"/>
            <w:hideMark/>
          </w:tcPr>
          <w:p w14:paraId="5B59B7A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DevSecOps</w:t>
            </w:r>
          </w:p>
        </w:tc>
        <w:tc>
          <w:tcPr>
            <w:tcW w:w="0" w:type="auto"/>
            <w:vAlign w:val="center"/>
            <w:hideMark/>
          </w:tcPr>
          <w:p w14:paraId="1BE66705"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Secure software delivery and operational automation</w:t>
            </w:r>
          </w:p>
        </w:tc>
        <w:tc>
          <w:tcPr>
            <w:tcW w:w="0" w:type="auto"/>
            <w:vAlign w:val="center"/>
            <w:hideMark/>
          </w:tcPr>
          <w:p w14:paraId="710AE1E3"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CI/CD pipelines, security automation, policy enforcement</w:t>
            </w:r>
          </w:p>
        </w:tc>
        <w:tc>
          <w:tcPr>
            <w:tcW w:w="0" w:type="auto"/>
            <w:vAlign w:val="center"/>
            <w:hideMark/>
          </w:tcPr>
          <w:p w14:paraId="4988AEB6"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platforms extend DevSecOps to include model governance, prompt security, supply-chain integrity, and AI policy enforcement.</w:t>
            </w:r>
          </w:p>
        </w:tc>
      </w:tr>
      <w:tr w:rsidR="00D80B45" w:rsidRPr="00BB10E7" w14:paraId="46AA80AE" w14:textId="77777777" w:rsidTr="00BB10E7">
        <w:trPr>
          <w:tblCellSpacing w:w="15" w:type="dxa"/>
        </w:trPr>
        <w:tc>
          <w:tcPr>
            <w:tcW w:w="0" w:type="auto"/>
            <w:vAlign w:val="center"/>
            <w:hideMark/>
          </w:tcPr>
          <w:p w14:paraId="6333F48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Data Engineering</w:t>
            </w:r>
          </w:p>
        </w:tc>
        <w:tc>
          <w:tcPr>
            <w:tcW w:w="0" w:type="auto"/>
            <w:vAlign w:val="center"/>
            <w:hideMark/>
          </w:tcPr>
          <w:p w14:paraId="5B392C6C"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Data ingestion, transformation, storage, and quality</w:t>
            </w:r>
          </w:p>
        </w:tc>
        <w:tc>
          <w:tcPr>
            <w:tcW w:w="0" w:type="auto"/>
            <w:vAlign w:val="center"/>
            <w:hideMark/>
          </w:tcPr>
          <w:p w14:paraId="3B6A005B"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Data pipelines, warehouses, streaming systems</w:t>
            </w:r>
          </w:p>
        </w:tc>
        <w:tc>
          <w:tcPr>
            <w:tcW w:w="0" w:type="auto"/>
            <w:vAlign w:val="center"/>
            <w:hideMark/>
          </w:tcPr>
          <w:p w14:paraId="6C9C63B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platforms frequently consume data engineering outputs for retrieval, grounding, and evaluation pipelines.</w:t>
            </w:r>
          </w:p>
        </w:tc>
      </w:tr>
      <w:tr w:rsidR="00D80B45" w:rsidRPr="00BB10E7" w14:paraId="1A19958D" w14:textId="77777777" w:rsidTr="00BB10E7">
        <w:trPr>
          <w:tblCellSpacing w:w="15" w:type="dxa"/>
        </w:trPr>
        <w:tc>
          <w:tcPr>
            <w:tcW w:w="0" w:type="auto"/>
            <w:vAlign w:val="center"/>
            <w:hideMark/>
          </w:tcPr>
          <w:p w14:paraId="1617705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MLOps</w:t>
            </w:r>
          </w:p>
        </w:tc>
        <w:tc>
          <w:tcPr>
            <w:tcW w:w="0" w:type="auto"/>
            <w:vAlign w:val="center"/>
            <w:hideMark/>
          </w:tcPr>
          <w:p w14:paraId="1C3DD7B5"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Model development lifecycle and training operations</w:t>
            </w:r>
          </w:p>
        </w:tc>
        <w:tc>
          <w:tcPr>
            <w:tcW w:w="0" w:type="auto"/>
            <w:vAlign w:val="center"/>
            <w:hideMark/>
          </w:tcPr>
          <w:p w14:paraId="0B88F846"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Training pipelines, experiment tracking, model registries</w:t>
            </w:r>
          </w:p>
        </w:tc>
        <w:tc>
          <w:tcPr>
            <w:tcW w:w="0" w:type="auto"/>
            <w:vAlign w:val="center"/>
            <w:hideMark/>
          </w:tcPr>
          <w:p w14:paraId="20A94DC7"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Platform Engineering incorporates MLOps where organizations train models, but increasingly emphasizes inference operations over training workflows.</w:t>
            </w:r>
          </w:p>
        </w:tc>
      </w:tr>
    </w:tbl>
    <w:p w14:paraId="628AF5EC"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One characteristic distinguishes AI Platform Engineering from most previous infrastructure domains: the underlying model often belongs to another organization. Production systems routinely invoke commercial APIs, deploy community-developed open-weight models, or combine multiple providers within a single application. Consequently, engineering teams must design platforms </w:t>
      </w:r>
      <w:r w:rsidRPr="00046211">
        <w:rPr>
          <w:rFonts w:ascii="Times New Roman" w:eastAsia="Times New Roman" w:hAnsi="Times New Roman" w:cs="Times New Roman"/>
          <w:sz w:val="28"/>
          <w:szCs w:val="24"/>
        </w:rPr>
        <w:lastRenderedPageBreak/>
        <w:t>capable of accommodating rapidly changing models without requiring equivalent changes to surrounding business systems.</w:t>
      </w:r>
    </w:p>
    <w:p w14:paraId="08094551"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This architectural decoupling has important consequences. Stable interfaces, abstraction layers, traffic management, evaluation pipelines, observability, and governance become more valuable than deep coupling to any single model provider. Throughout this book, the emphasis therefore remains on architectural principles that survive changes in individual models and vendors.</w:t>
      </w:r>
    </w:p>
    <w:p w14:paraId="66B4DB16"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Another defining characteristic is the unusually rapid pace of ecosystem evolution. Foundation models, inference engines, orchestration frameworks, and agent runtimes evolve on timescales measured in months rather than years. By contrast, the underlying architectural principles—distributed systems, API design, authentication, fault tolerance, observability, deployment automation, and operational governance—change much more slowly. This distinction is central to the philosophy of this book: durable engineering principles should guide technology selection rather than temporary market leadership or benchmark rankings.</w:t>
      </w:r>
    </w:p>
    <w:p w14:paraId="4345D0B4" w14:textId="77777777" w:rsidR="00D80B45" w:rsidRPr="00046211" w:rsidRDefault="00BB10E7" w:rsidP="00D80B45">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710AF963">
          <v:rect id="_x0000_i1025" style="width:0;height:1.5pt" o:hralign="center" o:hrstd="t" o:hr="t" fillcolor="#a0a0a0" stroked="f"/>
        </w:pict>
      </w:r>
    </w:p>
    <w:p w14:paraId="686470F0" w14:textId="77777777" w:rsidR="00D80B45" w:rsidRPr="00046211" w:rsidRDefault="00D80B45" w:rsidP="00D80B45">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t>1.2 From Machine Learning Platforms to AI Platforms</w:t>
      </w:r>
    </w:p>
    <w:p w14:paraId="704DA870"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Understanding AI Platform Engineering requires understanding how production AI infrastructure evolved.</w:t>
      </w:r>
    </w:p>
    <w:p w14:paraId="6E43B730"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first generation of enterprise machine learning platforms emerged during the widespread adoption of deep learning in the early 2010s. These platforms primarily supported supervised learning workflows: collecting datasets, training models, evaluating accuracy, deploying prediction services, and periodically retraining models as new data became available. The dominant engineering problems centered on data pipelines, feature engineering, experiment tracking, and GPU utilization during training.</w:t>
      </w:r>
    </w:p>
    <w:p w14:paraId="36D798DC"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The publication of the Transformer architecture in 2017 fundamentally altered this trajectory by demonstrating a highly scalable architecture for sequence modeling. Subsequent scaling of transformer-based language models culminated in the emergence of foundation models capable of performing a wide range of </w:t>
      </w:r>
      <w:r w:rsidRPr="00046211">
        <w:rPr>
          <w:rFonts w:ascii="Times New Roman" w:eastAsia="Times New Roman" w:hAnsi="Times New Roman" w:cs="Times New Roman"/>
          <w:sz w:val="28"/>
          <w:szCs w:val="24"/>
        </w:rPr>
        <w:lastRenderedPageBreak/>
        <w:t>downstream tasks without task-specific retraining. As these models grew larger, organizations increasingly shifted from training their own models to consuming externally developed foundation models through APIs or deploying open-weight models optimized for inference.</w:t>
      </w:r>
    </w:p>
    <w:p w14:paraId="08100378"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This transition changed the economics of AI engineering.</w:t>
      </w:r>
    </w:p>
    <w:p w14:paraId="6961DA5F"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Instead of investing primarily in training infrastructure, organizations began investing in inference infrastructure. The engineering focus shifted from maximizing training throughput to optimizing latency, throughput, availability, routing, caching, governance, and operational efficiency. AI infrastructure increasingly resembled large-scale distributed systems rather than research computing environments.</w:t>
      </w:r>
    </w:p>
    <w:p w14:paraId="6A036F29"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evolution can be summarized as a progression of architectural priorities rather than merely advances in model capability.</w:t>
      </w:r>
    </w:p>
    <w:p w14:paraId="20CC7361"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Table 1-2. Evolution from Machine Learning Platforms to AI Platforms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901"/>
        <w:gridCol w:w="1645"/>
        <w:gridCol w:w="3375"/>
        <w:gridCol w:w="3439"/>
      </w:tblGrid>
      <w:tr w:rsidR="00D80B45" w:rsidRPr="00BB10E7" w14:paraId="0BAFE8EB" w14:textId="77777777" w:rsidTr="00BB10E7">
        <w:trPr>
          <w:tblHeader/>
          <w:tblCellSpacing w:w="15" w:type="dxa"/>
        </w:trPr>
        <w:tc>
          <w:tcPr>
            <w:tcW w:w="0" w:type="auto"/>
            <w:vAlign w:val="center"/>
            <w:hideMark/>
          </w:tcPr>
          <w:p w14:paraId="5E7310E6"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Period</w:t>
            </w:r>
          </w:p>
        </w:tc>
        <w:tc>
          <w:tcPr>
            <w:tcW w:w="0" w:type="auto"/>
            <w:vAlign w:val="center"/>
            <w:hideMark/>
          </w:tcPr>
          <w:p w14:paraId="7F5C3E63"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Dominant Workloads</w:t>
            </w:r>
          </w:p>
        </w:tc>
        <w:tc>
          <w:tcPr>
            <w:tcW w:w="0" w:type="auto"/>
            <w:vAlign w:val="center"/>
            <w:hideMark/>
          </w:tcPr>
          <w:p w14:paraId="10D25F51"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Primary Engineering Focus</w:t>
            </w:r>
          </w:p>
        </w:tc>
        <w:tc>
          <w:tcPr>
            <w:tcW w:w="0" w:type="auto"/>
            <w:vAlign w:val="center"/>
            <w:hideMark/>
          </w:tcPr>
          <w:p w14:paraId="719F69EF"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Typical Platform Characteristics</w:t>
            </w:r>
          </w:p>
        </w:tc>
      </w:tr>
      <w:tr w:rsidR="00D80B45" w:rsidRPr="00BB10E7" w14:paraId="4656F4A4" w14:textId="77777777" w:rsidTr="00BB10E7">
        <w:trPr>
          <w:tblCellSpacing w:w="15" w:type="dxa"/>
        </w:trPr>
        <w:tc>
          <w:tcPr>
            <w:tcW w:w="0" w:type="auto"/>
            <w:vAlign w:val="center"/>
            <w:hideMark/>
          </w:tcPr>
          <w:p w14:paraId="768732D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2012–2017</w:t>
            </w:r>
          </w:p>
        </w:tc>
        <w:tc>
          <w:tcPr>
            <w:tcW w:w="0" w:type="auto"/>
            <w:vAlign w:val="center"/>
            <w:hideMark/>
          </w:tcPr>
          <w:p w14:paraId="3BB68081"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Deep learning model training</w:t>
            </w:r>
          </w:p>
        </w:tc>
        <w:tc>
          <w:tcPr>
            <w:tcW w:w="0" w:type="auto"/>
            <w:vAlign w:val="center"/>
            <w:hideMark/>
          </w:tcPr>
          <w:p w14:paraId="636CAE67"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Dataset management, experiment tracking, GPU training clusters</w:t>
            </w:r>
          </w:p>
        </w:tc>
        <w:tc>
          <w:tcPr>
            <w:tcW w:w="0" w:type="auto"/>
            <w:vAlign w:val="center"/>
            <w:hideMark/>
          </w:tcPr>
          <w:p w14:paraId="5B6B8194"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Internal ML platforms supporting supervised learning workflows</w:t>
            </w:r>
          </w:p>
        </w:tc>
      </w:tr>
      <w:tr w:rsidR="00D80B45" w:rsidRPr="00BB10E7" w14:paraId="0D8B1A39" w14:textId="77777777" w:rsidTr="00BB10E7">
        <w:trPr>
          <w:tblCellSpacing w:w="15" w:type="dxa"/>
        </w:trPr>
        <w:tc>
          <w:tcPr>
            <w:tcW w:w="0" w:type="auto"/>
            <w:vAlign w:val="center"/>
            <w:hideMark/>
          </w:tcPr>
          <w:p w14:paraId="10F4044F"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2018–2020</w:t>
            </w:r>
          </w:p>
        </w:tc>
        <w:tc>
          <w:tcPr>
            <w:tcW w:w="0" w:type="auto"/>
            <w:vAlign w:val="center"/>
            <w:hideMark/>
          </w:tcPr>
          <w:p w14:paraId="7C55FE2C"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Large Transformer models</w:t>
            </w:r>
          </w:p>
        </w:tc>
        <w:tc>
          <w:tcPr>
            <w:tcW w:w="0" w:type="auto"/>
            <w:vAlign w:val="center"/>
            <w:hideMark/>
          </w:tcPr>
          <w:p w14:paraId="0A04D606"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Distributed training, hardware scaling, model optimization</w:t>
            </w:r>
          </w:p>
        </w:tc>
        <w:tc>
          <w:tcPr>
            <w:tcW w:w="0" w:type="auto"/>
            <w:vAlign w:val="center"/>
            <w:hideMark/>
          </w:tcPr>
          <w:p w14:paraId="7693575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Large research infrastructure with increasing compute requirements</w:t>
            </w:r>
          </w:p>
        </w:tc>
      </w:tr>
      <w:tr w:rsidR="00D80B45" w:rsidRPr="00BB10E7" w14:paraId="02A5C5C7" w14:textId="77777777" w:rsidTr="00BB10E7">
        <w:trPr>
          <w:tblCellSpacing w:w="15" w:type="dxa"/>
        </w:trPr>
        <w:tc>
          <w:tcPr>
            <w:tcW w:w="0" w:type="auto"/>
            <w:vAlign w:val="center"/>
            <w:hideMark/>
          </w:tcPr>
          <w:p w14:paraId="2C79C05E"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2020–2022</w:t>
            </w:r>
          </w:p>
        </w:tc>
        <w:tc>
          <w:tcPr>
            <w:tcW w:w="0" w:type="auto"/>
            <w:vAlign w:val="center"/>
            <w:hideMark/>
          </w:tcPr>
          <w:p w14:paraId="55D5B0D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Foundation models</w:t>
            </w:r>
          </w:p>
        </w:tc>
        <w:tc>
          <w:tcPr>
            <w:tcW w:w="0" w:type="auto"/>
            <w:vAlign w:val="center"/>
            <w:hideMark/>
          </w:tcPr>
          <w:p w14:paraId="01ECED2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API exposure, large-scale inference, model serving</w:t>
            </w:r>
          </w:p>
        </w:tc>
        <w:tc>
          <w:tcPr>
            <w:tcW w:w="0" w:type="auto"/>
            <w:vAlign w:val="center"/>
            <w:hideMark/>
          </w:tcPr>
          <w:p w14:paraId="7953105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Centralized model services consumed by multiple applications</w:t>
            </w:r>
          </w:p>
        </w:tc>
      </w:tr>
      <w:tr w:rsidR="00D80B45" w:rsidRPr="00BB10E7" w14:paraId="45320D07" w14:textId="77777777" w:rsidTr="00BB10E7">
        <w:trPr>
          <w:tblCellSpacing w:w="15" w:type="dxa"/>
        </w:trPr>
        <w:tc>
          <w:tcPr>
            <w:tcW w:w="0" w:type="auto"/>
            <w:vAlign w:val="center"/>
            <w:hideMark/>
          </w:tcPr>
          <w:p w14:paraId="2CA11F5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2023–2024</w:t>
            </w:r>
          </w:p>
        </w:tc>
        <w:tc>
          <w:tcPr>
            <w:tcW w:w="0" w:type="auto"/>
            <w:vAlign w:val="center"/>
            <w:hideMark/>
          </w:tcPr>
          <w:p w14:paraId="3C3B067F"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Enterprise LLM adoption</w:t>
            </w:r>
          </w:p>
        </w:tc>
        <w:tc>
          <w:tcPr>
            <w:tcW w:w="0" w:type="auto"/>
            <w:vAlign w:val="center"/>
            <w:hideMark/>
          </w:tcPr>
          <w:p w14:paraId="3F751D17"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Retrieval, prompt engineering, governance, production reliability</w:t>
            </w:r>
          </w:p>
        </w:tc>
        <w:tc>
          <w:tcPr>
            <w:tcW w:w="0" w:type="auto"/>
            <w:vAlign w:val="center"/>
            <w:hideMark/>
          </w:tcPr>
          <w:p w14:paraId="0AE9C4DD"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services integrated into existing enterprise systems</w:t>
            </w:r>
          </w:p>
        </w:tc>
      </w:tr>
      <w:tr w:rsidR="00D80B45" w:rsidRPr="00BB10E7" w14:paraId="0532B855" w14:textId="77777777" w:rsidTr="00BB10E7">
        <w:trPr>
          <w:tblCellSpacing w:w="15" w:type="dxa"/>
        </w:trPr>
        <w:tc>
          <w:tcPr>
            <w:tcW w:w="0" w:type="auto"/>
            <w:vAlign w:val="center"/>
            <w:hideMark/>
          </w:tcPr>
          <w:p w14:paraId="2C2AAEF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2025–Present</w:t>
            </w:r>
          </w:p>
        </w:tc>
        <w:tc>
          <w:tcPr>
            <w:tcW w:w="0" w:type="auto"/>
            <w:vAlign w:val="center"/>
            <w:hideMark/>
          </w:tcPr>
          <w:p w14:paraId="7C87295F"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Agentic and multimodal systems</w:t>
            </w:r>
          </w:p>
        </w:tc>
        <w:tc>
          <w:tcPr>
            <w:tcW w:w="0" w:type="auto"/>
            <w:vAlign w:val="center"/>
            <w:hideMark/>
          </w:tcPr>
          <w:p w14:paraId="684B1413"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Platform interoperability, workflow orchestration, AI networking, policy enforcement, inference optimization</w:t>
            </w:r>
          </w:p>
        </w:tc>
        <w:tc>
          <w:tcPr>
            <w:tcW w:w="0" w:type="auto"/>
            <w:vAlign w:val="center"/>
            <w:hideMark/>
          </w:tcPr>
          <w:p w14:paraId="234E12C4"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platforms operating as shared enterprise infrastructure supporting multiple applications and model providers</w:t>
            </w:r>
          </w:p>
        </w:tc>
      </w:tr>
    </w:tbl>
    <w:p w14:paraId="05D6412A"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Several technological developments accelerated this transition.</w:t>
      </w:r>
    </w:p>
    <w:p w14:paraId="078EA926"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Commercial providers demonstrated that organizations were willing to outsource foundation model development while maintaining ownership of application logic and enterprise data. Open-weight models simultaneously lowered barriers to self-hosted inference. Improvements in quantization, optimized inference engines, and </w:t>
      </w:r>
      <w:r w:rsidRPr="00046211">
        <w:rPr>
          <w:rFonts w:ascii="Times New Roman" w:eastAsia="Times New Roman" w:hAnsi="Times New Roman" w:cs="Times New Roman"/>
          <w:sz w:val="28"/>
          <w:szCs w:val="24"/>
        </w:rPr>
        <w:lastRenderedPageBreak/>
        <w:t>specialized GPU scheduling made deploying increasingly capable models economically feasible for organizations that preferred greater control over latency, privacy, or regulatory compliance.</w:t>
      </w:r>
    </w:p>
    <w:p w14:paraId="06FBD5D3"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At the same time, cloud-native infrastructure began adapting specifically to AI inference workloads. Kubernetes, originally designed to orchestrate general-purpose containerized applications, has progressively incorporated AI-specific capabilities through collaborative efforts involving inference serving, accelerator scheduling, and standardized AI networking. The establishment of dedicated Kubernetes initiatives for inference infrastructure and AI gateways reflects recognition that generative AI introduces operational requirements not adequately addressed by traditional web application infrastructure. These include token-aware rate limiting, semantic request routing, prompt inspection, inference-aware traffic management, and AI-specific observability. </w:t>
      </w:r>
    </w:p>
    <w:p w14:paraId="0646A9EA"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This evolution also altered organizational responsibilities. Data scientists remain responsible for model evaluation and experimentation where organizations develop their own models. However, platform teams increasingly manage model catalogs, API gateways, inference infrastructure, deployment pipelines, access policies, operational telemetry, and service reliability. The AI platform therefore becomes shared infrastructure analogous to databases, Kubernetes clusters, or API gateways rather than a collection of isolated machine learning projects.</w:t>
      </w:r>
    </w:p>
    <w:p w14:paraId="5FF13A91" w14:textId="77777777" w:rsidR="00D80B45" w:rsidRPr="00046211" w:rsidRDefault="00BB10E7" w:rsidP="00D80B45">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4D0E3344">
          <v:rect id="_x0000_i1026" style="width:0;height:1.5pt" o:hralign="center" o:hrstd="t" o:hr="t" fillcolor="#a0a0a0" stroked="f"/>
        </w:pict>
      </w:r>
    </w:p>
    <w:p w14:paraId="4460AE3C" w14:textId="77777777" w:rsidR="00D80B45" w:rsidRPr="00046211" w:rsidRDefault="00D80B45" w:rsidP="00D80B45">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t>1.3 What Constitutes an AI Platform?</w:t>
      </w:r>
    </w:p>
    <w:p w14:paraId="4C08FA4E"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Despite frequent references to "AI platforms," the term is often used ambiguously. Some vendors apply it to individual model APIs, while others use it to describe orchestration frameworks, cloud services, or complete enterprise ecosystems. For the purposes of this book, an AI platform is defined more precisely.</w:t>
      </w:r>
    </w:p>
    <w:p w14:paraId="0F775942"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An </w:t>
      </w:r>
      <w:r w:rsidRPr="00046211">
        <w:rPr>
          <w:rFonts w:ascii="Times New Roman" w:eastAsia="Times New Roman" w:hAnsi="Times New Roman" w:cs="Times New Roman"/>
          <w:b/>
          <w:bCs/>
          <w:sz w:val="28"/>
          <w:szCs w:val="24"/>
        </w:rPr>
        <w:t>AI platform</w:t>
      </w:r>
      <w:r w:rsidRPr="00046211">
        <w:rPr>
          <w:rFonts w:ascii="Times New Roman" w:eastAsia="Times New Roman" w:hAnsi="Times New Roman" w:cs="Times New Roman"/>
          <w:sz w:val="28"/>
          <w:szCs w:val="24"/>
        </w:rPr>
        <w:t xml:space="preserve"> is a collection of interoperable infrastructure components that collectively enable AI-powered applications to be built, deployed, operated, governed, and evolved throughout their production lifecycle.</w:t>
      </w:r>
    </w:p>
    <w:p w14:paraId="70A7E110"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foundation model itself is therefore only one component within a considerably larger system.</w:t>
      </w:r>
    </w:p>
    <w:p w14:paraId="73720378"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lastRenderedPageBreak/>
        <w:t>A production AI platform typically consists of several architectural layers, each responsible for a distinct aspect of system behavior. Although implementations differ across organizations, these layers appear with remarkable consistency across commercial cloud platforms and self-hosted deployments.</w:t>
      </w:r>
    </w:p>
    <w:p w14:paraId="77FBF8B8"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Table 1-3. Typical Layers of a Production AI Platform</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67"/>
        <w:gridCol w:w="3053"/>
        <w:gridCol w:w="3010"/>
        <w:gridCol w:w="1430"/>
      </w:tblGrid>
      <w:tr w:rsidR="00D80B45" w:rsidRPr="00BB10E7" w14:paraId="41195FFF" w14:textId="77777777" w:rsidTr="00BB10E7">
        <w:trPr>
          <w:tblHeader/>
          <w:tblCellSpacing w:w="15" w:type="dxa"/>
        </w:trPr>
        <w:tc>
          <w:tcPr>
            <w:tcW w:w="0" w:type="auto"/>
            <w:vAlign w:val="center"/>
            <w:hideMark/>
          </w:tcPr>
          <w:p w14:paraId="18819ADD"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Platform Layer</w:t>
            </w:r>
          </w:p>
        </w:tc>
        <w:tc>
          <w:tcPr>
            <w:tcW w:w="0" w:type="auto"/>
            <w:vAlign w:val="center"/>
            <w:hideMark/>
          </w:tcPr>
          <w:p w14:paraId="3F1ED90A"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Primary Purpose</w:t>
            </w:r>
          </w:p>
        </w:tc>
        <w:tc>
          <w:tcPr>
            <w:tcW w:w="0" w:type="auto"/>
            <w:vAlign w:val="center"/>
            <w:hideMark/>
          </w:tcPr>
          <w:p w14:paraId="1D793CC9"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Representative Technologies</w:t>
            </w:r>
          </w:p>
        </w:tc>
        <w:tc>
          <w:tcPr>
            <w:tcW w:w="0" w:type="auto"/>
            <w:vAlign w:val="center"/>
            <w:hideMark/>
          </w:tcPr>
          <w:p w14:paraId="4F1DB0ED"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Detailed Coverage</w:t>
            </w:r>
          </w:p>
        </w:tc>
      </w:tr>
      <w:tr w:rsidR="00D80B45" w:rsidRPr="00BB10E7" w14:paraId="486A58A5" w14:textId="77777777" w:rsidTr="00BB10E7">
        <w:trPr>
          <w:tblCellSpacing w:w="15" w:type="dxa"/>
        </w:trPr>
        <w:tc>
          <w:tcPr>
            <w:tcW w:w="0" w:type="auto"/>
            <w:vAlign w:val="center"/>
            <w:hideMark/>
          </w:tcPr>
          <w:p w14:paraId="058482B2"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Client Applications</w:t>
            </w:r>
          </w:p>
        </w:tc>
        <w:tc>
          <w:tcPr>
            <w:tcW w:w="0" w:type="auto"/>
            <w:vAlign w:val="center"/>
            <w:hideMark/>
          </w:tcPr>
          <w:p w14:paraId="47969DF6"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Consume AI capabilities through stable interfaces</w:t>
            </w:r>
          </w:p>
        </w:tc>
        <w:tc>
          <w:tcPr>
            <w:tcW w:w="0" w:type="auto"/>
            <w:vAlign w:val="center"/>
            <w:hideMark/>
          </w:tcPr>
          <w:p w14:paraId="7836C227"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Web applications, mobile applications, internal services, enterprise systems</w:t>
            </w:r>
          </w:p>
        </w:tc>
        <w:tc>
          <w:tcPr>
            <w:tcW w:w="0" w:type="auto"/>
            <w:vAlign w:val="center"/>
            <w:hideMark/>
          </w:tcPr>
          <w:p w14:paraId="67C33F9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Throughout the book</w:t>
            </w:r>
          </w:p>
        </w:tc>
      </w:tr>
      <w:tr w:rsidR="00D80B45" w:rsidRPr="00BB10E7" w14:paraId="52D5DCC1" w14:textId="77777777" w:rsidTr="00BB10E7">
        <w:trPr>
          <w:tblCellSpacing w:w="15" w:type="dxa"/>
        </w:trPr>
        <w:tc>
          <w:tcPr>
            <w:tcW w:w="0" w:type="auto"/>
            <w:vAlign w:val="center"/>
            <w:hideMark/>
          </w:tcPr>
          <w:p w14:paraId="32D789E9"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Gateway</w:t>
            </w:r>
          </w:p>
        </w:tc>
        <w:tc>
          <w:tcPr>
            <w:tcW w:w="0" w:type="auto"/>
            <w:vAlign w:val="center"/>
            <w:hideMark/>
          </w:tcPr>
          <w:p w14:paraId="11D26C9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Authentication, routing, rate limiting, policy enforcement, provider abstraction</w:t>
            </w:r>
          </w:p>
        </w:tc>
        <w:tc>
          <w:tcPr>
            <w:tcW w:w="0" w:type="auto"/>
            <w:vAlign w:val="center"/>
            <w:hideMark/>
          </w:tcPr>
          <w:p w14:paraId="509B9DA3"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API gateways, AI gateways, service proxies</w:t>
            </w:r>
          </w:p>
        </w:tc>
        <w:tc>
          <w:tcPr>
            <w:tcW w:w="0" w:type="auto"/>
            <w:vAlign w:val="center"/>
            <w:hideMark/>
          </w:tcPr>
          <w:p w14:paraId="7CFB616F"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 6</w:t>
            </w:r>
          </w:p>
        </w:tc>
      </w:tr>
      <w:tr w:rsidR="00D80B45" w:rsidRPr="00BB10E7" w14:paraId="454BE01E" w14:textId="77777777" w:rsidTr="00BB10E7">
        <w:trPr>
          <w:tblCellSpacing w:w="15" w:type="dxa"/>
        </w:trPr>
        <w:tc>
          <w:tcPr>
            <w:tcW w:w="0" w:type="auto"/>
            <w:vAlign w:val="center"/>
            <w:hideMark/>
          </w:tcPr>
          <w:p w14:paraId="7182B4A6"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Models and Inference</w:t>
            </w:r>
          </w:p>
        </w:tc>
        <w:tc>
          <w:tcPr>
            <w:tcW w:w="0" w:type="auto"/>
            <w:vAlign w:val="center"/>
            <w:hideMark/>
          </w:tcPr>
          <w:p w14:paraId="3E592AA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Generate responses from prompts or multimodal inputs</w:t>
            </w:r>
          </w:p>
        </w:tc>
        <w:tc>
          <w:tcPr>
            <w:tcW w:w="0" w:type="auto"/>
            <w:vAlign w:val="center"/>
            <w:hideMark/>
          </w:tcPr>
          <w:p w14:paraId="7DC64DA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Commercial APIs, open-weight models, inference engines</w:t>
            </w:r>
          </w:p>
        </w:tc>
        <w:tc>
          <w:tcPr>
            <w:tcW w:w="0" w:type="auto"/>
            <w:vAlign w:val="center"/>
            <w:hideMark/>
          </w:tcPr>
          <w:p w14:paraId="3B9E5C6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Chapters 3–5</w:t>
            </w:r>
          </w:p>
        </w:tc>
      </w:tr>
      <w:tr w:rsidR="00D80B45" w:rsidRPr="00BB10E7" w14:paraId="56E8B997" w14:textId="77777777" w:rsidTr="00BB10E7">
        <w:trPr>
          <w:tblCellSpacing w:w="15" w:type="dxa"/>
        </w:trPr>
        <w:tc>
          <w:tcPr>
            <w:tcW w:w="0" w:type="auto"/>
            <w:vAlign w:val="center"/>
            <w:hideMark/>
          </w:tcPr>
          <w:p w14:paraId="0AE1ACAD"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Tool Execution and Orchestration</w:t>
            </w:r>
          </w:p>
        </w:tc>
        <w:tc>
          <w:tcPr>
            <w:tcW w:w="0" w:type="auto"/>
            <w:vAlign w:val="center"/>
            <w:hideMark/>
          </w:tcPr>
          <w:p w14:paraId="0EAA312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Coordinate model interactions with external systems and business workflows</w:t>
            </w:r>
          </w:p>
        </w:tc>
        <w:tc>
          <w:tcPr>
            <w:tcW w:w="0" w:type="auto"/>
            <w:vAlign w:val="center"/>
            <w:hideMark/>
          </w:tcPr>
          <w:p w14:paraId="322C89DF"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Agent frameworks, workflow engines, tool execution runtimes</w:t>
            </w:r>
          </w:p>
        </w:tc>
        <w:tc>
          <w:tcPr>
            <w:tcW w:w="0" w:type="auto"/>
            <w:vAlign w:val="center"/>
            <w:hideMark/>
          </w:tcPr>
          <w:p w14:paraId="71B20EA5"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Chapters 7–9</w:t>
            </w:r>
          </w:p>
        </w:tc>
      </w:tr>
      <w:tr w:rsidR="00D80B45" w:rsidRPr="00BB10E7" w14:paraId="16EAD729" w14:textId="77777777" w:rsidTr="00BB10E7">
        <w:trPr>
          <w:tblCellSpacing w:w="15" w:type="dxa"/>
        </w:trPr>
        <w:tc>
          <w:tcPr>
            <w:tcW w:w="0" w:type="auto"/>
            <w:vAlign w:val="center"/>
            <w:hideMark/>
          </w:tcPr>
          <w:p w14:paraId="3924B431"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Knowledge and Retrieval</w:t>
            </w:r>
          </w:p>
        </w:tc>
        <w:tc>
          <w:tcPr>
            <w:tcW w:w="0" w:type="auto"/>
            <w:vAlign w:val="center"/>
            <w:hideMark/>
          </w:tcPr>
          <w:p w14:paraId="50218993"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Supply external knowledge beyond model parameters</w:t>
            </w:r>
          </w:p>
        </w:tc>
        <w:tc>
          <w:tcPr>
            <w:tcW w:w="0" w:type="auto"/>
            <w:vAlign w:val="center"/>
            <w:hideMark/>
          </w:tcPr>
          <w:p w14:paraId="31A7BB13"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Vector databases, search systems, retrieval pipelines</w:t>
            </w:r>
          </w:p>
        </w:tc>
        <w:tc>
          <w:tcPr>
            <w:tcW w:w="0" w:type="auto"/>
            <w:vAlign w:val="center"/>
            <w:hideMark/>
          </w:tcPr>
          <w:p w14:paraId="0AC0863F"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Chapters 10–12</w:t>
            </w:r>
          </w:p>
        </w:tc>
      </w:tr>
      <w:tr w:rsidR="00D80B45" w:rsidRPr="00BB10E7" w14:paraId="3903BB1E" w14:textId="77777777" w:rsidTr="00BB10E7">
        <w:trPr>
          <w:tblCellSpacing w:w="15" w:type="dxa"/>
        </w:trPr>
        <w:tc>
          <w:tcPr>
            <w:tcW w:w="0" w:type="auto"/>
            <w:vAlign w:val="center"/>
            <w:hideMark/>
          </w:tcPr>
          <w:p w14:paraId="4A4D032E"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Evaluation and Governance</w:t>
            </w:r>
          </w:p>
        </w:tc>
        <w:tc>
          <w:tcPr>
            <w:tcW w:w="0" w:type="auto"/>
            <w:vAlign w:val="center"/>
            <w:hideMark/>
          </w:tcPr>
          <w:p w14:paraId="077FD9E6"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Measure quality, reliability, safety, and policy compliance</w:t>
            </w:r>
          </w:p>
        </w:tc>
        <w:tc>
          <w:tcPr>
            <w:tcW w:w="0" w:type="auto"/>
            <w:vAlign w:val="center"/>
            <w:hideMark/>
          </w:tcPr>
          <w:p w14:paraId="4ED70C65"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Evaluation frameworks, guardrails, governance systems</w:t>
            </w:r>
          </w:p>
        </w:tc>
        <w:tc>
          <w:tcPr>
            <w:tcW w:w="0" w:type="auto"/>
            <w:vAlign w:val="center"/>
            <w:hideMark/>
          </w:tcPr>
          <w:p w14:paraId="2B034F3E"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Chapters 13–14</w:t>
            </w:r>
          </w:p>
        </w:tc>
      </w:tr>
      <w:tr w:rsidR="00D80B45" w:rsidRPr="00BB10E7" w14:paraId="57B01A86" w14:textId="77777777" w:rsidTr="00BB10E7">
        <w:trPr>
          <w:tblCellSpacing w:w="15" w:type="dxa"/>
        </w:trPr>
        <w:tc>
          <w:tcPr>
            <w:tcW w:w="0" w:type="auto"/>
            <w:vAlign w:val="center"/>
            <w:hideMark/>
          </w:tcPr>
          <w:p w14:paraId="5F2E2D36"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Platform Operations</w:t>
            </w:r>
          </w:p>
        </w:tc>
        <w:tc>
          <w:tcPr>
            <w:tcW w:w="0" w:type="auto"/>
            <w:vAlign w:val="center"/>
            <w:hideMark/>
          </w:tcPr>
          <w:p w14:paraId="09895D1E"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Deploy, monitor, scale, and manage production systems</w:t>
            </w:r>
          </w:p>
        </w:tc>
        <w:tc>
          <w:tcPr>
            <w:tcW w:w="0" w:type="auto"/>
            <w:vAlign w:val="center"/>
            <w:hideMark/>
          </w:tcPr>
          <w:p w14:paraId="75C5FBF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Deployment pipelines, observability platforms, operational tooling</w:t>
            </w:r>
          </w:p>
        </w:tc>
        <w:tc>
          <w:tcPr>
            <w:tcW w:w="0" w:type="auto"/>
            <w:vAlign w:val="center"/>
            <w:hideMark/>
          </w:tcPr>
          <w:p w14:paraId="47606283"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Chapters 15–17</w:t>
            </w:r>
          </w:p>
        </w:tc>
      </w:tr>
    </w:tbl>
    <w:p w14:paraId="19F665D7"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These layers should not be interpreted as a strict request-processing pipeline. Rather, they represent architectural responsibilities distributed across the platform. A single request may traverse several layers multiple times. For example, an agent may invoke multiple tools, perform repeated retrieval operations, or route requests between different models before generating a final response.</w:t>
      </w:r>
    </w:p>
    <w:p w14:paraId="1CADB6CF"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One of the most common misconceptions surrounding AI systems is that model quality alone determines production success. In practice, successful production deployments depend at least as much on the surrounding infrastructure as on the model itself. Authentication, routing, retries, caching, network reliability, storage systems, governance policies, deployment automation, and operational visibility </w:t>
      </w:r>
      <w:r w:rsidRPr="00046211">
        <w:rPr>
          <w:rFonts w:ascii="Times New Roman" w:eastAsia="Times New Roman" w:hAnsi="Times New Roman" w:cs="Times New Roman"/>
          <w:sz w:val="28"/>
          <w:szCs w:val="24"/>
        </w:rPr>
        <w:lastRenderedPageBreak/>
        <w:t>often determine whether an AI capability can be operated safely and economically at scale.</w:t>
      </w:r>
    </w:p>
    <w:p w14:paraId="4F4AE489"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Accordingly, this book treats AI platforms primarily as distributed software systems. The architectural principles governing scalability, fault tolerance, interoperability, security, and lifecycle management remain largely the same as those applied to other large-scale cloud-native systems. Foundation models introduce new workload characteristics, but they do not invalidate decades of accumulated engineering practice.</w:t>
      </w:r>
    </w:p>
    <w:p w14:paraId="072E4499"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Several of the platform layers introduced here deserve extensive treatment and are therefore intentionally deferred to later chapters. The architecture and implementation of inference engines are examined in Chapter 5. AI gateways, traffic management, and policy enforcement are explored in Chapter 6. Tool calling, orchestration, and workflow execution are covered in Chapters 7 through 9. Storage, retrieval, and knowledge systems are discussed in Chapters 10 through 12. Evaluation methodologies, security, governance, deployment strategies, observability, and cost engineering each receive dedicated chapters later in the book, allowing this introductory chapter to establish the conceptual landscape without prematurely introducing implementation details.</w:t>
      </w:r>
    </w:p>
    <w:p w14:paraId="150A597B" w14:textId="77777777" w:rsidR="00D80B45" w:rsidRPr="00046211" w:rsidRDefault="00D80B45" w:rsidP="00D80B45">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t>1.4 The AI Technology Landscape</w:t>
      </w:r>
    </w:p>
    <w:p w14:paraId="49178A7E"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modern AI ecosystem is remarkably diverse. A single production application may combine technologies developed by multiple organizations, deployed across several cloud providers, and governed by different operational teams. Unlike traditional enterprise software, where a single framework or platform often provides most required capabilities, AI systems are typically assembled from specialized components that evolve independently.</w:t>
      </w:r>
    </w:p>
    <w:p w14:paraId="2728D034"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This diversity is one of the defining characteristics of AI Platform Engineering. A production platform is rarely built around a single product or vendor. Instead, it consists of interoperable services responsible for distinct concerns such as model inference, traffic management, orchestration, knowledge retrieval, observability, security, and deployment. Each layer has its own ecosystem, release cadence, operational characteristics, and maturity level.</w:t>
      </w:r>
    </w:p>
    <w:p w14:paraId="63C818DB"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For engineers entering the field, the sheer number of available technologies can be overwhelming. New models appear weekly, inference engines evolve rapidly, orchestration frameworks compete to define emerging programming abstractions, </w:t>
      </w:r>
      <w:r w:rsidRPr="00046211">
        <w:rPr>
          <w:rFonts w:ascii="Times New Roman" w:eastAsia="Times New Roman" w:hAnsi="Times New Roman" w:cs="Times New Roman"/>
          <w:sz w:val="28"/>
          <w:szCs w:val="24"/>
        </w:rPr>
        <w:lastRenderedPageBreak/>
        <w:t>and cloud providers continuously expand managed AI offerings. The resulting landscape can appear fragmented and unstable.</w:t>
      </w:r>
    </w:p>
    <w:p w14:paraId="0E6E6BB8"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Despite this apparent complexity, the ecosystem can be understood by grouping technologies according to the engineering problems they solve rather than by their vendors. This perspective is considerably more durable than memorizing individual products, many of which will be renamed, replaced, or discontinued over the lifetime of a production system.</w:t>
      </w:r>
    </w:p>
    <w:p w14:paraId="3D27235F"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Table 1-4 introduces the principal technology categories that recur throughout this book. The examples are illustrative rather than exhaustive and should not be interpreted as endorsements. The objective is to familiarize readers with the architectural roles these technologies play rather than compare individual implementations.</w:t>
      </w:r>
    </w:p>
    <w:p w14:paraId="2184CFD3"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Table 1-4. Major Technology Categories in Modern AI Platforms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47"/>
        <w:gridCol w:w="3156"/>
        <w:gridCol w:w="3099"/>
        <w:gridCol w:w="1258"/>
      </w:tblGrid>
      <w:tr w:rsidR="00D80B45" w:rsidRPr="00BB10E7" w14:paraId="0B039D06" w14:textId="77777777" w:rsidTr="00BB10E7">
        <w:trPr>
          <w:tblHeader/>
          <w:tblCellSpacing w:w="15" w:type="dxa"/>
        </w:trPr>
        <w:tc>
          <w:tcPr>
            <w:tcW w:w="0" w:type="auto"/>
            <w:vAlign w:val="center"/>
            <w:hideMark/>
          </w:tcPr>
          <w:p w14:paraId="7F25A319"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Technology Category</w:t>
            </w:r>
          </w:p>
        </w:tc>
        <w:tc>
          <w:tcPr>
            <w:tcW w:w="0" w:type="auto"/>
            <w:vAlign w:val="center"/>
            <w:hideMark/>
          </w:tcPr>
          <w:p w14:paraId="61EEE0EE"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Primary Engineering Problem</w:t>
            </w:r>
          </w:p>
        </w:tc>
        <w:tc>
          <w:tcPr>
            <w:tcW w:w="0" w:type="auto"/>
            <w:vAlign w:val="center"/>
            <w:hideMark/>
          </w:tcPr>
          <w:p w14:paraId="2437E533"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Representative Examples</w:t>
            </w:r>
          </w:p>
        </w:tc>
        <w:tc>
          <w:tcPr>
            <w:tcW w:w="0" w:type="auto"/>
            <w:vAlign w:val="center"/>
            <w:hideMark/>
          </w:tcPr>
          <w:p w14:paraId="0F60AE19"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Detailed Coverage</w:t>
            </w:r>
          </w:p>
        </w:tc>
      </w:tr>
      <w:tr w:rsidR="00D80B45" w:rsidRPr="00BB10E7" w14:paraId="1235C5CD" w14:textId="77777777" w:rsidTr="00BB10E7">
        <w:trPr>
          <w:tblCellSpacing w:w="15" w:type="dxa"/>
        </w:trPr>
        <w:tc>
          <w:tcPr>
            <w:tcW w:w="0" w:type="auto"/>
            <w:vAlign w:val="center"/>
            <w:hideMark/>
          </w:tcPr>
          <w:p w14:paraId="24AB9B8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Commercial AI services</w:t>
            </w:r>
          </w:p>
        </w:tc>
        <w:tc>
          <w:tcPr>
            <w:tcW w:w="0" w:type="auto"/>
            <w:vAlign w:val="center"/>
            <w:hideMark/>
          </w:tcPr>
          <w:p w14:paraId="667AC4FD"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Provide managed access to foundation models without operating inference infrastructure</w:t>
            </w:r>
          </w:p>
        </w:tc>
        <w:tc>
          <w:tcPr>
            <w:tcW w:w="0" w:type="auto"/>
            <w:vAlign w:val="center"/>
            <w:hideMark/>
          </w:tcPr>
          <w:p w14:paraId="0EE3FF2C"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OpenAI, Anthropic, Google Gemini, Azure AI Foundry, Amazon Bedrock, Cohere</w:t>
            </w:r>
          </w:p>
        </w:tc>
        <w:tc>
          <w:tcPr>
            <w:tcW w:w="0" w:type="auto"/>
            <w:vAlign w:val="center"/>
            <w:hideMark/>
          </w:tcPr>
          <w:p w14:paraId="5BC0E59E"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 3</w:t>
            </w:r>
          </w:p>
        </w:tc>
      </w:tr>
      <w:tr w:rsidR="00D80B45" w:rsidRPr="00BB10E7" w14:paraId="13279F8C" w14:textId="77777777" w:rsidTr="00BB10E7">
        <w:trPr>
          <w:tblCellSpacing w:w="15" w:type="dxa"/>
        </w:trPr>
        <w:tc>
          <w:tcPr>
            <w:tcW w:w="0" w:type="auto"/>
            <w:vAlign w:val="center"/>
            <w:hideMark/>
          </w:tcPr>
          <w:p w14:paraId="33F2166D"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Open-weight models</w:t>
            </w:r>
          </w:p>
        </w:tc>
        <w:tc>
          <w:tcPr>
            <w:tcW w:w="0" w:type="auto"/>
            <w:vAlign w:val="center"/>
            <w:hideMark/>
          </w:tcPr>
          <w:p w14:paraId="69531BF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Allow organizations to deploy and customize models under varying licensing conditions</w:t>
            </w:r>
          </w:p>
        </w:tc>
        <w:tc>
          <w:tcPr>
            <w:tcW w:w="0" w:type="auto"/>
            <w:vAlign w:val="center"/>
            <w:hideMark/>
          </w:tcPr>
          <w:p w14:paraId="3465317E"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Llama, Mistral, Gemma, Qwen, DeepSeek, Granite</w:t>
            </w:r>
          </w:p>
        </w:tc>
        <w:tc>
          <w:tcPr>
            <w:tcW w:w="0" w:type="auto"/>
            <w:vAlign w:val="center"/>
            <w:hideMark/>
          </w:tcPr>
          <w:p w14:paraId="2928894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 4</w:t>
            </w:r>
          </w:p>
        </w:tc>
      </w:tr>
      <w:tr w:rsidR="00D80B45" w:rsidRPr="00BB10E7" w14:paraId="775A1ADB" w14:textId="77777777" w:rsidTr="00BB10E7">
        <w:trPr>
          <w:tblCellSpacing w:w="15" w:type="dxa"/>
        </w:trPr>
        <w:tc>
          <w:tcPr>
            <w:tcW w:w="0" w:type="auto"/>
            <w:vAlign w:val="center"/>
            <w:hideMark/>
          </w:tcPr>
          <w:p w14:paraId="7220722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Inference engines</w:t>
            </w:r>
          </w:p>
        </w:tc>
        <w:tc>
          <w:tcPr>
            <w:tcW w:w="0" w:type="auto"/>
            <w:vAlign w:val="center"/>
            <w:hideMark/>
          </w:tcPr>
          <w:p w14:paraId="61C8607D"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Execute models efficiently while optimizing hardware utilization, latency, and throughput</w:t>
            </w:r>
          </w:p>
        </w:tc>
        <w:tc>
          <w:tcPr>
            <w:tcW w:w="0" w:type="auto"/>
            <w:vAlign w:val="center"/>
            <w:hideMark/>
          </w:tcPr>
          <w:p w14:paraId="5F2A9445"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vLLM, TensorRT-LLM, SGLang, llama.cpp, Ollama</w:t>
            </w:r>
          </w:p>
        </w:tc>
        <w:tc>
          <w:tcPr>
            <w:tcW w:w="0" w:type="auto"/>
            <w:vAlign w:val="center"/>
            <w:hideMark/>
          </w:tcPr>
          <w:p w14:paraId="7F86F461"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 5</w:t>
            </w:r>
          </w:p>
        </w:tc>
      </w:tr>
      <w:tr w:rsidR="00D80B45" w:rsidRPr="00BB10E7" w14:paraId="0FE15965" w14:textId="77777777" w:rsidTr="00BB10E7">
        <w:trPr>
          <w:tblCellSpacing w:w="15" w:type="dxa"/>
        </w:trPr>
        <w:tc>
          <w:tcPr>
            <w:tcW w:w="0" w:type="auto"/>
            <w:vAlign w:val="center"/>
            <w:hideMark/>
          </w:tcPr>
          <w:p w14:paraId="56C539DF"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AI gateways</w:t>
            </w:r>
          </w:p>
        </w:tc>
        <w:tc>
          <w:tcPr>
            <w:tcW w:w="0" w:type="auto"/>
            <w:vAlign w:val="center"/>
            <w:hideMark/>
          </w:tcPr>
          <w:p w14:paraId="6749F2A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Provide authentication, routing, rate limiting, traffic management, and provider abstraction</w:t>
            </w:r>
          </w:p>
        </w:tc>
        <w:tc>
          <w:tcPr>
            <w:tcW w:w="0" w:type="auto"/>
            <w:vAlign w:val="center"/>
            <w:hideMark/>
          </w:tcPr>
          <w:p w14:paraId="1AEEFE49"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LiteLLM, Portkey, Kong AI Gateway, Cloudflare AI Gateway</w:t>
            </w:r>
          </w:p>
        </w:tc>
        <w:tc>
          <w:tcPr>
            <w:tcW w:w="0" w:type="auto"/>
            <w:vAlign w:val="center"/>
            <w:hideMark/>
          </w:tcPr>
          <w:p w14:paraId="5D9DF58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 6</w:t>
            </w:r>
          </w:p>
        </w:tc>
      </w:tr>
      <w:tr w:rsidR="00D80B45" w:rsidRPr="00BB10E7" w14:paraId="6E54A9EF" w14:textId="77777777" w:rsidTr="00BB10E7">
        <w:trPr>
          <w:tblCellSpacing w:w="15" w:type="dxa"/>
        </w:trPr>
        <w:tc>
          <w:tcPr>
            <w:tcW w:w="0" w:type="auto"/>
            <w:vAlign w:val="center"/>
            <w:hideMark/>
          </w:tcPr>
          <w:p w14:paraId="532F3C4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Agent and orchestration frameworks</w:t>
            </w:r>
          </w:p>
        </w:tc>
        <w:tc>
          <w:tcPr>
            <w:tcW w:w="0" w:type="auto"/>
            <w:vAlign w:val="center"/>
            <w:hideMark/>
          </w:tcPr>
          <w:p w14:paraId="562744CE"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Coordinate model interactions, tools, and multi-step reasoning workflows</w:t>
            </w:r>
          </w:p>
        </w:tc>
        <w:tc>
          <w:tcPr>
            <w:tcW w:w="0" w:type="auto"/>
            <w:vAlign w:val="center"/>
            <w:hideMark/>
          </w:tcPr>
          <w:p w14:paraId="3B877FB5"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LangGraph, Semantic Kernel, OpenAI Agents SDK, Google ADK, CrewAI</w:t>
            </w:r>
          </w:p>
        </w:tc>
        <w:tc>
          <w:tcPr>
            <w:tcW w:w="0" w:type="auto"/>
            <w:vAlign w:val="center"/>
            <w:hideMark/>
          </w:tcPr>
          <w:p w14:paraId="583B19AB"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Chapters 7–9</w:t>
            </w:r>
          </w:p>
        </w:tc>
      </w:tr>
      <w:tr w:rsidR="00D80B45" w:rsidRPr="00BB10E7" w14:paraId="12416D37" w14:textId="77777777" w:rsidTr="00BB10E7">
        <w:trPr>
          <w:tblCellSpacing w:w="15" w:type="dxa"/>
        </w:trPr>
        <w:tc>
          <w:tcPr>
            <w:tcW w:w="0" w:type="auto"/>
            <w:vAlign w:val="center"/>
            <w:hideMark/>
          </w:tcPr>
          <w:p w14:paraId="4108167B"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Storage and knowledge systems</w:t>
            </w:r>
          </w:p>
        </w:tc>
        <w:tc>
          <w:tcPr>
            <w:tcW w:w="0" w:type="auto"/>
            <w:vAlign w:val="center"/>
            <w:hideMark/>
          </w:tcPr>
          <w:p w14:paraId="6E5352CF"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Persist structured, unstructured, and vectorized data for AI applications</w:t>
            </w:r>
          </w:p>
        </w:tc>
        <w:tc>
          <w:tcPr>
            <w:tcW w:w="0" w:type="auto"/>
            <w:vAlign w:val="center"/>
            <w:hideMark/>
          </w:tcPr>
          <w:p w14:paraId="0D9CBF25"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PostgreSQL, Redis, object storage, vector databases, graph databases</w:t>
            </w:r>
          </w:p>
        </w:tc>
        <w:tc>
          <w:tcPr>
            <w:tcW w:w="0" w:type="auto"/>
            <w:vAlign w:val="center"/>
            <w:hideMark/>
          </w:tcPr>
          <w:p w14:paraId="515DB04D"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Chapters 10–12</w:t>
            </w:r>
          </w:p>
        </w:tc>
      </w:tr>
      <w:tr w:rsidR="00D80B45" w:rsidRPr="00BB10E7" w14:paraId="642DE600" w14:textId="77777777" w:rsidTr="00BB10E7">
        <w:trPr>
          <w:tblCellSpacing w:w="15" w:type="dxa"/>
        </w:trPr>
        <w:tc>
          <w:tcPr>
            <w:tcW w:w="0" w:type="auto"/>
            <w:vAlign w:val="center"/>
            <w:hideMark/>
          </w:tcPr>
          <w:p w14:paraId="73079864"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lastRenderedPageBreak/>
              <w:t>Evaluation and governance</w:t>
            </w:r>
          </w:p>
        </w:tc>
        <w:tc>
          <w:tcPr>
            <w:tcW w:w="0" w:type="auto"/>
            <w:vAlign w:val="center"/>
            <w:hideMark/>
          </w:tcPr>
          <w:p w14:paraId="056E242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Measure quality, safety, policy compliance, and model behavior</w:t>
            </w:r>
          </w:p>
        </w:tc>
        <w:tc>
          <w:tcPr>
            <w:tcW w:w="0" w:type="auto"/>
            <w:vAlign w:val="center"/>
            <w:hideMark/>
          </w:tcPr>
          <w:p w14:paraId="6D6C9366"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OpenEvals, DeepEval, LangSmith Evaluation, OpenAI Evals</w:t>
            </w:r>
          </w:p>
        </w:tc>
        <w:tc>
          <w:tcPr>
            <w:tcW w:w="0" w:type="auto"/>
            <w:vAlign w:val="center"/>
            <w:hideMark/>
          </w:tcPr>
          <w:p w14:paraId="795F9D99"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Chapters 13–14</w:t>
            </w:r>
          </w:p>
        </w:tc>
      </w:tr>
      <w:tr w:rsidR="00D80B45" w:rsidRPr="00BB10E7" w14:paraId="4FEC3548" w14:textId="77777777" w:rsidTr="00BB10E7">
        <w:trPr>
          <w:tblCellSpacing w:w="15" w:type="dxa"/>
        </w:trPr>
        <w:tc>
          <w:tcPr>
            <w:tcW w:w="0" w:type="auto"/>
            <w:vAlign w:val="center"/>
            <w:hideMark/>
          </w:tcPr>
          <w:p w14:paraId="4FDD6BBC"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Operational platforms</w:t>
            </w:r>
          </w:p>
        </w:tc>
        <w:tc>
          <w:tcPr>
            <w:tcW w:w="0" w:type="auto"/>
            <w:vAlign w:val="center"/>
            <w:hideMark/>
          </w:tcPr>
          <w:p w14:paraId="7C7AEE0D"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Deploy, monitor, and manage AI services in production</w:t>
            </w:r>
          </w:p>
        </w:tc>
        <w:tc>
          <w:tcPr>
            <w:tcW w:w="0" w:type="auto"/>
            <w:vAlign w:val="center"/>
            <w:hideMark/>
          </w:tcPr>
          <w:p w14:paraId="130B520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Kubernetes, OpenTelemetry, Argo CD, Helm, Prometheus</w:t>
            </w:r>
          </w:p>
        </w:tc>
        <w:tc>
          <w:tcPr>
            <w:tcW w:w="0" w:type="auto"/>
            <w:vAlign w:val="center"/>
            <w:hideMark/>
          </w:tcPr>
          <w:p w14:paraId="3455856B"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Chapters 15–17</w:t>
            </w:r>
          </w:p>
        </w:tc>
      </w:tr>
    </w:tbl>
    <w:p w14:paraId="33C4FC13"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Several observations emerge from this classification.</w:t>
      </w:r>
    </w:p>
    <w:p w14:paraId="2707347A"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First, no single technology category dominates the architecture. Although foundation models receive most public attention, they represent only one component of a considerably larger operational environment. In mature production systems, the majority of engineering effort frequently involves infrastructure surrounding the model rather than the model itself. Platform teams spend significant time designing deployment pipelines, integrating enterprise systems, implementing security policies, collecting operational telemetry, managing infrastructure costs, and ensuring service reliability.</w:t>
      </w:r>
    </w:p>
    <w:p w14:paraId="5A750269"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Second, these categories evolve at different rates. Networking standards, distributed tracing protocols, container orchestration platforms, and authentication mechanisms typically mature over many years. By contrast, model providers, inference optimizations, benchmarking methodologies, and agent frameworks often change several times within a single year. Recognizing this distinction helps engineers prioritize architectural stability over short-term technology trends.</w:t>
      </w:r>
    </w:p>
    <w:p w14:paraId="55EA6B08"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Third, technology categories increasingly overlap. Many cloud providers now offer managed inference, orchestration frameworks, evaluation services, and governance capabilities within integrated platforms. Conversely, open-source projects increasingly provide functionality once associated exclusively with commercial cloud services. As a result, selecting technologies involves evaluating architectural fit, operational maturity, and organizational requirements rather than assuming a clear distinction between proprietary and open ecosystems.</w:t>
      </w:r>
    </w:p>
    <w:p w14:paraId="1D18F989"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Throughout this book, technologies are therefore discussed primarily in terms of their architectural responsibilities and operational characteristics. Vendor comparisons are introduced only where they illuminate meaningful engineering trade-offs such as deployment flexibility, operational complexity, ecosystem maturity, licensing implications, or long-term maintainability.</w:t>
      </w:r>
    </w:p>
    <w:p w14:paraId="6229B843" w14:textId="77777777" w:rsidR="00D80B45" w:rsidRPr="00046211" w:rsidRDefault="00BB10E7" w:rsidP="00D80B45">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34D18B8D">
          <v:rect id="_x0000_i1027" style="width:0;height:1.5pt" o:hralign="center" o:hrstd="t" o:hr="t" fillcolor="#a0a0a0" stroked="f"/>
        </w:pict>
      </w:r>
    </w:p>
    <w:p w14:paraId="758EC4B8" w14:textId="77777777" w:rsidR="00D80B45" w:rsidRPr="00046211" w:rsidRDefault="00D80B45" w:rsidP="00D80B45">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lastRenderedPageBreak/>
        <w:t>1.5 AI Platform Architecture Is a System, Not a Model</w:t>
      </w:r>
    </w:p>
    <w:p w14:paraId="011DB3A5"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Public discussions of artificial intelligence frequently focus almost exclusively on the capabilities of individual models. Benchmark rankings, reasoning performance, context length, and multimodal capabilities dominate technical announcements and media coverage. While these characteristics are important, they represent only one dimension of a production AI system.</w:t>
      </w:r>
    </w:p>
    <w:p w14:paraId="6B816A86"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From an engineering perspective, an AI platform is fundamentally a distributed software system whose purpose is to incorporate model inference into larger business processes.</w:t>
      </w:r>
    </w:p>
    <w:p w14:paraId="5EE08F9D"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A user interacting with an enterprise AI application rarely communicates directly with a model. Instead, requests typically traverse multiple infrastructure components before reaching an inference engine. Authentication services verify identity and authorization. AI gateways select an appropriate model provider and apply routing policies. Retrieval systems gather relevant organizational knowledge. Orchestration components coordinate tool execution or multi-step workflows. External services perform business operations, while telemetry systems record metrics, traces, and logs for operational analysis. The model participates in this workflow, but it is only one participant.</w:t>
      </w:r>
    </w:p>
    <w:p w14:paraId="67F265DB"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This distinction is significant because many production failures originate outside the model itself. A highly capable model cannot compensate for missing retrieval data, incorrect authorization policies, unavailable external services, network failures, deployment errors, or insufficient operational visibility. Conversely, robust platform engineering can often improve the reliability and usefulness of AI applications without changing the underlying model.</w:t>
      </w:r>
    </w:p>
    <w:p w14:paraId="593A6B02"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architectural concerns governing AI platforms are therefore familiar to experienced software engineers. Scalability, fault tolerance, concurrency control, network communication, caching strategies, service discovery, authentication, authorization, observability, deployment automation, and disaster recovery remain essential design considerations. AI introduces new workload characteristics, but it does not replace the established principles of distributed systems engineering.</w:t>
      </w:r>
    </w:p>
    <w:p w14:paraId="31280D82"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This observation explains why many successful AI platform teams are multidisciplinary. Platform engineers contribute expertise in infrastructure </w:t>
      </w:r>
      <w:r w:rsidRPr="00046211">
        <w:rPr>
          <w:rFonts w:ascii="Times New Roman" w:eastAsia="Times New Roman" w:hAnsi="Times New Roman" w:cs="Times New Roman"/>
          <w:sz w:val="28"/>
          <w:szCs w:val="24"/>
        </w:rPr>
        <w:lastRenderedPageBreak/>
        <w:t>automation and cloud-native operations. Software engineers design application architectures and service interfaces. Site reliability engineers define operational objectives and incident response procedures. Security specialists establish governance policies and access controls. Data engineers manage information pipelines supporting retrieval and knowledge systems. AI specialists evaluate model capabilities and guide model selection. Effective platforms emerge through collaboration across these disciplines rather than through expertise in model development alone.</w:t>
      </w:r>
    </w:p>
    <w:p w14:paraId="689B0FA3"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Viewing AI systems as distributed platforms also changes how architectural success should be evaluated. Rather than asking whether a particular model achieves the highest benchmark score, engineers should consider broader operational questions.</w:t>
      </w:r>
    </w:p>
    <w:p w14:paraId="1FB3D122" w14:textId="77777777" w:rsidR="00D80B45" w:rsidRPr="00BB10E7" w:rsidRDefault="00D80B45" w:rsidP="00BB10E7">
      <w:pPr>
        <w:pStyle w:val="a8"/>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BB10E7">
        <w:rPr>
          <w:rFonts w:ascii="Times New Roman" w:eastAsia="Times New Roman" w:hAnsi="Times New Roman" w:cs="Times New Roman"/>
          <w:sz w:val="28"/>
          <w:szCs w:val="24"/>
        </w:rPr>
        <w:t>Can the platform continue serving requests when one provider becomes unavailable?</w:t>
      </w:r>
    </w:p>
    <w:p w14:paraId="506AD4ED" w14:textId="77777777" w:rsidR="00D80B45" w:rsidRPr="00BB10E7" w:rsidRDefault="00D80B45" w:rsidP="00BB10E7">
      <w:pPr>
        <w:pStyle w:val="a8"/>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BB10E7">
        <w:rPr>
          <w:rFonts w:ascii="Times New Roman" w:eastAsia="Times New Roman" w:hAnsi="Times New Roman" w:cs="Times New Roman"/>
          <w:sz w:val="28"/>
          <w:szCs w:val="24"/>
        </w:rPr>
        <w:t>Can new models be introduced without requiring application rewrites?</w:t>
      </w:r>
    </w:p>
    <w:p w14:paraId="2D775E31" w14:textId="77777777" w:rsidR="00D80B45" w:rsidRPr="00BB10E7" w:rsidRDefault="00D80B45" w:rsidP="00BB10E7">
      <w:pPr>
        <w:pStyle w:val="a8"/>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BB10E7">
        <w:rPr>
          <w:rFonts w:ascii="Times New Roman" w:eastAsia="Times New Roman" w:hAnsi="Times New Roman" w:cs="Times New Roman"/>
          <w:sz w:val="28"/>
          <w:szCs w:val="24"/>
        </w:rPr>
        <w:t>Can responses be audited for regulatory compliance?</w:t>
      </w:r>
    </w:p>
    <w:p w14:paraId="57654C53" w14:textId="77777777" w:rsidR="00D80B45" w:rsidRPr="00BB10E7" w:rsidRDefault="00D80B45" w:rsidP="00BB10E7">
      <w:pPr>
        <w:pStyle w:val="a8"/>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BB10E7">
        <w:rPr>
          <w:rFonts w:ascii="Times New Roman" w:eastAsia="Times New Roman" w:hAnsi="Times New Roman" w:cs="Times New Roman"/>
          <w:sz w:val="28"/>
          <w:szCs w:val="24"/>
        </w:rPr>
        <w:t>Can sensitive data be protected throughout inference and retrieval workflows?</w:t>
      </w:r>
    </w:p>
    <w:p w14:paraId="642DF3C7" w14:textId="77777777" w:rsidR="00D80B45" w:rsidRPr="00BB10E7" w:rsidRDefault="00D80B45" w:rsidP="00BB10E7">
      <w:pPr>
        <w:pStyle w:val="a8"/>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BB10E7">
        <w:rPr>
          <w:rFonts w:ascii="Times New Roman" w:eastAsia="Times New Roman" w:hAnsi="Times New Roman" w:cs="Times New Roman"/>
          <w:sz w:val="28"/>
          <w:szCs w:val="24"/>
        </w:rPr>
        <w:t>Can failures be diagnosed efficiently?</w:t>
      </w:r>
    </w:p>
    <w:p w14:paraId="51EDFB26" w14:textId="77777777" w:rsidR="00D80B45" w:rsidRPr="00BB10E7" w:rsidRDefault="00D80B45" w:rsidP="00BB10E7">
      <w:pPr>
        <w:pStyle w:val="a8"/>
        <w:numPr>
          <w:ilvl w:val="0"/>
          <w:numId w:val="15"/>
        </w:numPr>
        <w:spacing w:before="100" w:beforeAutospacing="1" w:after="100" w:afterAutospacing="1" w:line="240" w:lineRule="auto"/>
        <w:rPr>
          <w:rFonts w:ascii="Times New Roman" w:eastAsia="Times New Roman" w:hAnsi="Times New Roman" w:cs="Times New Roman"/>
          <w:sz w:val="28"/>
          <w:szCs w:val="24"/>
        </w:rPr>
      </w:pPr>
      <w:r w:rsidRPr="00BB10E7">
        <w:rPr>
          <w:rFonts w:ascii="Times New Roman" w:eastAsia="Times New Roman" w:hAnsi="Times New Roman" w:cs="Times New Roman"/>
          <w:sz w:val="28"/>
          <w:szCs w:val="24"/>
        </w:rPr>
        <w:t>Can infrastructure scale economically as demand increases?</w:t>
      </w:r>
    </w:p>
    <w:p w14:paraId="31C8C330"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These questions are architectural rather than algorithmic. They determine whether AI capabilities remain reliable over months or years of production operation.</w:t>
      </w:r>
    </w:p>
    <w:p w14:paraId="7DF4CEDE"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remainder of this book adopts this systems perspective consistently. Individual models, inference engines, retrieval systems, orchestration frameworks, and governance mechanisms are presented not as isolated technologies but as cooperating components within a larger platform architecture.</w:t>
      </w:r>
    </w:p>
    <w:p w14:paraId="33B110F6" w14:textId="77777777" w:rsidR="00D80B45" w:rsidRPr="00046211" w:rsidRDefault="00BB10E7" w:rsidP="00D80B45">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65E35D83">
          <v:rect id="_x0000_i1028" style="width:0;height:1.5pt" o:hralign="center" o:hrstd="t" o:hr="t" fillcolor="#a0a0a0" stroked="f"/>
        </w:pict>
      </w:r>
    </w:p>
    <w:p w14:paraId="2AE48004" w14:textId="77777777" w:rsidR="00D80B45" w:rsidRPr="00046211" w:rsidRDefault="00D80B45" w:rsidP="00D80B45">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t>1.6 Engineering Decisions Versus Product Selection</w:t>
      </w:r>
    </w:p>
    <w:p w14:paraId="1B0FDA58"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One of the most common mistakes made during AI adoption is allowing technology selection to precede architectural analysis.</w:t>
      </w:r>
    </w:p>
    <w:p w14:paraId="4A3820FC"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lastRenderedPageBreak/>
        <w:t>Organizations often begin with questions such as "Which model should we use?" or "Which agent framework is best?" While understandable, these questions assume that product selection is the primary architectural decision. In practice, experienced platform engineers approach the problem from the opposite direction.</w:t>
      </w:r>
    </w:p>
    <w:p w14:paraId="6656342B"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Engineering decisions begin with requirements.</w:t>
      </w:r>
    </w:p>
    <w:p w14:paraId="141C408C"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Every production AI system operates under a unique combination of technical, organizational, regulatory, and financial constraints. These constraints determine which architectural approaches are feasible and, consequently, which technologies are appropriate. Selecting a model or framework before understanding these requirements frequently results in unnecessary complexity, vendor lock-in, or costly redesigns later in the project lifecycle.</w:t>
      </w:r>
    </w:p>
    <w:p w14:paraId="1AE4F60E"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Requirements can be divided into several broad categories.</w:t>
      </w:r>
    </w:p>
    <w:p w14:paraId="5CC03D98"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Functional requirements describe the capabilities expected by users. Examples include conversational assistants, document analysis, software engineering support, multimodal processing, structured information extraction, or autonomous workflow execution.</w:t>
      </w:r>
    </w:p>
    <w:p w14:paraId="5607C722"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Non-functional requirements often exert even greater influence over architectural decisions. Latency objectives, availability targets, geographic deployment constraints, regulatory obligations, privacy requirements, throughput expectations, operational maturity, and budget limitations frequently determine whether commercial APIs, self-hosted inference, or hybrid architectures are appropriate.</w:t>
      </w:r>
    </w:p>
    <w:p w14:paraId="036F582B"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Organizational considerations are equally important. A small engineering team with limited operational experience may reasonably prioritize managed AI services to reduce infrastructure complexity. A large enterprise operating across multiple jurisdictions may instead prioritize deployment flexibility, governance, and infrastructure ownership despite higher operational costs. Neither decision is inherently superior; each reflects different organizational priorities.</w:t>
      </w:r>
    </w:p>
    <w:p w14:paraId="619623EA"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These relationships illustrate an important principle of platform engineering: requirements drive architecture, and architecture constrains technology selection.</w:t>
      </w:r>
    </w:p>
    <w:p w14:paraId="57ECADFC"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Table 1-5. Requirements and Their Architectural Implications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21"/>
        <w:gridCol w:w="3800"/>
        <w:gridCol w:w="3639"/>
      </w:tblGrid>
      <w:tr w:rsidR="00D80B45" w:rsidRPr="00BB10E7" w14:paraId="4F0B09A2" w14:textId="77777777" w:rsidTr="00BB10E7">
        <w:trPr>
          <w:tblHeader/>
          <w:tblCellSpacing w:w="15" w:type="dxa"/>
        </w:trPr>
        <w:tc>
          <w:tcPr>
            <w:tcW w:w="0" w:type="auto"/>
            <w:vAlign w:val="center"/>
            <w:hideMark/>
          </w:tcPr>
          <w:p w14:paraId="2DDB7E8E"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lastRenderedPageBreak/>
              <w:t>Requirement</w:t>
            </w:r>
          </w:p>
        </w:tc>
        <w:tc>
          <w:tcPr>
            <w:tcW w:w="0" w:type="auto"/>
            <w:vAlign w:val="center"/>
            <w:hideMark/>
          </w:tcPr>
          <w:p w14:paraId="5892D78A"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Architectural Considerations</w:t>
            </w:r>
          </w:p>
        </w:tc>
        <w:tc>
          <w:tcPr>
            <w:tcW w:w="0" w:type="auto"/>
            <w:vAlign w:val="center"/>
            <w:hideMark/>
          </w:tcPr>
          <w:p w14:paraId="1463ADB1" w14:textId="77777777" w:rsidR="00D80B45" w:rsidRPr="00BB10E7" w:rsidRDefault="00D80B45" w:rsidP="00D80B45">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Typical Technology Implications</w:t>
            </w:r>
          </w:p>
        </w:tc>
      </w:tr>
      <w:tr w:rsidR="00D80B45" w:rsidRPr="00BB10E7" w14:paraId="58A8F104" w14:textId="77777777" w:rsidTr="00BB10E7">
        <w:trPr>
          <w:tblCellSpacing w:w="15" w:type="dxa"/>
        </w:trPr>
        <w:tc>
          <w:tcPr>
            <w:tcW w:w="0" w:type="auto"/>
            <w:vAlign w:val="center"/>
            <w:hideMark/>
          </w:tcPr>
          <w:p w14:paraId="757D7DBD"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Low interactive latency</w:t>
            </w:r>
          </w:p>
        </w:tc>
        <w:tc>
          <w:tcPr>
            <w:tcW w:w="0" w:type="auto"/>
            <w:vAlign w:val="center"/>
            <w:hideMark/>
          </w:tcPr>
          <w:p w14:paraId="6A4DBF75"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Minimize network distance, optimize inference, reduce request overhead</w:t>
            </w:r>
          </w:p>
        </w:tc>
        <w:tc>
          <w:tcPr>
            <w:tcW w:w="0" w:type="auto"/>
            <w:vAlign w:val="center"/>
            <w:hideMark/>
          </w:tcPr>
          <w:p w14:paraId="43B6D8D3"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Regional deployment, optimized inference engines, request routing</w:t>
            </w:r>
          </w:p>
        </w:tc>
      </w:tr>
      <w:tr w:rsidR="00D80B45" w:rsidRPr="00BB10E7" w14:paraId="48293B26" w14:textId="77777777" w:rsidTr="00BB10E7">
        <w:trPr>
          <w:tblCellSpacing w:w="15" w:type="dxa"/>
        </w:trPr>
        <w:tc>
          <w:tcPr>
            <w:tcW w:w="0" w:type="auto"/>
            <w:vAlign w:val="center"/>
            <w:hideMark/>
          </w:tcPr>
          <w:p w14:paraId="6433028A"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Data sovereignty</w:t>
            </w:r>
          </w:p>
        </w:tc>
        <w:tc>
          <w:tcPr>
            <w:tcW w:w="0" w:type="auto"/>
            <w:vAlign w:val="center"/>
            <w:hideMark/>
          </w:tcPr>
          <w:p w14:paraId="13F54B0B"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Control where data is processed and stored</w:t>
            </w:r>
          </w:p>
        </w:tc>
        <w:tc>
          <w:tcPr>
            <w:tcW w:w="0" w:type="auto"/>
            <w:vAlign w:val="center"/>
            <w:hideMark/>
          </w:tcPr>
          <w:p w14:paraId="444C8F7B"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Self-hosted models, regional cloud deployments, private networking</w:t>
            </w:r>
          </w:p>
        </w:tc>
      </w:tr>
      <w:tr w:rsidR="00D80B45" w:rsidRPr="00BB10E7" w14:paraId="438C9C40" w14:textId="77777777" w:rsidTr="00BB10E7">
        <w:trPr>
          <w:tblCellSpacing w:w="15" w:type="dxa"/>
        </w:trPr>
        <w:tc>
          <w:tcPr>
            <w:tcW w:w="0" w:type="auto"/>
            <w:vAlign w:val="center"/>
            <w:hideMark/>
          </w:tcPr>
          <w:p w14:paraId="70CEF5FF"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High availability</w:t>
            </w:r>
          </w:p>
        </w:tc>
        <w:tc>
          <w:tcPr>
            <w:tcW w:w="0" w:type="auto"/>
            <w:vAlign w:val="center"/>
            <w:hideMark/>
          </w:tcPr>
          <w:p w14:paraId="4EC025A2"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Eliminate single points of failure and provider dependence</w:t>
            </w:r>
          </w:p>
        </w:tc>
        <w:tc>
          <w:tcPr>
            <w:tcW w:w="0" w:type="auto"/>
            <w:vAlign w:val="center"/>
            <w:hideMark/>
          </w:tcPr>
          <w:p w14:paraId="3C708434"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Multi-region deployment, provider failover, resilient gateways</w:t>
            </w:r>
          </w:p>
        </w:tc>
      </w:tr>
      <w:tr w:rsidR="00D80B45" w:rsidRPr="00BB10E7" w14:paraId="0BF7C6B6" w14:textId="77777777" w:rsidTr="00BB10E7">
        <w:trPr>
          <w:tblCellSpacing w:w="15" w:type="dxa"/>
        </w:trPr>
        <w:tc>
          <w:tcPr>
            <w:tcW w:w="0" w:type="auto"/>
            <w:vAlign w:val="center"/>
            <w:hideMark/>
          </w:tcPr>
          <w:p w14:paraId="0453298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Rapid feature delivery</w:t>
            </w:r>
          </w:p>
        </w:tc>
        <w:tc>
          <w:tcPr>
            <w:tcW w:w="0" w:type="auto"/>
            <w:vAlign w:val="center"/>
            <w:hideMark/>
          </w:tcPr>
          <w:p w14:paraId="056CF790"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Reduce operational complexity</w:t>
            </w:r>
          </w:p>
        </w:tc>
        <w:tc>
          <w:tcPr>
            <w:tcW w:w="0" w:type="auto"/>
            <w:vAlign w:val="center"/>
            <w:hideMark/>
          </w:tcPr>
          <w:p w14:paraId="406208C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Managed AI services, standardized APIs, reusable platform components</w:t>
            </w:r>
          </w:p>
        </w:tc>
      </w:tr>
      <w:tr w:rsidR="00D80B45" w:rsidRPr="00BB10E7" w14:paraId="4165CA9A" w14:textId="77777777" w:rsidTr="00BB10E7">
        <w:trPr>
          <w:tblCellSpacing w:w="15" w:type="dxa"/>
        </w:trPr>
        <w:tc>
          <w:tcPr>
            <w:tcW w:w="0" w:type="auto"/>
            <w:vAlign w:val="center"/>
            <w:hideMark/>
          </w:tcPr>
          <w:p w14:paraId="3B8EF6BB"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Regulatory compliance</w:t>
            </w:r>
          </w:p>
        </w:tc>
        <w:tc>
          <w:tcPr>
            <w:tcW w:w="0" w:type="auto"/>
            <w:vAlign w:val="center"/>
            <w:hideMark/>
          </w:tcPr>
          <w:p w14:paraId="769C29C4"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Ensure auditing, policy enforcement, and governance</w:t>
            </w:r>
          </w:p>
        </w:tc>
        <w:tc>
          <w:tcPr>
            <w:tcW w:w="0" w:type="auto"/>
            <w:vAlign w:val="center"/>
            <w:hideMark/>
          </w:tcPr>
          <w:p w14:paraId="5FFB2921"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Access controls, logging, policy engines, deployment controls</w:t>
            </w:r>
          </w:p>
        </w:tc>
      </w:tr>
      <w:tr w:rsidR="00D80B45" w:rsidRPr="00BB10E7" w14:paraId="3B233E96" w14:textId="77777777" w:rsidTr="00BB10E7">
        <w:trPr>
          <w:tblCellSpacing w:w="15" w:type="dxa"/>
        </w:trPr>
        <w:tc>
          <w:tcPr>
            <w:tcW w:w="0" w:type="auto"/>
            <w:vAlign w:val="center"/>
            <w:hideMark/>
          </w:tcPr>
          <w:p w14:paraId="791A5A32"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Predictable operating costs</w:t>
            </w:r>
          </w:p>
        </w:tc>
        <w:tc>
          <w:tcPr>
            <w:tcW w:w="0" w:type="auto"/>
            <w:vAlign w:val="center"/>
            <w:hideMark/>
          </w:tcPr>
          <w:p w14:paraId="030331B8"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Control infrastructure utilization and provider pricing exposure</w:t>
            </w:r>
          </w:p>
        </w:tc>
        <w:tc>
          <w:tcPr>
            <w:tcW w:w="0" w:type="auto"/>
            <w:vAlign w:val="center"/>
            <w:hideMark/>
          </w:tcPr>
          <w:p w14:paraId="2C971592" w14:textId="77777777" w:rsidR="00D80B45" w:rsidRPr="00BB10E7" w:rsidRDefault="00D80B45" w:rsidP="00D80B45">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Capacity planning, model routing strategies, hybrid deployments</w:t>
            </w:r>
          </w:p>
        </w:tc>
      </w:tr>
    </w:tbl>
    <w:p w14:paraId="5224C1FB"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relationship between requirements and technology selection also explains why there is rarely a universally "best" AI stack. A startup building an internal productivity assistant, a regulated financial institution, a government agency operating in isolated environments, and a global software company serving millions of users face fundamentally different constraints. Their platforms may therefore employ different combinations of models, deployment strategies, orchestration frameworks, and operational tooling while each representing a sound engineering solution.</w:t>
      </w:r>
    </w:p>
    <w:p w14:paraId="67328A94"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This perspective encourages a healthy skepticism toward technology rankings and product comparisons. Benchmarks, feature matrices, and community popularity provide useful information, but they cannot determine architectural suitability in isolation. A model that performs exceptionally well on public benchmarks may be unsuitable because of licensing restrictions, operational costs, unavailable deployment options, or integration complexity. Conversely, a model with lower benchmark scores may provide the most appropriate balance of performance, privacy, reliability, and operational simplicity for a particular organization.</w:t>
      </w:r>
    </w:p>
    <w:p w14:paraId="18FB4C26"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Throughout the remainder of this book, technologies are therefore evaluated using a consistent set of engineering criteria rather than popularity or novelty. These criteria include architectural compatibility, operational maturity, deployment flexibility, ecosystem support, interoperability, security posture, performance characteristics, total cost of ownership, and long-term maintainability. This framework provides a more durable basis for technology selection than chasing the latest benchmark leader or framework release.</w:t>
      </w:r>
    </w:p>
    <w:p w14:paraId="7BA5155C" w14:textId="77777777" w:rsidR="00D80B45" w:rsidRPr="00046211" w:rsidRDefault="00D80B45" w:rsidP="00D80B45">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lastRenderedPageBreak/>
        <w:t>The following sections build upon this philosophy by examining how evidence should be gathered, interpreted, and applied when evaluating rapidly evolving AI technologies.</w:t>
      </w:r>
    </w:p>
    <w:p w14:paraId="0731562C" w14:textId="77777777" w:rsidR="00D80B45" w:rsidRPr="00046211" w:rsidRDefault="00D80B45" w:rsidP="00D80B45">
      <w:pPr>
        <w:pStyle w:val="1"/>
        <w:rPr>
          <w:sz w:val="52"/>
        </w:rPr>
      </w:pPr>
      <w:r w:rsidRPr="00046211">
        <w:rPr>
          <w:sz w:val="52"/>
        </w:rPr>
        <w:t>1.7 Understanding the AI Hype Cycle</w:t>
      </w:r>
    </w:p>
    <w:p w14:paraId="0AC39142" w14:textId="77777777" w:rsidR="00D80B45" w:rsidRPr="00046211" w:rsidRDefault="00D80B45" w:rsidP="00D80B45">
      <w:pPr>
        <w:pStyle w:val="a3"/>
        <w:rPr>
          <w:sz w:val="28"/>
        </w:rPr>
      </w:pPr>
      <w:r w:rsidRPr="00046211">
        <w:rPr>
          <w:sz w:val="28"/>
        </w:rPr>
        <w:t>Few areas of software engineering evolve as rapidly—or generate as much public attention—as generative artificial intelligence. New foundation models, benchmarks, inference techniques, and agent frameworks are announced at a pace that can make the ecosystem appear fundamentally different every few months. Marketing materials often describe each release as a major breakthrough, while social media amplifies benchmark improvements, demonstration videos, and anecdotal success stories. For engineers responsible for long-lived production systems, this environment creates a difficult challenge: distinguishing durable technological progress from short-term market excitement.</w:t>
      </w:r>
    </w:p>
    <w:p w14:paraId="0BA83818" w14:textId="77777777" w:rsidR="00D80B45" w:rsidRPr="00046211" w:rsidRDefault="00D80B45" w:rsidP="00D80B45">
      <w:pPr>
        <w:pStyle w:val="a3"/>
        <w:rPr>
          <w:sz w:val="28"/>
        </w:rPr>
      </w:pPr>
      <w:r w:rsidRPr="00046211">
        <w:rPr>
          <w:sz w:val="28"/>
        </w:rPr>
        <w:t>Every emerging technology experiences periods during which expectations temporarily exceed practical capabilities. Artificial intelligence is no exception. Many concepts that are now considered standard—including deep learning, cloud computing, containers, and Kubernetes—experienced cycles of intense enthusiasm followed by more measured adoption as engineering practice matured. Over time, successful technologies become integrated into broader software ecosystems, while others fail to achieve widespread operational use despite early attention.</w:t>
      </w:r>
    </w:p>
    <w:p w14:paraId="4F7C9D27" w14:textId="77777777" w:rsidR="00D80B45" w:rsidRPr="00046211" w:rsidRDefault="00D80B45" w:rsidP="00D80B45">
      <w:pPr>
        <w:pStyle w:val="a3"/>
        <w:rPr>
          <w:sz w:val="28"/>
        </w:rPr>
      </w:pPr>
      <w:r w:rsidRPr="00046211">
        <w:rPr>
          <w:sz w:val="28"/>
        </w:rPr>
        <w:t>The current AI ecosystem exhibits many characteristics of this maturation process. Foundation models continue to improve rapidly, but advances in model capability are only one dimension of platform evolution. Equally important developments have occurred in inference optimization, AI networking, retrieval systems, governance, evaluation methodologies, and operational tooling. Many of these improvements receive less public attention than new model releases, yet they often have greater impact on the reliability and maintainability of production systems.</w:t>
      </w:r>
    </w:p>
    <w:p w14:paraId="7AA5AFFD" w14:textId="77777777" w:rsidR="00D80B45" w:rsidRPr="00046211" w:rsidRDefault="00D80B45" w:rsidP="00D80B45">
      <w:pPr>
        <w:pStyle w:val="a3"/>
        <w:rPr>
          <w:sz w:val="28"/>
        </w:rPr>
      </w:pPr>
      <w:r w:rsidRPr="00046211">
        <w:rPr>
          <w:sz w:val="28"/>
        </w:rPr>
        <w:t>For this reason, engineers should avoid equating technological visibility with architectural importance. The components that receive the least attention in product announcements—deployment automation, observability, authentication, policy enforcement, caching, version management, and operational governance—are frequently those that determine whether an AI capability can be operated successfully at enterprise scale.</w:t>
      </w:r>
    </w:p>
    <w:p w14:paraId="415D8069" w14:textId="77777777" w:rsidR="00D80B45" w:rsidRPr="00046211" w:rsidRDefault="00D80B45" w:rsidP="00D80B45">
      <w:pPr>
        <w:pStyle w:val="a3"/>
        <w:rPr>
          <w:sz w:val="28"/>
        </w:rPr>
      </w:pPr>
      <w:r w:rsidRPr="00046211">
        <w:rPr>
          <w:sz w:val="28"/>
        </w:rPr>
        <w:lastRenderedPageBreak/>
        <w:t>The rapid pace of announcements also creates an illusion that complete architectural redesign is constantly required. In reality, most production platforms evolve incrementally. Organizations rarely replace every component simultaneously. Instead, new models are introduced behind stable interfaces, inference engines are upgraded independently of application logic, evaluation frameworks evolve without changing deployment pipelines, and governance policies mature alongside regulatory requirements. Well-designed platforms intentionally isolate these changes through abstraction layers and modular architecture.</w:t>
      </w:r>
    </w:p>
    <w:p w14:paraId="3B140D98" w14:textId="77777777" w:rsidR="00D80B45" w:rsidRPr="00046211" w:rsidRDefault="00D80B45" w:rsidP="00D80B45">
      <w:pPr>
        <w:pStyle w:val="a3"/>
        <w:rPr>
          <w:sz w:val="28"/>
        </w:rPr>
      </w:pPr>
      <w:r w:rsidRPr="00046211">
        <w:rPr>
          <w:sz w:val="28"/>
        </w:rPr>
        <w:t>Another source of confusion arises from the different time horizons associated with AI technologies. Models may improve every few months, inference engines several times each year, and orchestration frameworks evolve rapidly as new programming paradigms emerge. By contrast, distributed systems principles, networking protocols, authentication standards, relational databases, container orchestration, and observability frameworks evolve much more gradually. Recognizing this distinction helps engineers invest their attention appropriately. Stable architectural principles deserve long-term commitment, whereas rapidly evolving technologies should be incorporated through interfaces that minimize future migration effort.</w:t>
      </w:r>
    </w:p>
    <w:p w14:paraId="0B5A44B5" w14:textId="77777777" w:rsidR="00D80B45" w:rsidRPr="00046211" w:rsidRDefault="00D80B45" w:rsidP="00D80B45">
      <w:pPr>
        <w:pStyle w:val="a3"/>
        <w:rPr>
          <w:sz w:val="28"/>
        </w:rPr>
      </w:pPr>
      <w:r w:rsidRPr="00046211">
        <w:rPr>
          <w:sz w:val="28"/>
        </w:rPr>
        <w:t>The visibility of AI announcements can also distort engineering priorities. Public discussion frequently centers on identifying the "best" model or the newest agent framework, even though these decisions rarely determine overall platform success. A production system with slightly lower benchmark performance but strong governance, predictable deployment processes, comprehensive observability, and efficient operational practices will often deliver greater long-term business value than a system built around the latest model but lacking operational maturity.</w:t>
      </w:r>
    </w:p>
    <w:p w14:paraId="210A87FB" w14:textId="77777777" w:rsidR="00D80B45" w:rsidRPr="00046211" w:rsidRDefault="00D80B45" w:rsidP="00D80B45">
      <w:pPr>
        <w:pStyle w:val="a3"/>
        <w:rPr>
          <w:sz w:val="28"/>
        </w:rPr>
      </w:pPr>
      <w:r w:rsidRPr="00046211">
        <w:rPr>
          <w:sz w:val="28"/>
        </w:rPr>
        <w:t>The objective of this chapter is therefore not to discourage adoption of new technologies, but to encourage disciplined evaluation. Innovation should be embraced when it addresses identifiable engineering problems and demonstrates measurable advantages under realistic production conditions. Novelty alone is not sufficient justification for architectural change.</w:t>
      </w:r>
    </w:p>
    <w:p w14:paraId="2C0F72D0" w14:textId="77777777" w:rsidR="00D80B45" w:rsidRPr="00046211" w:rsidRDefault="00D80B45" w:rsidP="00D80B45">
      <w:pPr>
        <w:pStyle w:val="a3"/>
        <w:rPr>
          <w:sz w:val="28"/>
        </w:rPr>
      </w:pPr>
      <w:r w:rsidRPr="00046211">
        <w:rPr>
          <w:sz w:val="28"/>
        </w:rPr>
        <w:t xml:space="preserve">Throughout this book, technologies are presented according to their engineering maturity rather than their popularity. Mature technologies represent established industry practice supported by operational experience and stable ecosystems. Emerging technologies may offer significant potential but often require additional evaluation before they become suitable for critical production workloads. </w:t>
      </w:r>
      <w:r w:rsidRPr="00046211">
        <w:rPr>
          <w:sz w:val="28"/>
        </w:rPr>
        <w:lastRenderedPageBreak/>
        <w:t>Understanding this distinction allows organizations to innovate without exposing core business systems to unnecessary operational risk.</w:t>
      </w:r>
    </w:p>
    <w:p w14:paraId="67B46C1A" w14:textId="77777777" w:rsidR="00D80B45" w:rsidRPr="00046211" w:rsidRDefault="00BB10E7" w:rsidP="00D80B45">
      <w:pPr>
        <w:rPr>
          <w:sz w:val="24"/>
        </w:rPr>
      </w:pPr>
      <w:r>
        <w:rPr>
          <w:sz w:val="24"/>
        </w:rPr>
        <w:pict w14:anchorId="5E875AC2">
          <v:rect id="_x0000_i1029" style="width:0;height:1.5pt" o:hralign="center" o:hrstd="t" o:hr="t" fillcolor="#a0a0a0" stroked="f"/>
        </w:pict>
      </w:r>
    </w:p>
    <w:p w14:paraId="0FA419C9" w14:textId="77777777" w:rsidR="00D80B45" w:rsidRPr="00046211" w:rsidRDefault="00D80B45" w:rsidP="00D80B45">
      <w:pPr>
        <w:pStyle w:val="1"/>
        <w:rPr>
          <w:sz w:val="52"/>
        </w:rPr>
      </w:pPr>
      <w:r w:rsidRPr="00046211">
        <w:rPr>
          <w:sz w:val="52"/>
        </w:rPr>
        <w:t>1.8 Evidence-Based Technology Evaluation</w:t>
      </w:r>
    </w:p>
    <w:p w14:paraId="257DDC8F" w14:textId="77777777" w:rsidR="00D80B45" w:rsidRPr="00046211" w:rsidRDefault="00D80B45" w:rsidP="00D80B45">
      <w:pPr>
        <w:pStyle w:val="a3"/>
        <w:rPr>
          <w:sz w:val="28"/>
        </w:rPr>
      </w:pPr>
      <w:r w:rsidRPr="00046211">
        <w:rPr>
          <w:sz w:val="28"/>
        </w:rPr>
        <w:t>Given the speed at which AI technologies evolve, one of the most valuable skills for platform engineers is the ability to evaluate technical claims critically. Unlike mature engineering disciplines, where standards and best practices often emerge over decades, generative AI is characterized by continuous experimentation, rapid product releases, and highly competitive marketing. As a result, information varies considerably in quality, reproducibility, and long-term reliability.</w:t>
      </w:r>
    </w:p>
    <w:p w14:paraId="688317B0" w14:textId="77777777" w:rsidR="00D80B45" w:rsidRPr="00046211" w:rsidRDefault="00D80B45" w:rsidP="00D80B45">
      <w:pPr>
        <w:pStyle w:val="a3"/>
        <w:rPr>
          <w:sz w:val="28"/>
        </w:rPr>
      </w:pPr>
      <w:r w:rsidRPr="00046211">
        <w:rPr>
          <w:sz w:val="28"/>
        </w:rPr>
        <w:t>An evidence-based approach does not assume that every published benchmark, technical report, or product announcement represents objective truth. Instead, it recognizes that different sources provide different forms of evidence, each with distinct strengths and limitations. The role of the engineer is to combine these sources to build a balanced understanding of a technology's capabilities and operational implications.</w:t>
      </w:r>
    </w:p>
    <w:p w14:paraId="0830AE8E" w14:textId="77777777" w:rsidR="00D80B45" w:rsidRPr="00046211" w:rsidRDefault="00D80B45" w:rsidP="00D80B45">
      <w:pPr>
        <w:pStyle w:val="a3"/>
        <w:rPr>
          <w:sz w:val="28"/>
        </w:rPr>
      </w:pPr>
      <w:r w:rsidRPr="00046211">
        <w:rPr>
          <w:sz w:val="28"/>
        </w:rPr>
        <w:t>Official documentation is typically the primary source for understanding supported features, APIs, deployment requirements, configuration options, and operational recommendations. Documentation reflects the vendor's intended behavior and should generally be treated as authoritative for describing interfaces and supported functionality. However, documentation rarely provides objective comparisons with competing technologies and naturally emphasizes successful use cases over limitations.</w:t>
      </w:r>
    </w:p>
    <w:p w14:paraId="4EA53B7A" w14:textId="77777777" w:rsidR="00D80B45" w:rsidRPr="00046211" w:rsidRDefault="00D80B45" w:rsidP="00D80B45">
      <w:pPr>
        <w:pStyle w:val="a3"/>
        <w:rPr>
          <w:sz w:val="28"/>
        </w:rPr>
      </w:pPr>
      <w:r w:rsidRPr="00046211">
        <w:rPr>
          <w:sz w:val="28"/>
        </w:rPr>
        <w:t>Research papers serve a different purpose. Peer-reviewed publications and technical reports explain algorithms, system designs, architectural innovations, and experimental methodology in considerably greater detail than product documentation. Foundational papers often remain valuable long after specific implementations have evolved because they explain the engineering rationale behind important techniques such as Transformer architectures, attention mechanisms, scaling laws, retrieval methods, or inference optimization.</w:t>
      </w:r>
    </w:p>
    <w:p w14:paraId="33E79282" w14:textId="77777777" w:rsidR="00D80B45" w:rsidRPr="00046211" w:rsidRDefault="00D80B45" w:rsidP="00D80B45">
      <w:pPr>
        <w:pStyle w:val="a3"/>
        <w:rPr>
          <w:sz w:val="28"/>
        </w:rPr>
      </w:pPr>
      <w:r w:rsidRPr="00046211">
        <w:rPr>
          <w:sz w:val="28"/>
        </w:rPr>
        <w:lastRenderedPageBreak/>
        <w:t>Engineering blogs occupy an intermediate position between research and documentation. Technical organizations increasingly publish detailed articles describing production architectures, infrastructure optimizations, operational challenges, and engineering trade-offs encountered while operating large-scale AI systems. Although these articles generally describe real production experience, they should still be interpreted within the context of the author's infrastructure, workload characteristics, and organizational priorities. An optimization that produces substantial improvements for a hyperscale cloud provider may offer limited benefits for a small enterprise deployment.</w:t>
      </w:r>
    </w:p>
    <w:p w14:paraId="55EC613D" w14:textId="77777777" w:rsidR="00D80B45" w:rsidRPr="00046211" w:rsidRDefault="00D80B45" w:rsidP="00D80B45">
      <w:pPr>
        <w:pStyle w:val="a3"/>
        <w:rPr>
          <w:sz w:val="28"/>
        </w:rPr>
      </w:pPr>
      <w:r w:rsidRPr="00046211">
        <w:rPr>
          <w:sz w:val="28"/>
        </w:rPr>
        <w:t>Independent benchmarks and community evaluations provide another valuable perspective because they attempt to compare technologies under common evaluation conditions. Organizations such as MLCommons have demonstrated the importance of standardized benchmarking methodology for inference performance, while independent evaluation frameworks increasingly assess language models using publicly documented procedures. These sources often provide more reproducible evidence than isolated vendor demonstrations because they define explicit testing methodologies and encourage comparable experimental conditions.</w:t>
      </w:r>
    </w:p>
    <w:p w14:paraId="685B3D18" w14:textId="77777777" w:rsidR="00D80B45" w:rsidRPr="00046211" w:rsidRDefault="00D80B45" w:rsidP="00D80B45">
      <w:pPr>
        <w:pStyle w:val="a3"/>
        <w:rPr>
          <w:sz w:val="28"/>
        </w:rPr>
      </w:pPr>
      <w:r w:rsidRPr="00046211">
        <w:rPr>
          <w:sz w:val="28"/>
        </w:rPr>
        <w:t>Operational experience provides an additional form of evidence that is frequently underrepresented in public discussions. Community reports, conference presentations, postmortems, and long-term deployment case studies often reveal operational challenges that are difficult to identify from benchmarks alone. Memory consumption, upgrade complexity, ecosystem maturity, documentation quality, failure recovery, and integration effort frequently become visible only after technologies have been deployed in production environments.</w:t>
      </w:r>
    </w:p>
    <w:p w14:paraId="0F43BD0E" w14:textId="77777777" w:rsidR="00D80B45" w:rsidRPr="00046211" w:rsidRDefault="00D80B45" w:rsidP="00D80B45">
      <w:pPr>
        <w:pStyle w:val="a3"/>
        <w:rPr>
          <w:sz w:val="28"/>
        </w:rPr>
      </w:pPr>
      <w:r w:rsidRPr="00046211">
        <w:rPr>
          <w:sz w:val="28"/>
        </w:rPr>
        <w:t>No single source should therefore dominate engineering decisions. Instead, architectural evaluation should synthesize multiple forms of evidence.</w:t>
      </w:r>
    </w:p>
    <w:p w14:paraId="34B874D0" w14:textId="77777777" w:rsidR="00D80B45" w:rsidRPr="00046211" w:rsidRDefault="00D80B45" w:rsidP="00D80B45">
      <w:pPr>
        <w:pStyle w:val="a3"/>
        <w:rPr>
          <w:sz w:val="28"/>
        </w:rPr>
      </w:pPr>
      <w:r w:rsidRPr="00046211">
        <w:rPr>
          <w:rStyle w:val="a4"/>
          <w:sz w:val="28"/>
        </w:rPr>
        <w:t>Table 1-6. Common Sources of Engineering Evidence</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792"/>
        <w:gridCol w:w="2455"/>
        <w:gridCol w:w="2529"/>
        <w:gridCol w:w="2584"/>
      </w:tblGrid>
      <w:tr w:rsidR="00D80B45" w:rsidRPr="00BB10E7" w14:paraId="4657EE54" w14:textId="77777777" w:rsidTr="00BB10E7">
        <w:trPr>
          <w:tblHeader/>
          <w:tblCellSpacing w:w="15" w:type="dxa"/>
        </w:trPr>
        <w:tc>
          <w:tcPr>
            <w:tcW w:w="0" w:type="auto"/>
            <w:vAlign w:val="center"/>
            <w:hideMark/>
          </w:tcPr>
          <w:p w14:paraId="23662848" w14:textId="77777777" w:rsidR="00D80B45" w:rsidRPr="00BB10E7" w:rsidRDefault="00D80B45">
            <w:pPr>
              <w:jc w:val="center"/>
              <w:rPr>
                <w:b/>
                <w:bCs/>
                <w:szCs w:val="20"/>
              </w:rPr>
            </w:pPr>
            <w:r w:rsidRPr="00BB10E7">
              <w:rPr>
                <w:b/>
                <w:bCs/>
                <w:szCs w:val="20"/>
              </w:rPr>
              <w:t>Evidence Source</w:t>
            </w:r>
          </w:p>
        </w:tc>
        <w:tc>
          <w:tcPr>
            <w:tcW w:w="0" w:type="auto"/>
            <w:vAlign w:val="center"/>
            <w:hideMark/>
          </w:tcPr>
          <w:p w14:paraId="21240808" w14:textId="77777777" w:rsidR="00D80B45" w:rsidRPr="00BB10E7" w:rsidRDefault="00D80B45">
            <w:pPr>
              <w:jc w:val="center"/>
              <w:rPr>
                <w:b/>
                <w:bCs/>
                <w:szCs w:val="20"/>
              </w:rPr>
            </w:pPr>
            <w:r w:rsidRPr="00BB10E7">
              <w:rPr>
                <w:b/>
                <w:bCs/>
                <w:szCs w:val="20"/>
              </w:rPr>
              <w:t>Strengths</w:t>
            </w:r>
          </w:p>
        </w:tc>
        <w:tc>
          <w:tcPr>
            <w:tcW w:w="0" w:type="auto"/>
            <w:vAlign w:val="center"/>
            <w:hideMark/>
          </w:tcPr>
          <w:p w14:paraId="7E54E562" w14:textId="77777777" w:rsidR="00D80B45" w:rsidRPr="00BB10E7" w:rsidRDefault="00D80B45">
            <w:pPr>
              <w:jc w:val="center"/>
              <w:rPr>
                <w:b/>
                <w:bCs/>
                <w:szCs w:val="20"/>
              </w:rPr>
            </w:pPr>
            <w:r w:rsidRPr="00BB10E7">
              <w:rPr>
                <w:b/>
                <w:bCs/>
                <w:szCs w:val="20"/>
              </w:rPr>
              <w:t>Limitations</w:t>
            </w:r>
          </w:p>
        </w:tc>
        <w:tc>
          <w:tcPr>
            <w:tcW w:w="0" w:type="auto"/>
            <w:vAlign w:val="center"/>
            <w:hideMark/>
          </w:tcPr>
          <w:p w14:paraId="19F0CF93" w14:textId="77777777" w:rsidR="00D80B45" w:rsidRPr="00BB10E7" w:rsidRDefault="00D80B45">
            <w:pPr>
              <w:jc w:val="center"/>
              <w:rPr>
                <w:b/>
                <w:bCs/>
                <w:szCs w:val="20"/>
              </w:rPr>
            </w:pPr>
            <w:r w:rsidRPr="00BB10E7">
              <w:rPr>
                <w:b/>
                <w:bCs/>
                <w:szCs w:val="20"/>
              </w:rPr>
              <w:t>Appropriate Use</w:t>
            </w:r>
          </w:p>
        </w:tc>
      </w:tr>
      <w:tr w:rsidR="00D80B45" w:rsidRPr="00BB10E7" w14:paraId="11CDBB7D" w14:textId="77777777" w:rsidTr="00BB10E7">
        <w:trPr>
          <w:tblCellSpacing w:w="15" w:type="dxa"/>
        </w:trPr>
        <w:tc>
          <w:tcPr>
            <w:tcW w:w="0" w:type="auto"/>
            <w:vAlign w:val="center"/>
            <w:hideMark/>
          </w:tcPr>
          <w:p w14:paraId="365EE1A3" w14:textId="77777777" w:rsidR="00D80B45" w:rsidRPr="00BB10E7" w:rsidRDefault="00D80B45">
            <w:pPr>
              <w:rPr>
                <w:szCs w:val="20"/>
              </w:rPr>
            </w:pPr>
            <w:r w:rsidRPr="00BB10E7">
              <w:rPr>
                <w:szCs w:val="20"/>
              </w:rPr>
              <w:t>Official documentation</w:t>
            </w:r>
          </w:p>
        </w:tc>
        <w:tc>
          <w:tcPr>
            <w:tcW w:w="0" w:type="auto"/>
            <w:vAlign w:val="center"/>
            <w:hideMark/>
          </w:tcPr>
          <w:p w14:paraId="7102EAE0" w14:textId="77777777" w:rsidR="00D80B45" w:rsidRPr="00BB10E7" w:rsidRDefault="00D80B45">
            <w:pPr>
              <w:rPr>
                <w:szCs w:val="20"/>
              </w:rPr>
            </w:pPr>
            <w:r w:rsidRPr="00BB10E7">
              <w:rPr>
                <w:szCs w:val="20"/>
              </w:rPr>
              <w:t>Defines supported functionality, APIs, configuration, and operational guidance</w:t>
            </w:r>
          </w:p>
        </w:tc>
        <w:tc>
          <w:tcPr>
            <w:tcW w:w="0" w:type="auto"/>
            <w:vAlign w:val="center"/>
            <w:hideMark/>
          </w:tcPr>
          <w:p w14:paraId="17F98A37" w14:textId="77777777" w:rsidR="00D80B45" w:rsidRPr="00BB10E7" w:rsidRDefault="00D80B45">
            <w:pPr>
              <w:rPr>
                <w:szCs w:val="20"/>
              </w:rPr>
            </w:pPr>
            <w:r w:rsidRPr="00BB10E7">
              <w:rPr>
                <w:szCs w:val="20"/>
              </w:rPr>
              <w:t>Focuses on intended behavior rather than comparative evaluation</w:t>
            </w:r>
          </w:p>
        </w:tc>
        <w:tc>
          <w:tcPr>
            <w:tcW w:w="0" w:type="auto"/>
            <w:vAlign w:val="center"/>
            <w:hideMark/>
          </w:tcPr>
          <w:p w14:paraId="5B3816C0" w14:textId="77777777" w:rsidR="00D80B45" w:rsidRPr="00BB10E7" w:rsidRDefault="00D80B45">
            <w:pPr>
              <w:rPr>
                <w:szCs w:val="20"/>
              </w:rPr>
            </w:pPr>
            <w:r w:rsidRPr="00BB10E7">
              <w:rPr>
                <w:szCs w:val="20"/>
              </w:rPr>
              <w:t>Understanding capabilities, deployment requirements, and supported interfaces</w:t>
            </w:r>
          </w:p>
        </w:tc>
      </w:tr>
      <w:tr w:rsidR="00D80B45" w:rsidRPr="00BB10E7" w14:paraId="2376059F" w14:textId="77777777" w:rsidTr="00BB10E7">
        <w:trPr>
          <w:tblCellSpacing w:w="15" w:type="dxa"/>
        </w:trPr>
        <w:tc>
          <w:tcPr>
            <w:tcW w:w="0" w:type="auto"/>
            <w:vAlign w:val="center"/>
            <w:hideMark/>
          </w:tcPr>
          <w:p w14:paraId="1C9E67EE" w14:textId="77777777" w:rsidR="00D80B45" w:rsidRPr="00BB10E7" w:rsidRDefault="00D80B45">
            <w:pPr>
              <w:rPr>
                <w:szCs w:val="20"/>
              </w:rPr>
            </w:pPr>
            <w:r w:rsidRPr="00BB10E7">
              <w:rPr>
                <w:szCs w:val="20"/>
              </w:rPr>
              <w:lastRenderedPageBreak/>
              <w:t>Peer-reviewed research papers</w:t>
            </w:r>
          </w:p>
        </w:tc>
        <w:tc>
          <w:tcPr>
            <w:tcW w:w="0" w:type="auto"/>
            <w:vAlign w:val="center"/>
            <w:hideMark/>
          </w:tcPr>
          <w:p w14:paraId="0405CDD0" w14:textId="77777777" w:rsidR="00D80B45" w:rsidRPr="00BB10E7" w:rsidRDefault="00D80B45">
            <w:pPr>
              <w:rPr>
                <w:szCs w:val="20"/>
              </w:rPr>
            </w:pPr>
            <w:r w:rsidRPr="00BB10E7">
              <w:rPr>
                <w:szCs w:val="20"/>
              </w:rPr>
              <w:t>Explain algorithms, methodology, and theoretical foundations</w:t>
            </w:r>
          </w:p>
        </w:tc>
        <w:tc>
          <w:tcPr>
            <w:tcW w:w="0" w:type="auto"/>
            <w:vAlign w:val="center"/>
            <w:hideMark/>
          </w:tcPr>
          <w:p w14:paraId="6DB54873" w14:textId="77777777" w:rsidR="00D80B45" w:rsidRPr="00BB10E7" w:rsidRDefault="00D80B45">
            <w:pPr>
              <w:rPr>
                <w:szCs w:val="20"/>
              </w:rPr>
            </w:pPr>
            <w:r w:rsidRPr="00BB10E7">
              <w:rPr>
                <w:szCs w:val="20"/>
              </w:rPr>
              <w:t>May evaluate controlled experimental environments rather than production systems</w:t>
            </w:r>
          </w:p>
        </w:tc>
        <w:tc>
          <w:tcPr>
            <w:tcW w:w="0" w:type="auto"/>
            <w:vAlign w:val="center"/>
            <w:hideMark/>
          </w:tcPr>
          <w:p w14:paraId="5EA96434" w14:textId="77777777" w:rsidR="00D80B45" w:rsidRPr="00BB10E7" w:rsidRDefault="00D80B45">
            <w:pPr>
              <w:rPr>
                <w:szCs w:val="20"/>
              </w:rPr>
            </w:pPr>
            <w:r w:rsidRPr="00BB10E7">
              <w:rPr>
                <w:szCs w:val="20"/>
              </w:rPr>
              <w:t>Understanding why technologies work and how they evolved</w:t>
            </w:r>
          </w:p>
        </w:tc>
      </w:tr>
      <w:tr w:rsidR="00D80B45" w:rsidRPr="00BB10E7" w14:paraId="067DFA56" w14:textId="77777777" w:rsidTr="00BB10E7">
        <w:trPr>
          <w:tblCellSpacing w:w="15" w:type="dxa"/>
        </w:trPr>
        <w:tc>
          <w:tcPr>
            <w:tcW w:w="0" w:type="auto"/>
            <w:vAlign w:val="center"/>
            <w:hideMark/>
          </w:tcPr>
          <w:p w14:paraId="01C2595E" w14:textId="77777777" w:rsidR="00D80B45" w:rsidRPr="00BB10E7" w:rsidRDefault="00D80B45">
            <w:pPr>
              <w:rPr>
                <w:szCs w:val="20"/>
              </w:rPr>
            </w:pPr>
            <w:r w:rsidRPr="00BB10E7">
              <w:rPr>
                <w:szCs w:val="20"/>
              </w:rPr>
              <w:t>Technical reports and model papers</w:t>
            </w:r>
          </w:p>
        </w:tc>
        <w:tc>
          <w:tcPr>
            <w:tcW w:w="0" w:type="auto"/>
            <w:vAlign w:val="center"/>
            <w:hideMark/>
          </w:tcPr>
          <w:p w14:paraId="17EB0BE5" w14:textId="77777777" w:rsidR="00D80B45" w:rsidRPr="00BB10E7" w:rsidRDefault="00D80B45">
            <w:pPr>
              <w:rPr>
                <w:szCs w:val="20"/>
              </w:rPr>
            </w:pPr>
            <w:r w:rsidRPr="00BB10E7">
              <w:rPr>
                <w:szCs w:val="20"/>
              </w:rPr>
              <w:t>Describe system architecture and large-scale engineering decisions</w:t>
            </w:r>
          </w:p>
        </w:tc>
        <w:tc>
          <w:tcPr>
            <w:tcW w:w="0" w:type="auto"/>
            <w:vAlign w:val="center"/>
            <w:hideMark/>
          </w:tcPr>
          <w:p w14:paraId="2F341222" w14:textId="77777777" w:rsidR="00D80B45" w:rsidRPr="00BB10E7" w:rsidRDefault="00D80B45">
            <w:pPr>
              <w:rPr>
                <w:szCs w:val="20"/>
              </w:rPr>
            </w:pPr>
            <w:r w:rsidRPr="00BB10E7">
              <w:rPr>
                <w:szCs w:val="20"/>
              </w:rPr>
              <w:t>Often published by organizations developing the technology</w:t>
            </w:r>
          </w:p>
        </w:tc>
        <w:tc>
          <w:tcPr>
            <w:tcW w:w="0" w:type="auto"/>
            <w:vAlign w:val="center"/>
            <w:hideMark/>
          </w:tcPr>
          <w:p w14:paraId="7BA866D5" w14:textId="77777777" w:rsidR="00D80B45" w:rsidRPr="00BB10E7" w:rsidRDefault="00D80B45">
            <w:pPr>
              <w:rPr>
                <w:szCs w:val="20"/>
              </w:rPr>
            </w:pPr>
            <w:r w:rsidRPr="00BB10E7">
              <w:rPr>
                <w:szCs w:val="20"/>
              </w:rPr>
              <w:t>Understanding implementation approaches and design rationale</w:t>
            </w:r>
          </w:p>
        </w:tc>
      </w:tr>
      <w:tr w:rsidR="00D80B45" w:rsidRPr="00BB10E7" w14:paraId="362AE461" w14:textId="77777777" w:rsidTr="00BB10E7">
        <w:trPr>
          <w:tblCellSpacing w:w="15" w:type="dxa"/>
        </w:trPr>
        <w:tc>
          <w:tcPr>
            <w:tcW w:w="0" w:type="auto"/>
            <w:vAlign w:val="center"/>
            <w:hideMark/>
          </w:tcPr>
          <w:p w14:paraId="29F95996" w14:textId="77777777" w:rsidR="00D80B45" w:rsidRPr="00BB10E7" w:rsidRDefault="00D80B45">
            <w:pPr>
              <w:rPr>
                <w:szCs w:val="20"/>
              </w:rPr>
            </w:pPr>
            <w:r w:rsidRPr="00BB10E7">
              <w:rPr>
                <w:szCs w:val="20"/>
              </w:rPr>
              <w:t>Engineering blogs</w:t>
            </w:r>
          </w:p>
        </w:tc>
        <w:tc>
          <w:tcPr>
            <w:tcW w:w="0" w:type="auto"/>
            <w:vAlign w:val="center"/>
            <w:hideMark/>
          </w:tcPr>
          <w:p w14:paraId="5DEE86A3" w14:textId="77777777" w:rsidR="00D80B45" w:rsidRPr="00BB10E7" w:rsidRDefault="00D80B45">
            <w:pPr>
              <w:rPr>
                <w:szCs w:val="20"/>
              </w:rPr>
            </w:pPr>
            <w:r w:rsidRPr="00BB10E7">
              <w:rPr>
                <w:szCs w:val="20"/>
              </w:rPr>
              <w:t>Provide practical operational experience and production architecture insights</w:t>
            </w:r>
          </w:p>
        </w:tc>
        <w:tc>
          <w:tcPr>
            <w:tcW w:w="0" w:type="auto"/>
            <w:vAlign w:val="center"/>
            <w:hideMark/>
          </w:tcPr>
          <w:p w14:paraId="22B00F6E" w14:textId="77777777" w:rsidR="00D80B45" w:rsidRPr="00BB10E7" w:rsidRDefault="00D80B45">
            <w:pPr>
              <w:rPr>
                <w:szCs w:val="20"/>
              </w:rPr>
            </w:pPr>
            <w:r w:rsidRPr="00BB10E7">
              <w:rPr>
                <w:szCs w:val="20"/>
              </w:rPr>
              <w:t>Reflect organization-specific workloads and infrastructure</w:t>
            </w:r>
          </w:p>
        </w:tc>
        <w:tc>
          <w:tcPr>
            <w:tcW w:w="0" w:type="auto"/>
            <w:vAlign w:val="center"/>
            <w:hideMark/>
          </w:tcPr>
          <w:p w14:paraId="574CBE3C" w14:textId="77777777" w:rsidR="00D80B45" w:rsidRPr="00BB10E7" w:rsidRDefault="00D80B45">
            <w:pPr>
              <w:rPr>
                <w:szCs w:val="20"/>
              </w:rPr>
            </w:pPr>
            <w:r w:rsidRPr="00BB10E7">
              <w:rPr>
                <w:szCs w:val="20"/>
              </w:rPr>
              <w:t>Learning implementation patterns and operational trade-offs</w:t>
            </w:r>
          </w:p>
        </w:tc>
      </w:tr>
      <w:tr w:rsidR="00D80B45" w:rsidRPr="00BB10E7" w14:paraId="798C5E7C" w14:textId="77777777" w:rsidTr="00BB10E7">
        <w:trPr>
          <w:tblCellSpacing w:w="15" w:type="dxa"/>
        </w:trPr>
        <w:tc>
          <w:tcPr>
            <w:tcW w:w="0" w:type="auto"/>
            <w:vAlign w:val="center"/>
            <w:hideMark/>
          </w:tcPr>
          <w:p w14:paraId="26883C40" w14:textId="77777777" w:rsidR="00D80B45" w:rsidRPr="00BB10E7" w:rsidRDefault="00D80B45">
            <w:pPr>
              <w:rPr>
                <w:szCs w:val="20"/>
              </w:rPr>
            </w:pPr>
            <w:r w:rsidRPr="00BB10E7">
              <w:rPr>
                <w:szCs w:val="20"/>
              </w:rPr>
              <w:t>Standardized benchmarks</w:t>
            </w:r>
          </w:p>
        </w:tc>
        <w:tc>
          <w:tcPr>
            <w:tcW w:w="0" w:type="auto"/>
            <w:vAlign w:val="center"/>
            <w:hideMark/>
          </w:tcPr>
          <w:p w14:paraId="537C2303" w14:textId="77777777" w:rsidR="00D80B45" w:rsidRPr="00BB10E7" w:rsidRDefault="00D80B45">
            <w:pPr>
              <w:rPr>
                <w:szCs w:val="20"/>
              </w:rPr>
            </w:pPr>
            <w:r w:rsidRPr="00BB10E7">
              <w:rPr>
                <w:szCs w:val="20"/>
              </w:rPr>
              <w:t>Enable reproducible comparisons using documented methodologies</w:t>
            </w:r>
          </w:p>
        </w:tc>
        <w:tc>
          <w:tcPr>
            <w:tcW w:w="0" w:type="auto"/>
            <w:vAlign w:val="center"/>
            <w:hideMark/>
          </w:tcPr>
          <w:p w14:paraId="5C581A08" w14:textId="77777777" w:rsidR="00D80B45" w:rsidRPr="00BB10E7" w:rsidRDefault="00D80B45">
            <w:pPr>
              <w:rPr>
                <w:szCs w:val="20"/>
              </w:rPr>
            </w:pPr>
            <w:r w:rsidRPr="00BB10E7">
              <w:rPr>
                <w:szCs w:val="20"/>
              </w:rPr>
              <w:t>Measure only selected characteristics under predefined conditions</w:t>
            </w:r>
          </w:p>
        </w:tc>
        <w:tc>
          <w:tcPr>
            <w:tcW w:w="0" w:type="auto"/>
            <w:vAlign w:val="center"/>
            <w:hideMark/>
          </w:tcPr>
          <w:p w14:paraId="3AEB8CFB" w14:textId="77777777" w:rsidR="00D80B45" w:rsidRPr="00BB10E7" w:rsidRDefault="00D80B45">
            <w:pPr>
              <w:rPr>
                <w:szCs w:val="20"/>
              </w:rPr>
            </w:pPr>
            <w:r w:rsidRPr="00BB10E7">
              <w:rPr>
                <w:szCs w:val="20"/>
              </w:rPr>
              <w:t>Comparing performance, efficiency, or quality across systems</w:t>
            </w:r>
          </w:p>
        </w:tc>
      </w:tr>
      <w:tr w:rsidR="00D80B45" w:rsidRPr="00BB10E7" w14:paraId="2DBB8673" w14:textId="77777777" w:rsidTr="00BB10E7">
        <w:trPr>
          <w:tblCellSpacing w:w="15" w:type="dxa"/>
        </w:trPr>
        <w:tc>
          <w:tcPr>
            <w:tcW w:w="0" w:type="auto"/>
            <w:vAlign w:val="center"/>
            <w:hideMark/>
          </w:tcPr>
          <w:p w14:paraId="1911AB11" w14:textId="77777777" w:rsidR="00D80B45" w:rsidRPr="00BB10E7" w:rsidRDefault="00D80B45">
            <w:pPr>
              <w:rPr>
                <w:szCs w:val="20"/>
              </w:rPr>
            </w:pPr>
            <w:r w:rsidRPr="00BB10E7">
              <w:rPr>
                <w:szCs w:val="20"/>
              </w:rPr>
              <w:t>Community operational experience</w:t>
            </w:r>
          </w:p>
        </w:tc>
        <w:tc>
          <w:tcPr>
            <w:tcW w:w="0" w:type="auto"/>
            <w:vAlign w:val="center"/>
            <w:hideMark/>
          </w:tcPr>
          <w:p w14:paraId="55DC73EE" w14:textId="77777777" w:rsidR="00D80B45" w:rsidRPr="00BB10E7" w:rsidRDefault="00D80B45">
            <w:pPr>
              <w:rPr>
                <w:szCs w:val="20"/>
              </w:rPr>
            </w:pPr>
            <w:r w:rsidRPr="00BB10E7">
              <w:rPr>
                <w:szCs w:val="20"/>
              </w:rPr>
              <w:t>Reveals deployment challenges, ecosystem maturity, and practical limitations</w:t>
            </w:r>
          </w:p>
        </w:tc>
        <w:tc>
          <w:tcPr>
            <w:tcW w:w="0" w:type="auto"/>
            <w:vAlign w:val="center"/>
            <w:hideMark/>
          </w:tcPr>
          <w:p w14:paraId="0558599D" w14:textId="77777777" w:rsidR="00D80B45" w:rsidRPr="00BB10E7" w:rsidRDefault="00D80B45">
            <w:pPr>
              <w:rPr>
                <w:szCs w:val="20"/>
              </w:rPr>
            </w:pPr>
            <w:r w:rsidRPr="00BB10E7">
              <w:rPr>
                <w:szCs w:val="20"/>
              </w:rPr>
              <w:t>Can be anecdotal or difficult to verify independently</w:t>
            </w:r>
          </w:p>
        </w:tc>
        <w:tc>
          <w:tcPr>
            <w:tcW w:w="0" w:type="auto"/>
            <w:vAlign w:val="center"/>
            <w:hideMark/>
          </w:tcPr>
          <w:p w14:paraId="2972A1F2" w14:textId="77777777" w:rsidR="00D80B45" w:rsidRPr="00BB10E7" w:rsidRDefault="00D80B45">
            <w:pPr>
              <w:rPr>
                <w:szCs w:val="20"/>
              </w:rPr>
            </w:pPr>
            <w:r w:rsidRPr="00BB10E7">
              <w:rPr>
                <w:szCs w:val="20"/>
              </w:rPr>
              <w:t>Identifying operational risks and integration challenges</w:t>
            </w:r>
          </w:p>
        </w:tc>
      </w:tr>
    </w:tbl>
    <w:p w14:paraId="0E21B2D6" w14:textId="77777777" w:rsidR="00D80B45" w:rsidRPr="00046211" w:rsidRDefault="00D80B45" w:rsidP="00D80B45">
      <w:pPr>
        <w:pStyle w:val="a3"/>
        <w:rPr>
          <w:sz w:val="28"/>
        </w:rPr>
      </w:pPr>
      <w:r w:rsidRPr="00046211">
        <w:rPr>
          <w:sz w:val="28"/>
        </w:rPr>
        <w:t>Evidence-based engineering also requires distinguishing between observable facts and engineering conclusions. A benchmark showing lower inference latency under specific hardware conditions is an observable measurement. Concluding that one inference engine is universally superior for all production workloads is an engineering interpretation that may or may not be justified. Engineers should therefore separate measured results from broader architectural recommendations.</w:t>
      </w:r>
    </w:p>
    <w:p w14:paraId="3DD6730A" w14:textId="77777777" w:rsidR="00D80B45" w:rsidRPr="00046211" w:rsidRDefault="00D80B45" w:rsidP="00D80B45">
      <w:pPr>
        <w:pStyle w:val="a3"/>
        <w:rPr>
          <w:sz w:val="28"/>
        </w:rPr>
      </w:pPr>
      <w:r w:rsidRPr="00046211">
        <w:rPr>
          <w:sz w:val="28"/>
        </w:rPr>
        <w:t>Another important principle is reproducibility. Claims supported by publicly documented methodology, repeatable experiments, and independent verification generally deserve greater confidence than isolated demonstrations or unpublished internal testing. Technologies that consistently demonstrate similar behavior across multiple independent evaluations inspire greater confidence than those supported primarily by vendor-generated evidence.</w:t>
      </w:r>
    </w:p>
    <w:p w14:paraId="6708226B" w14:textId="77777777" w:rsidR="00D80B45" w:rsidRPr="00046211" w:rsidRDefault="00D80B45" w:rsidP="00D80B45">
      <w:pPr>
        <w:pStyle w:val="a3"/>
        <w:rPr>
          <w:sz w:val="28"/>
        </w:rPr>
      </w:pPr>
      <w:r w:rsidRPr="00046211">
        <w:rPr>
          <w:sz w:val="28"/>
        </w:rPr>
        <w:t>Throughout this book, references are selected according to this philosophy. Preference is given to official documentation for supported functionality, peer-</w:t>
      </w:r>
      <w:r w:rsidRPr="00046211">
        <w:rPr>
          <w:sz w:val="28"/>
        </w:rPr>
        <w:lastRenderedPageBreak/>
        <w:t>reviewed research for conceptual foundations, standardized benchmarks for comparative evaluation, and engineering publications describing production operational experience. Marketing materials and promotional content are used only when they contain technically relevant information unavailable elsewhere, and even then they are interpreted cautiously.</w:t>
      </w:r>
    </w:p>
    <w:p w14:paraId="3E1D5044" w14:textId="77777777" w:rsidR="00D80B45" w:rsidRPr="00046211" w:rsidRDefault="00D80B45" w:rsidP="00D80B45">
      <w:pPr>
        <w:pStyle w:val="a3"/>
        <w:rPr>
          <w:sz w:val="28"/>
        </w:rPr>
      </w:pPr>
      <w:r w:rsidRPr="00046211">
        <w:rPr>
          <w:sz w:val="28"/>
        </w:rPr>
        <w:t>Ultimately, evidence-based evaluation is not about identifying a single "correct" technology. Rather, it provides a structured methodology for making engineering decisions under conditions of continuous technological change.</w:t>
      </w:r>
    </w:p>
    <w:p w14:paraId="059D220A" w14:textId="77777777" w:rsidR="00D80B45" w:rsidRPr="00046211" w:rsidRDefault="00BB10E7" w:rsidP="00D80B45">
      <w:pPr>
        <w:rPr>
          <w:sz w:val="24"/>
        </w:rPr>
      </w:pPr>
      <w:r>
        <w:rPr>
          <w:sz w:val="24"/>
        </w:rPr>
        <w:pict w14:anchorId="09B19B19">
          <v:rect id="_x0000_i1030" style="width:0;height:1.5pt" o:hralign="center" o:hrstd="t" o:hr="t" fillcolor="#a0a0a0" stroked="f"/>
        </w:pict>
      </w:r>
    </w:p>
    <w:p w14:paraId="782F8B3B" w14:textId="77777777" w:rsidR="00D80B45" w:rsidRPr="00046211" w:rsidRDefault="00D80B45" w:rsidP="00D80B45">
      <w:pPr>
        <w:pStyle w:val="1"/>
        <w:rPr>
          <w:sz w:val="52"/>
        </w:rPr>
      </w:pPr>
      <w:r w:rsidRPr="00046211">
        <w:rPr>
          <w:sz w:val="52"/>
        </w:rPr>
        <w:t>1.9 Reading AI Benchmarks Correctly</w:t>
      </w:r>
    </w:p>
    <w:p w14:paraId="52FD6013" w14:textId="77777777" w:rsidR="00D80B45" w:rsidRPr="00046211" w:rsidRDefault="00D80B45" w:rsidP="00D80B45">
      <w:pPr>
        <w:pStyle w:val="a3"/>
        <w:rPr>
          <w:sz w:val="28"/>
        </w:rPr>
      </w:pPr>
      <w:r w:rsidRPr="00046211">
        <w:rPr>
          <w:sz w:val="28"/>
        </w:rPr>
        <w:t>Benchmarks play an essential role in the AI ecosystem. They provide common evaluation tasks, encourage reproducible experimentation, and make it possible to compare systems developed by different organizations. Without benchmarks, engineering discussions would rely primarily on anecdotal demonstrations or subjective impressions. Properly interpreted, benchmark results provide valuable evidence for technology evaluation.</w:t>
      </w:r>
    </w:p>
    <w:p w14:paraId="5D5BACAA" w14:textId="77777777" w:rsidR="00D80B45" w:rsidRPr="00046211" w:rsidRDefault="00D80B45" w:rsidP="00D80B45">
      <w:pPr>
        <w:pStyle w:val="a3"/>
        <w:rPr>
          <w:sz w:val="28"/>
        </w:rPr>
      </w:pPr>
      <w:r w:rsidRPr="00046211">
        <w:rPr>
          <w:sz w:val="28"/>
        </w:rPr>
        <w:t>However, benchmark results are frequently misunderstood or applied beyond the conditions under which they were produced. High benchmark scores do not automatically translate into superior production systems, just as high database throughput measured under laboratory conditions does not guarantee optimal performance for every enterprise workload. Understanding what a benchmark measures—and what it does not measure—is therefore an essential engineering skill.</w:t>
      </w:r>
    </w:p>
    <w:p w14:paraId="20FBE7F3" w14:textId="77777777" w:rsidR="00D80B45" w:rsidRPr="00046211" w:rsidRDefault="00D80B45" w:rsidP="00D80B45">
      <w:pPr>
        <w:pStyle w:val="a3"/>
        <w:rPr>
          <w:sz w:val="28"/>
        </w:rPr>
      </w:pPr>
      <w:r w:rsidRPr="00046211">
        <w:rPr>
          <w:sz w:val="28"/>
        </w:rPr>
        <w:t>Every benchmark is designed to evaluate specific characteristics. Some measure general language understanding, others assess mathematical reasoning, software engineering capability, factual knowledge, retrieval effectiveness, or multimodal performance. Infrastructure benchmarks evaluate different properties, including inference latency, throughput, accelerator utilization, memory efficiency, or energy consumption. No single benchmark captures the full range of capabilities required by production AI systems.</w:t>
      </w:r>
    </w:p>
    <w:p w14:paraId="7AFE2838" w14:textId="77777777" w:rsidR="00D80B45" w:rsidRPr="00046211" w:rsidRDefault="00D80B45" w:rsidP="00D80B45">
      <w:pPr>
        <w:pStyle w:val="a3"/>
        <w:rPr>
          <w:sz w:val="28"/>
        </w:rPr>
      </w:pPr>
      <w:r w:rsidRPr="00046211">
        <w:rPr>
          <w:sz w:val="28"/>
        </w:rPr>
        <w:t xml:space="preserve">This distinction becomes particularly important when comparing language models. A model achieving state-of-the-art performance on mathematical reasoning may provide limited advantages for document summarization or customer support. </w:t>
      </w:r>
      <w:r w:rsidRPr="00046211">
        <w:rPr>
          <w:sz w:val="28"/>
        </w:rPr>
        <w:lastRenderedPageBreak/>
        <w:t>Similarly, a model optimized for long-context processing may exhibit higher inference costs or latency than smaller alternatives better suited to interactive applications. Benchmark results should therefore always be interpreted within the context of the intended workload.</w:t>
      </w:r>
    </w:p>
    <w:p w14:paraId="0359EF79" w14:textId="77777777" w:rsidR="00D80B45" w:rsidRPr="00046211" w:rsidRDefault="00D80B45" w:rsidP="00D80B45">
      <w:pPr>
        <w:pStyle w:val="a3"/>
        <w:rPr>
          <w:sz w:val="28"/>
        </w:rPr>
      </w:pPr>
      <w:r w:rsidRPr="00046211">
        <w:rPr>
          <w:sz w:val="28"/>
        </w:rPr>
        <w:t>The methodology underlying a benchmark is equally important. Engineers should understand questions such as:</w:t>
      </w:r>
    </w:p>
    <w:p w14:paraId="2C44A3A4" w14:textId="77777777" w:rsidR="00D80B45" w:rsidRPr="00BB10E7" w:rsidRDefault="00D80B45" w:rsidP="00D80B45">
      <w:pPr>
        <w:numPr>
          <w:ilvl w:val="0"/>
          <w:numId w:val="1"/>
        </w:numPr>
        <w:spacing w:before="100" w:beforeAutospacing="1" w:after="100" w:afterAutospacing="1" w:line="240" w:lineRule="auto"/>
        <w:rPr>
          <w:rFonts w:ascii="Times New Roman" w:hAnsi="Times New Roman" w:cs="Times New Roman"/>
          <w:sz w:val="28"/>
          <w:szCs w:val="24"/>
        </w:rPr>
      </w:pPr>
      <w:r w:rsidRPr="00BB10E7">
        <w:rPr>
          <w:rFonts w:ascii="Times New Roman" w:hAnsi="Times New Roman" w:cs="Times New Roman"/>
          <w:sz w:val="28"/>
          <w:szCs w:val="24"/>
        </w:rPr>
        <w:t xml:space="preserve">Were evaluation datasets publicly available before model training? </w:t>
      </w:r>
    </w:p>
    <w:p w14:paraId="60468445" w14:textId="77777777" w:rsidR="00D80B45" w:rsidRPr="00BB10E7" w:rsidRDefault="00D80B45" w:rsidP="00D80B45">
      <w:pPr>
        <w:numPr>
          <w:ilvl w:val="0"/>
          <w:numId w:val="1"/>
        </w:numPr>
        <w:spacing w:before="100" w:beforeAutospacing="1" w:after="100" w:afterAutospacing="1" w:line="240" w:lineRule="auto"/>
        <w:rPr>
          <w:rFonts w:ascii="Times New Roman" w:hAnsi="Times New Roman" w:cs="Times New Roman"/>
          <w:sz w:val="28"/>
          <w:szCs w:val="24"/>
        </w:rPr>
      </w:pPr>
      <w:r w:rsidRPr="00BB10E7">
        <w:rPr>
          <w:rFonts w:ascii="Times New Roman" w:hAnsi="Times New Roman" w:cs="Times New Roman"/>
          <w:sz w:val="28"/>
          <w:szCs w:val="24"/>
        </w:rPr>
        <w:t xml:space="preserve">Can experiments be reproduced independently? </w:t>
      </w:r>
    </w:p>
    <w:p w14:paraId="0C4D4607" w14:textId="77777777" w:rsidR="00D80B45" w:rsidRPr="00BB10E7" w:rsidRDefault="00D80B45" w:rsidP="00D80B45">
      <w:pPr>
        <w:numPr>
          <w:ilvl w:val="0"/>
          <w:numId w:val="1"/>
        </w:numPr>
        <w:spacing w:before="100" w:beforeAutospacing="1" w:after="100" w:afterAutospacing="1" w:line="240" w:lineRule="auto"/>
        <w:rPr>
          <w:rFonts w:ascii="Times New Roman" w:hAnsi="Times New Roman" w:cs="Times New Roman"/>
          <w:sz w:val="28"/>
          <w:szCs w:val="24"/>
        </w:rPr>
      </w:pPr>
      <w:r w:rsidRPr="00BB10E7">
        <w:rPr>
          <w:rFonts w:ascii="Times New Roman" w:hAnsi="Times New Roman" w:cs="Times New Roman"/>
          <w:sz w:val="28"/>
          <w:szCs w:val="24"/>
        </w:rPr>
        <w:t xml:space="preserve">Are prompts standardized across evaluated systems? </w:t>
      </w:r>
    </w:p>
    <w:p w14:paraId="0B8430CB" w14:textId="77777777" w:rsidR="00D80B45" w:rsidRPr="00BB10E7" w:rsidRDefault="00D80B45" w:rsidP="00D80B45">
      <w:pPr>
        <w:numPr>
          <w:ilvl w:val="0"/>
          <w:numId w:val="1"/>
        </w:numPr>
        <w:spacing w:before="100" w:beforeAutospacing="1" w:after="100" w:afterAutospacing="1" w:line="240" w:lineRule="auto"/>
        <w:rPr>
          <w:rFonts w:ascii="Times New Roman" w:hAnsi="Times New Roman" w:cs="Times New Roman"/>
          <w:sz w:val="28"/>
          <w:szCs w:val="24"/>
        </w:rPr>
      </w:pPr>
      <w:r w:rsidRPr="00BB10E7">
        <w:rPr>
          <w:rFonts w:ascii="Times New Roman" w:hAnsi="Times New Roman" w:cs="Times New Roman"/>
          <w:sz w:val="28"/>
          <w:szCs w:val="24"/>
        </w:rPr>
        <w:t xml:space="preserve">Does the benchmark measure first-attempt accuracy, pass@k performance, or human preference? </w:t>
      </w:r>
    </w:p>
    <w:p w14:paraId="6950A2B3" w14:textId="77777777" w:rsidR="00D80B45" w:rsidRPr="00BB10E7" w:rsidRDefault="00D80B45" w:rsidP="00D80B45">
      <w:pPr>
        <w:numPr>
          <w:ilvl w:val="0"/>
          <w:numId w:val="1"/>
        </w:numPr>
        <w:spacing w:before="100" w:beforeAutospacing="1" w:after="100" w:afterAutospacing="1" w:line="240" w:lineRule="auto"/>
        <w:rPr>
          <w:rFonts w:ascii="Times New Roman" w:hAnsi="Times New Roman" w:cs="Times New Roman"/>
          <w:sz w:val="28"/>
          <w:szCs w:val="24"/>
        </w:rPr>
      </w:pPr>
      <w:r w:rsidRPr="00BB10E7">
        <w:rPr>
          <w:rFonts w:ascii="Times New Roman" w:hAnsi="Times New Roman" w:cs="Times New Roman"/>
          <w:sz w:val="28"/>
          <w:szCs w:val="24"/>
        </w:rPr>
        <w:t xml:space="preserve">Are latency and hardware configurations documented? </w:t>
      </w:r>
    </w:p>
    <w:p w14:paraId="557EADC1" w14:textId="77777777" w:rsidR="00D80B45" w:rsidRPr="00BB10E7" w:rsidRDefault="00D80B45" w:rsidP="00D80B45">
      <w:pPr>
        <w:numPr>
          <w:ilvl w:val="0"/>
          <w:numId w:val="1"/>
        </w:numPr>
        <w:spacing w:before="100" w:beforeAutospacing="1" w:after="100" w:afterAutospacing="1" w:line="240" w:lineRule="auto"/>
        <w:rPr>
          <w:rFonts w:ascii="Times New Roman" w:hAnsi="Times New Roman" w:cs="Times New Roman"/>
          <w:sz w:val="28"/>
          <w:szCs w:val="24"/>
        </w:rPr>
      </w:pPr>
      <w:r w:rsidRPr="00BB10E7">
        <w:rPr>
          <w:rFonts w:ascii="Times New Roman" w:hAnsi="Times New Roman" w:cs="Times New Roman"/>
          <w:sz w:val="28"/>
          <w:szCs w:val="24"/>
        </w:rPr>
        <w:t xml:space="preserve">Were safety mechanisms enabled during evaluation? </w:t>
      </w:r>
    </w:p>
    <w:p w14:paraId="77DCA132" w14:textId="77777777" w:rsidR="00D80B45" w:rsidRPr="00BB10E7" w:rsidRDefault="00D80B45" w:rsidP="00D80B45">
      <w:pPr>
        <w:numPr>
          <w:ilvl w:val="0"/>
          <w:numId w:val="1"/>
        </w:numPr>
        <w:spacing w:before="100" w:beforeAutospacing="1" w:after="100" w:afterAutospacing="1" w:line="240" w:lineRule="auto"/>
        <w:rPr>
          <w:rFonts w:ascii="Times New Roman" w:hAnsi="Times New Roman" w:cs="Times New Roman"/>
          <w:sz w:val="28"/>
          <w:szCs w:val="24"/>
        </w:rPr>
      </w:pPr>
      <w:r w:rsidRPr="00BB10E7">
        <w:rPr>
          <w:rFonts w:ascii="Times New Roman" w:hAnsi="Times New Roman" w:cs="Times New Roman"/>
          <w:sz w:val="28"/>
          <w:szCs w:val="24"/>
        </w:rPr>
        <w:t xml:space="preserve">How large is the evaluation dataset? </w:t>
      </w:r>
    </w:p>
    <w:p w14:paraId="6621046E" w14:textId="77777777" w:rsidR="00D80B45" w:rsidRPr="00046211" w:rsidRDefault="00D80B45" w:rsidP="00D80B45">
      <w:pPr>
        <w:pStyle w:val="a3"/>
        <w:rPr>
          <w:sz w:val="28"/>
        </w:rPr>
      </w:pPr>
      <w:r w:rsidRPr="00046211">
        <w:rPr>
          <w:sz w:val="28"/>
        </w:rPr>
        <w:t>Answers to these questions often influence the significance of reported results as much as the reported scores themselves.</w:t>
      </w:r>
    </w:p>
    <w:p w14:paraId="1BB3E72D" w14:textId="77777777" w:rsidR="00D80B45" w:rsidRPr="00046211" w:rsidRDefault="00D80B45" w:rsidP="00D80B45">
      <w:pPr>
        <w:pStyle w:val="a3"/>
        <w:rPr>
          <w:sz w:val="28"/>
        </w:rPr>
      </w:pPr>
      <w:r w:rsidRPr="00046211">
        <w:rPr>
          <w:sz w:val="28"/>
        </w:rPr>
        <w:t>Benchmark contamination represents another important consideration. As evaluation datasets become widely known, newer models may indirectly incorporate benchmark content during training or optimization. High benchmark scores can therefore reflect familiarity with evaluation material rather than genuine improvements in general reasoning ability. For this reason, the AI community increasingly develops new evaluation datasets and continuously updates existing benchmarks to maintain their usefulness.</w:t>
      </w:r>
    </w:p>
    <w:p w14:paraId="5FB85C72" w14:textId="77777777" w:rsidR="00D80B45" w:rsidRPr="00046211" w:rsidRDefault="00D80B45" w:rsidP="00D80B45">
      <w:pPr>
        <w:pStyle w:val="a3"/>
        <w:rPr>
          <w:sz w:val="28"/>
        </w:rPr>
      </w:pPr>
      <w:r w:rsidRPr="00046211">
        <w:rPr>
          <w:sz w:val="28"/>
        </w:rPr>
        <w:t>The growing diversity of benchmarks also reflects the increasing specialization of AI systems. General-purpose language understanding benchmarks remain valuable, but production platforms increasingly rely on domain-specific evaluations. Coding assistants are commonly assessed using software engineering benchmarks. Retrieval systems require retrieval-specific evaluation datasets. Agent frameworks increasingly measure task completion across multi-step workflows rather than isolated prompt-response interactions. Infrastructure teams focus on latency, throughput, reliability, and operational efficiency rather than language quality alone.</w:t>
      </w:r>
    </w:p>
    <w:p w14:paraId="3EBF7CF9" w14:textId="77777777" w:rsidR="00D80B45" w:rsidRPr="00046211" w:rsidRDefault="00D80B45" w:rsidP="00D80B45">
      <w:pPr>
        <w:pStyle w:val="a3"/>
        <w:rPr>
          <w:sz w:val="28"/>
        </w:rPr>
      </w:pPr>
      <w:r w:rsidRPr="00046211">
        <w:rPr>
          <w:rStyle w:val="a4"/>
          <w:sz w:val="28"/>
        </w:rPr>
        <w:t>Table 1-7. Representative Benchmark Categories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874"/>
        <w:gridCol w:w="2356"/>
        <w:gridCol w:w="2016"/>
        <w:gridCol w:w="3114"/>
      </w:tblGrid>
      <w:tr w:rsidR="00D80B45" w:rsidRPr="00BB10E7" w14:paraId="4676C814" w14:textId="77777777" w:rsidTr="00BB10E7">
        <w:trPr>
          <w:tblHeader/>
          <w:tblCellSpacing w:w="15" w:type="dxa"/>
        </w:trPr>
        <w:tc>
          <w:tcPr>
            <w:tcW w:w="0" w:type="auto"/>
            <w:vAlign w:val="center"/>
            <w:hideMark/>
          </w:tcPr>
          <w:p w14:paraId="532A2416" w14:textId="77777777" w:rsidR="00D80B45" w:rsidRPr="00BB10E7" w:rsidRDefault="00D80B45">
            <w:pPr>
              <w:jc w:val="center"/>
              <w:rPr>
                <w:b/>
                <w:bCs/>
                <w:szCs w:val="20"/>
              </w:rPr>
            </w:pPr>
            <w:r w:rsidRPr="00BB10E7">
              <w:rPr>
                <w:b/>
                <w:bCs/>
                <w:szCs w:val="20"/>
              </w:rPr>
              <w:lastRenderedPageBreak/>
              <w:t>Benchmark Category</w:t>
            </w:r>
          </w:p>
        </w:tc>
        <w:tc>
          <w:tcPr>
            <w:tcW w:w="0" w:type="auto"/>
            <w:vAlign w:val="center"/>
            <w:hideMark/>
          </w:tcPr>
          <w:p w14:paraId="12B752B6" w14:textId="77777777" w:rsidR="00D80B45" w:rsidRPr="00BB10E7" w:rsidRDefault="00D80B45">
            <w:pPr>
              <w:jc w:val="center"/>
              <w:rPr>
                <w:b/>
                <w:bCs/>
                <w:szCs w:val="20"/>
              </w:rPr>
            </w:pPr>
            <w:r w:rsidRPr="00BB10E7">
              <w:rPr>
                <w:b/>
                <w:bCs/>
                <w:szCs w:val="20"/>
              </w:rPr>
              <w:t>Primary Purpose</w:t>
            </w:r>
          </w:p>
        </w:tc>
        <w:tc>
          <w:tcPr>
            <w:tcW w:w="0" w:type="auto"/>
            <w:vAlign w:val="center"/>
            <w:hideMark/>
          </w:tcPr>
          <w:p w14:paraId="1DECC71E" w14:textId="77777777" w:rsidR="00D80B45" w:rsidRPr="00BB10E7" w:rsidRDefault="00D80B45">
            <w:pPr>
              <w:jc w:val="center"/>
              <w:rPr>
                <w:b/>
                <w:bCs/>
                <w:szCs w:val="20"/>
              </w:rPr>
            </w:pPr>
            <w:r w:rsidRPr="00BB10E7">
              <w:rPr>
                <w:b/>
                <w:bCs/>
                <w:szCs w:val="20"/>
              </w:rPr>
              <w:t>Typical Examples</w:t>
            </w:r>
          </w:p>
        </w:tc>
        <w:tc>
          <w:tcPr>
            <w:tcW w:w="0" w:type="auto"/>
            <w:vAlign w:val="center"/>
            <w:hideMark/>
          </w:tcPr>
          <w:p w14:paraId="1F9F89D1" w14:textId="77777777" w:rsidR="00D80B45" w:rsidRPr="00BB10E7" w:rsidRDefault="00D80B45">
            <w:pPr>
              <w:jc w:val="center"/>
              <w:rPr>
                <w:b/>
                <w:bCs/>
                <w:szCs w:val="20"/>
              </w:rPr>
            </w:pPr>
            <w:r w:rsidRPr="00BB10E7">
              <w:rPr>
                <w:b/>
                <w:bCs/>
                <w:szCs w:val="20"/>
              </w:rPr>
              <w:t>Engineering Interpretation</w:t>
            </w:r>
          </w:p>
        </w:tc>
      </w:tr>
      <w:tr w:rsidR="00D80B45" w:rsidRPr="00BB10E7" w14:paraId="4A98E043" w14:textId="77777777" w:rsidTr="00BB10E7">
        <w:trPr>
          <w:tblCellSpacing w:w="15" w:type="dxa"/>
        </w:trPr>
        <w:tc>
          <w:tcPr>
            <w:tcW w:w="0" w:type="auto"/>
            <w:vAlign w:val="center"/>
            <w:hideMark/>
          </w:tcPr>
          <w:p w14:paraId="55E68719" w14:textId="77777777" w:rsidR="00D80B45" w:rsidRPr="00BB10E7" w:rsidRDefault="00D80B45">
            <w:pPr>
              <w:rPr>
                <w:szCs w:val="20"/>
              </w:rPr>
            </w:pPr>
            <w:r w:rsidRPr="00BB10E7">
              <w:rPr>
                <w:szCs w:val="20"/>
              </w:rPr>
              <w:t>General language understanding</w:t>
            </w:r>
          </w:p>
        </w:tc>
        <w:tc>
          <w:tcPr>
            <w:tcW w:w="0" w:type="auto"/>
            <w:vAlign w:val="center"/>
            <w:hideMark/>
          </w:tcPr>
          <w:p w14:paraId="07D9B023" w14:textId="77777777" w:rsidR="00D80B45" w:rsidRPr="00BB10E7" w:rsidRDefault="00D80B45">
            <w:pPr>
              <w:rPr>
                <w:szCs w:val="20"/>
              </w:rPr>
            </w:pPr>
            <w:r w:rsidRPr="00BB10E7">
              <w:rPr>
                <w:szCs w:val="20"/>
              </w:rPr>
              <w:t>Evaluate broad reasoning and knowledge capabilities</w:t>
            </w:r>
          </w:p>
        </w:tc>
        <w:tc>
          <w:tcPr>
            <w:tcW w:w="0" w:type="auto"/>
            <w:vAlign w:val="center"/>
            <w:hideMark/>
          </w:tcPr>
          <w:p w14:paraId="4546F153" w14:textId="77777777" w:rsidR="00D80B45" w:rsidRPr="00BB10E7" w:rsidRDefault="00D80B45">
            <w:pPr>
              <w:rPr>
                <w:szCs w:val="20"/>
              </w:rPr>
            </w:pPr>
            <w:r w:rsidRPr="00BB10E7">
              <w:rPr>
                <w:szCs w:val="20"/>
              </w:rPr>
              <w:t>MMLU, MMLU-Pro</w:t>
            </w:r>
          </w:p>
        </w:tc>
        <w:tc>
          <w:tcPr>
            <w:tcW w:w="0" w:type="auto"/>
            <w:vAlign w:val="center"/>
            <w:hideMark/>
          </w:tcPr>
          <w:p w14:paraId="4DA4E959" w14:textId="77777777" w:rsidR="00D80B45" w:rsidRPr="00BB10E7" w:rsidRDefault="00D80B45">
            <w:pPr>
              <w:rPr>
                <w:szCs w:val="20"/>
              </w:rPr>
            </w:pPr>
            <w:r w:rsidRPr="00BB10E7">
              <w:rPr>
                <w:szCs w:val="20"/>
              </w:rPr>
              <w:t>Useful for comparing overall model capability but not sufficient for application-specific decisions</w:t>
            </w:r>
          </w:p>
        </w:tc>
      </w:tr>
      <w:tr w:rsidR="00D80B45" w:rsidRPr="00BB10E7" w14:paraId="146C4CE5" w14:textId="77777777" w:rsidTr="00BB10E7">
        <w:trPr>
          <w:tblCellSpacing w:w="15" w:type="dxa"/>
        </w:trPr>
        <w:tc>
          <w:tcPr>
            <w:tcW w:w="0" w:type="auto"/>
            <w:vAlign w:val="center"/>
            <w:hideMark/>
          </w:tcPr>
          <w:p w14:paraId="65E03784" w14:textId="77777777" w:rsidR="00D80B45" w:rsidRPr="00BB10E7" w:rsidRDefault="00D80B45">
            <w:pPr>
              <w:rPr>
                <w:szCs w:val="20"/>
              </w:rPr>
            </w:pPr>
            <w:r w:rsidRPr="00BB10E7">
              <w:rPr>
                <w:szCs w:val="20"/>
              </w:rPr>
              <w:t>Mathematical and scientific reasoning</w:t>
            </w:r>
          </w:p>
        </w:tc>
        <w:tc>
          <w:tcPr>
            <w:tcW w:w="0" w:type="auto"/>
            <w:vAlign w:val="center"/>
            <w:hideMark/>
          </w:tcPr>
          <w:p w14:paraId="65BEA03D" w14:textId="77777777" w:rsidR="00D80B45" w:rsidRPr="00BB10E7" w:rsidRDefault="00D80B45">
            <w:pPr>
              <w:rPr>
                <w:szCs w:val="20"/>
              </w:rPr>
            </w:pPr>
            <w:r w:rsidRPr="00BB10E7">
              <w:rPr>
                <w:szCs w:val="20"/>
              </w:rPr>
              <w:t>Assess structured reasoning accuracy</w:t>
            </w:r>
          </w:p>
        </w:tc>
        <w:tc>
          <w:tcPr>
            <w:tcW w:w="0" w:type="auto"/>
            <w:vAlign w:val="center"/>
            <w:hideMark/>
          </w:tcPr>
          <w:p w14:paraId="5D162378" w14:textId="77777777" w:rsidR="00D80B45" w:rsidRPr="00BB10E7" w:rsidRDefault="00D80B45">
            <w:pPr>
              <w:rPr>
                <w:szCs w:val="20"/>
              </w:rPr>
            </w:pPr>
            <w:r w:rsidRPr="00BB10E7">
              <w:rPr>
                <w:szCs w:val="20"/>
              </w:rPr>
              <w:t>GPQA, AIME-based evaluations</w:t>
            </w:r>
          </w:p>
        </w:tc>
        <w:tc>
          <w:tcPr>
            <w:tcW w:w="0" w:type="auto"/>
            <w:vAlign w:val="center"/>
            <w:hideMark/>
          </w:tcPr>
          <w:p w14:paraId="355B8E3B" w14:textId="77777777" w:rsidR="00D80B45" w:rsidRPr="00BB10E7" w:rsidRDefault="00D80B45">
            <w:pPr>
              <w:rPr>
                <w:szCs w:val="20"/>
              </w:rPr>
            </w:pPr>
            <w:r w:rsidRPr="00BB10E7">
              <w:rPr>
                <w:szCs w:val="20"/>
              </w:rPr>
              <w:t>Relevant for scientific, engineering, and analytical applications</w:t>
            </w:r>
          </w:p>
        </w:tc>
      </w:tr>
      <w:tr w:rsidR="00D80B45" w:rsidRPr="00BB10E7" w14:paraId="377AF2CB" w14:textId="77777777" w:rsidTr="00BB10E7">
        <w:trPr>
          <w:tblCellSpacing w:w="15" w:type="dxa"/>
        </w:trPr>
        <w:tc>
          <w:tcPr>
            <w:tcW w:w="0" w:type="auto"/>
            <w:vAlign w:val="center"/>
            <w:hideMark/>
          </w:tcPr>
          <w:p w14:paraId="19CEB068" w14:textId="77777777" w:rsidR="00D80B45" w:rsidRPr="00BB10E7" w:rsidRDefault="00D80B45">
            <w:pPr>
              <w:rPr>
                <w:szCs w:val="20"/>
              </w:rPr>
            </w:pPr>
            <w:r w:rsidRPr="00BB10E7">
              <w:rPr>
                <w:szCs w:val="20"/>
              </w:rPr>
              <w:t>Software engineering</w:t>
            </w:r>
          </w:p>
        </w:tc>
        <w:tc>
          <w:tcPr>
            <w:tcW w:w="0" w:type="auto"/>
            <w:vAlign w:val="center"/>
            <w:hideMark/>
          </w:tcPr>
          <w:p w14:paraId="295236A3" w14:textId="77777777" w:rsidR="00D80B45" w:rsidRPr="00BB10E7" w:rsidRDefault="00D80B45">
            <w:pPr>
              <w:rPr>
                <w:szCs w:val="20"/>
              </w:rPr>
            </w:pPr>
            <w:r w:rsidRPr="00BB10E7">
              <w:rPr>
                <w:szCs w:val="20"/>
              </w:rPr>
              <w:t>Evaluate code generation and software development tasks</w:t>
            </w:r>
          </w:p>
        </w:tc>
        <w:tc>
          <w:tcPr>
            <w:tcW w:w="0" w:type="auto"/>
            <w:vAlign w:val="center"/>
            <w:hideMark/>
          </w:tcPr>
          <w:p w14:paraId="5206CF2D" w14:textId="77777777" w:rsidR="00D80B45" w:rsidRPr="00BB10E7" w:rsidRDefault="00D80B45">
            <w:pPr>
              <w:rPr>
                <w:szCs w:val="20"/>
              </w:rPr>
            </w:pPr>
            <w:r w:rsidRPr="00BB10E7">
              <w:rPr>
                <w:szCs w:val="20"/>
              </w:rPr>
              <w:t>HumanEval, SWE-bench, LiveCodeBench</w:t>
            </w:r>
          </w:p>
        </w:tc>
        <w:tc>
          <w:tcPr>
            <w:tcW w:w="0" w:type="auto"/>
            <w:vAlign w:val="center"/>
            <w:hideMark/>
          </w:tcPr>
          <w:p w14:paraId="6A46C185" w14:textId="77777777" w:rsidR="00D80B45" w:rsidRPr="00BB10E7" w:rsidRDefault="00D80B45">
            <w:pPr>
              <w:rPr>
                <w:szCs w:val="20"/>
              </w:rPr>
            </w:pPr>
            <w:r w:rsidRPr="00BB10E7">
              <w:rPr>
                <w:szCs w:val="20"/>
              </w:rPr>
              <w:t>Particularly valuable when selecting models for developer tooling</w:t>
            </w:r>
          </w:p>
        </w:tc>
      </w:tr>
      <w:tr w:rsidR="00D80B45" w:rsidRPr="00BB10E7" w14:paraId="5FC1844E" w14:textId="77777777" w:rsidTr="00BB10E7">
        <w:trPr>
          <w:tblCellSpacing w:w="15" w:type="dxa"/>
        </w:trPr>
        <w:tc>
          <w:tcPr>
            <w:tcW w:w="0" w:type="auto"/>
            <w:vAlign w:val="center"/>
            <w:hideMark/>
          </w:tcPr>
          <w:p w14:paraId="02C129AB" w14:textId="77777777" w:rsidR="00D80B45" w:rsidRPr="00BB10E7" w:rsidRDefault="00D80B45">
            <w:pPr>
              <w:rPr>
                <w:szCs w:val="20"/>
              </w:rPr>
            </w:pPr>
            <w:r w:rsidRPr="00BB10E7">
              <w:rPr>
                <w:szCs w:val="20"/>
              </w:rPr>
              <w:t>Human preference evaluation</w:t>
            </w:r>
          </w:p>
        </w:tc>
        <w:tc>
          <w:tcPr>
            <w:tcW w:w="0" w:type="auto"/>
            <w:vAlign w:val="center"/>
            <w:hideMark/>
          </w:tcPr>
          <w:p w14:paraId="47684961" w14:textId="77777777" w:rsidR="00D80B45" w:rsidRPr="00BB10E7" w:rsidRDefault="00D80B45">
            <w:pPr>
              <w:rPr>
                <w:szCs w:val="20"/>
              </w:rPr>
            </w:pPr>
            <w:r w:rsidRPr="00BB10E7">
              <w:rPr>
                <w:szCs w:val="20"/>
              </w:rPr>
              <w:t>Measure perceived response quality</w:t>
            </w:r>
          </w:p>
        </w:tc>
        <w:tc>
          <w:tcPr>
            <w:tcW w:w="0" w:type="auto"/>
            <w:vAlign w:val="center"/>
            <w:hideMark/>
          </w:tcPr>
          <w:p w14:paraId="06D3FA4B" w14:textId="77777777" w:rsidR="00D80B45" w:rsidRPr="00BB10E7" w:rsidRDefault="00D80B45">
            <w:pPr>
              <w:rPr>
                <w:szCs w:val="20"/>
              </w:rPr>
            </w:pPr>
            <w:r w:rsidRPr="00BB10E7">
              <w:rPr>
                <w:szCs w:val="20"/>
              </w:rPr>
              <w:t>Arena-style evaluations</w:t>
            </w:r>
          </w:p>
        </w:tc>
        <w:tc>
          <w:tcPr>
            <w:tcW w:w="0" w:type="auto"/>
            <w:vAlign w:val="center"/>
            <w:hideMark/>
          </w:tcPr>
          <w:p w14:paraId="0D35B085" w14:textId="77777777" w:rsidR="00D80B45" w:rsidRPr="00BB10E7" w:rsidRDefault="00D80B45">
            <w:pPr>
              <w:rPr>
                <w:szCs w:val="20"/>
              </w:rPr>
            </w:pPr>
            <w:r w:rsidRPr="00BB10E7">
              <w:rPr>
                <w:szCs w:val="20"/>
              </w:rPr>
              <w:t>Reflect user preferences but may not measure factual correctness or operational suitability</w:t>
            </w:r>
          </w:p>
        </w:tc>
      </w:tr>
      <w:tr w:rsidR="00D80B45" w:rsidRPr="00BB10E7" w14:paraId="65B3F6C7" w14:textId="77777777" w:rsidTr="00BB10E7">
        <w:trPr>
          <w:tblCellSpacing w:w="15" w:type="dxa"/>
        </w:trPr>
        <w:tc>
          <w:tcPr>
            <w:tcW w:w="0" w:type="auto"/>
            <w:vAlign w:val="center"/>
            <w:hideMark/>
          </w:tcPr>
          <w:p w14:paraId="1DFD81B3" w14:textId="77777777" w:rsidR="00D80B45" w:rsidRPr="00BB10E7" w:rsidRDefault="00D80B45">
            <w:pPr>
              <w:rPr>
                <w:szCs w:val="20"/>
              </w:rPr>
            </w:pPr>
            <w:r w:rsidRPr="00BB10E7">
              <w:rPr>
                <w:szCs w:val="20"/>
              </w:rPr>
              <w:t>Retrieval evaluation</w:t>
            </w:r>
          </w:p>
        </w:tc>
        <w:tc>
          <w:tcPr>
            <w:tcW w:w="0" w:type="auto"/>
            <w:vAlign w:val="center"/>
            <w:hideMark/>
          </w:tcPr>
          <w:p w14:paraId="21656FF2" w14:textId="77777777" w:rsidR="00D80B45" w:rsidRPr="00BB10E7" w:rsidRDefault="00D80B45">
            <w:pPr>
              <w:rPr>
                <w:szCs w:val="20"/>
              </w:rPr>
            </w:pPr>
            <w:r w:rsidRPr="00BB10E7">
              <w:rPr>
                <w:szCs w:val="20"/>
              </w:rPr>
              <w:t>Measure search and retrieval effectiveness</w:t>
            </w:r>
          </w:p>
        </w:tc>
        <w:tc>
          <w:tcPr>
            <w:tcW w:w="0" w:type="auto"/>
            <w:vAlign w:val="center"/>
            <w:hideMark/>
          </w:tcPr>
          <w:p w14:paraId="4B844811" w14:textId="77777777" w:rsidR="00D80B45" w:rsidRPr="00BB10E7" w:rsidRDefault="00D80B45">
            <w:pPr>
              <w:rPr>
                <w:szCs w:val="20"/>
              </w:rPr>
            </w:pPr>
            <w:r w:rsidRPr="00BB10E7">
              <w:rPr>
                <w:szCs w:val="20"/>
              </w:rPr>
              <w:t>BEIR and domain-specific retrieval datasets</w:t>
            </w:r>
          </w:p>
        </w:tc>
        <w:tc>
          <w:tcPr>
            <w:tcW w:w="0" w:type="auto"/>
            <w:vAlign w:val="center"/>
            <w:hideMark/>
          </w:tcPr>
          <w:p w14:paraId="2CCD9403" w14:textId="77777777" w:rsidR="00D80B45" w:rsidRPr="00BB10E7" w:rsidRDefault="00D80B45">
            <w:pPr>
              <w:rPr>
                <w:szCs w:val="20"/>
              </w:rPr>
            </w:pPr>
            <w:r w:rsidRPr="00BB10E7">
              <w:rPr>
                <w:szCs w:val="20"/>
              </w:rPr>
              <w:t>Important for retrieval-augmented generation rather than standalone language models</w:t>
            </w:r>
          </w:p>
        </w:tc>
      </w:tr>
      <w:tr w:rsidR="00D80B45" w:rsidRPr="00BB10E7" w14:paraId="7DD932FD" w14:textId="77777777" w:rsidTr="00BB10E7">
        <w:trPr>
          <w:tblCellSpacing w:w="15" w:type="dxa"/>
        </w:trPr>
        <w:tc>
          <w:tcPr>
            <w:tcW w:w="0" w:type="auto"/>
            <w:vAlign w:val="center"/>
            <w:hideMark/>
          </w:tcPr>
          <w:p w14:paraId="440F1945" w14:textId="77777777" w:rsidR="00D80B45" w:rsidRPr="00BB10E7" w:rsidRDefault="00D80B45">
            <w:pPr>
              <w:rPr>
                <w:szCs w:val="20"/>
              </w:rPr>
            </w:pPr>
            <w:r w:rsidRPr="00BB10E7">
              <w:rPr>
                <w:szCs w:val="20"/>
              </w:rPr>
              <w:t>Infrastructure performance</w:t>
            </w:r>
          </w:p>
        </w:tc>
        <w:tc>
          <w:tcPr>
            <w:tcW w:w="0" w:type="auto"/>
            <w:vAlign w:val="center"/>
            <w:hideMark/>
          </w:tcPr>
          <w:p w14:paraId="124931E7" w14:textId="77777777" w:rsidR="00D80B45" w:rsidRPr="00BB10E7" w:rsidRDefault="00D80B45">
            <w:pPr>
              <w:rPr>
                <w:szCs w:val="20"/>
              </w:rPr>
            </w:pPr>
            <w:r w:rsidRPr="00BB10E7">
              <w:rPr>
                <w:szCs w:val="20"/>
              </w:rPr>
              <w:t>Evaluate latency, throughput, efficiency, and hardware utilization</w:t>
            </w:r>
          </w:p>
        </w:tc>
        <w:tc>
          <w:tcPr>
            <w:tcW w:w="0" w:type="auto"/>
            <w:vAlign w:val="center"/>
            <w:hideMark/>
          </w:tcPr>
          <w:p w14:paraId="1D0C297C" w14:textId="77777777" w:rsidR="00D80B45" w:rsidRPr="00BB10E7" w:rsidRDefault="00D80B45">
            <w:pPr>
              <w:rPr>
                <w:szCs w:val="20"/>
              </w:rPr>
            </w:pPr>
            <w:r w:rsidRPr="00BB10E7">
              <w:rPr>
                <w:szCs w:val="20"/>
              </w:rPr>
              <w:t>MLPerf Inference</w:t>
            </w:r>
          </w:p>
        </w:tc>
        <w:tc>
          <w:tcPr>
            <w:tcW w:w="0" w:type="auto"/>
            <w:vAlign w:val="center"/>
            <w:hideMark/>
          </w:tcPr>
          <w:p w14:paraId="76A04738" w14:textId="77777777" w:rsidR="00D80B45" w:rsidRPr="00BB10E7" w:rsidRDefault="00D80B45">
            <w:pPr>
              <w:rPr>
                <w:szCs w:val="20"/>
              </w:rPr>
            </w:pPr>
            <w:r w:rsidRPr="00BB10E7">
              <w:rPr>
                <w:szCs w:val="20"/>
              </w:rPr>
              <w:t>Primarily useful for infrastructure planning and inference optimization rather than model quality</w:t>
            </w:r>
          </w:p>
        </w:tc>
      </w:tr>
    </w:tbl>
    <w:p w14:paraId="108619A9" w14:textId="77777777" w:rsidR="00D80B45" w:rsidRPr="00046211" w:rsidRDefault="00D80B45" w:rsidP="00D80B45">
      <w:pPr>
        <w:pStyle w:val="a3"/>
        <w:rPr>
          <w:sz w:val="28"/>
        </w:rPr>
      </w:pPr>
      <w:r w:rsidRPr="00046211">
        <w:rPr>
          <w:sz w:val="28"/>
        </w:rPr>
        <w:t>An equally important limitation is that benchmarks generally evaluate individual components rather than complete systems. Production AI platforms combine inference engines, retrieval pipelines, orchestration frameworks, external tools, governance mechanisms, caching strategies, and deployment infrastructure. Overall system quality therefore depends on interactions between these components as much as on benchmark scores for individual models.</w:t>
      </w:r>
    </w:p>
    <w:p w14:paraId="039324B7" w14:textId="77777777" w:rsidR="00D80B45" w:rsidRPr="00046211" w:rsidRDefault="00D80B45" w:rsidP="00D80B45">
      <w:pPr>
        <w:pStyle w:val="a3"/>
        <w:rPr>
          <w:sz w:val="28"/>
        </w:rPr>
      </w:pPr>
      <w:r w:rsidRPr="00046211">
        <w:rPr>
          <w:sz w:val="28"/>
        </w:rPr>
        <w:t>For this reason, mature organizations supplement public benchmarks with internal evaluation datasets representing their own business requirements. Customer support systems evaluate real support conversations. Document processing platforms assess representative enterprise documents. Software engineering assistants test against internal codebases. These evaluations often provide more actionable information than generic public benchmarks because they directly reflect production workloads.</w:t>
      </w:r>
    </w:p>
    <w:p w14:paraId="3EF43C6C" w14:textId="77777777" w:rsidR="00D80B45" w:rsidRPr="00046211" w:rsidRDefault="00D80B45" w:rsidP="00D80B45">
      <w:pPr>
        <w:pStyle w:val="a3"/>
        <w:rPr>
          <w:sz w:val="28"/>
        </w:rPr>
      </w:pPr>
      <w:r w:rsidRPr="00046211">
        <w:rPr>
          <w:sz w:val="28"/>
        </w:rPr>
        <w:lastRenderedPageBreak/>
        <w:t>Finally, benchmark rankings should be interpreted as snapshots rather than permanent truths. The rapid pace of model development means that leaderboard positions can change within weeks or months. Engineering decisions, however, often remain in place for years. Consequently, benchmark results should inform architectural decisions but rarely determine them in isolation. Long-term considerations such as deployment flexibility, operational maturity, security, governance, ecosystem support, and total cost of ownership frequently exert greater influence on production success than marginal improvements in benchmark performance.</w:t>
      </w:r>
    </w:p>
    <w:p w14:paraId="3ABEE110" w14:textId="77777777" w:rsidR="00D80B45" w:rsidRPr="00046211" w:rsidRDefault="00D80B45" w:rsidP="00D80B45">
      <w:pPr>
        <w:pStyle w:val="a3"/>
        <w:rPr>
          <w:sz w:val="28"/>
        </w:rPr>
      </w:pPr>
      <w:r w:rsidRPr="00046211">
        <w:rPr>
          <w:sz w:val="28"/>
        </w:rPr>
        <w:t>The following section builds on these principles by examining how technology maturity should be evaluated and why stable engineering practices often outlast rapidly changing products.</w:t>
      </w:r>
    </w:p>
    <w:p w14:paraId="47CCF6E2" w14:textId="77777777" w:rsidR="00F918B2" w:rsidRPr="00046211" w:rsidRDefault="00F918B2" w:rsidP="00F918B2">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t>1.10 Technology Maturity</w:t>
      </w:r>
    </w:p>
    <w:p w14:paraId="1D280E4D"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AI ecosystem is characterized not only by rapid innovation but also by significant variation in the maturity of individual technologies. Mature components coexist with experimental research prototypes, early-stage open-source projects, commercial products in active development, and evolving industry standards. Engineers designing production platforms must therefore evaluate not only whether a technology is technically impressive, but also whether it is sufficiently mature for its intended operational role.</w:t>
      </w:r>
    </w:p>
    <w:p w14:paraId="24B95D6A"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Maturity should not be confused with age. A technology that has existed for many years may remain unsuitable for production if it lacks operational experience, stable interfaces, or an active maintenance community. Conversely, a relatively new technology may reach production readiness quickly if it demonstrates robust engineering practices, comprehensive documentation, predictable release management, and successful adoption across multiple organizations.</w:t>
      </w:r>
    </w:p>
    <w:p w14:paraId="7641833F"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For this reason, technology maturity is best understood as a multidimensional engineering characteristic rather than a simple measure of popularity or longevity.</w:t>
      </w:r>
    </w:p>
    <w:p w14:paraId="4A54FCA0"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One important dimension is </w:t>
      </w:r>
      <w:r w:rsidRPr="00046211">
        <w:rPr>
          <w:rFonts w:ascii="Times New Roman" w:eastAsia="Times New Roman" w:hAnsi="Times New Roman" w:cs="Times New Roman"/>
          <w:b/>
          <w:bCs/>
          <w:sz w:val="28"/>
          <w:szCs w:val="24"/>
        </w:rPr>
        <w:t>interface stability</w:t>
      </w:r>
      <w:r w:rsidRPr="00046211">
        <w:rPr>
          <w:rFonts w:ascii="Times New Roman" w:eastAsia="Times New Roman" w:hAnsi="Times New Roman" w:cs="Times New Roman"/>
          <w:sz w:val="28"/>
          <w:szCs w:val="24"/>
        </w:rPr>
        <w:t>. Production systems frequently remain in service for many years, making stable APIs and predictable upgrade paths essential. Technologies that introduce incompatible changes with every release increase operational costs, complicate automation, and discourage platform standardization. Stable interfaces enable organizations to improve underlying implementations while minimizing disruption to dependent applications.</w:t>
      </w:r>
    </w:p>
    <w:p w14:paraId="396C5FF7"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lastRenderedPageBreak/>
        <w:t xml:space="preserve">A second dimension is </w:t>
      </w:r>
      <w:r w:rsidRPr="00046211">
        <w:rPr>
          <w:rFonts w:ascii="Times New Roman" w:eastAsia="Times New Roman" w:hAnsi="Times New Roman" w:cs="Times New Roman"/>
          <w:b/>
          <w:bCs/>
          <w:sz w:val="28"/>
          <w:szCs w:val="24"/>
        </w:rPr>
        <w:t>operational experience</w:t>
      </w:r>
      <w:r w:rsidRPr="00046211">
        <w:rPr>
          <w:rFonts w:ascii="Times New Roman" w:eastAsia="Times New Roman" w:hAnsi="Times New Roman" w:cs="Times New Roman"/>
          <w:sz w:val="28"/>
          <w:szCs w:val="24"/>
        </w:rPr>
        <w:t>. Many architectural challenges become apparent only after software has been deployed under realistic production conditions. Long-running services expose issues involving resource management, failure recovery, scaling behavior, upgrade procedures, observability, and operational tooling that may not be visible during laboratory testing. Technologies that have accumulated production experience across diverse environments generally present fewer operational surprises.</w:t>
      </w:r>
    </w:p>
    <w:p w14:paraId="0DAA5868"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surrounding ecosystem provides another important indicator. Mature technologies are typically supported by comprehensive documentation, active communities, monitoring integrations, deployment tooling, educational resources, and third-party extensions. These complementary resources reduce implementation effort and lower operational risk. By contrast, technically capable projects with limited ecosystems often require organizations to develop significant internal expertise before they can be adopted confidently.</w:t>
      </w:r>
    </w:p>
    <w:p w14:paraId="5B0E40CE"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Governance and maintenance practices also contribute to maturity. Transparent release processes, documented compatibility policies, responsive issue management, security disclosure procedures, and long-term maintenance commitments provide confidence that a technology will remain viable throughout the lifecycle of a production platform. Organizations investing in AI infrastructure frequently make architectural decisions expected to remain operational for several years. Consequently, predictable project governance often carries greater practical value than rapid feature development.</w:t>
      </w:r>
    </w:p>
    <w:p w14:paraId="4CD9136D"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Performance should likewise be interpreted within the context of maturity. Experimental systems frequently demonstrate exceptional benchmark results by optimizing for narrowly defined workloads. Mature systems, however, must balance performance with reliability, compatibility, operational visibility, security, maintainability, and supportability. In production environments, a technology that is slightly less efficient but substantially easier to operate may provide greater overall value.</w:t>
      </w:r>
    </w:p>
    <w:p w14:paraId="3ECB085A"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Table 1-8. Common Indicators of Technology Maturity</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1949"/>
        <w:gridCol w:w="3743"/>
        <w:gridCol w:w="3668"/>
      </w:tblGrid>
      <w:tr w:rsidR="00F918B2" w:rsidRPr="00BB10E7" w14:paraId="420A86C4" w14:textId="77777777" w:rsidTr="00BB10E7">
        <w:trPr>
          <w:tblHeader/>
          <w:tblCellSpacing w:w="15" w:type="dxa"/>
        </w:trPr>
        <w:tc>
          <w:tcPr>
            <w:tcW w:w="0" w:type="auto"/>
            <w:vAlign w:val="center"/>
            <w:hideMark/>
          </w:tcPr>
          <w:p w14:paraId="0E0C30AD" w14:textId="77777777" w:rsidR="00F918B2" w:rsidRPr="00BB10E7" w:rsidRDefault="00F918B2" w:rsidP="00F918B2">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Maturity Dimension</w:t>
            </w:r>
          </w:p>
        </w:tc>
        <w:tc>
          <w:tcPr>
            <w:tcW w:w="0" w:type="auto"/>
            <w:vAlign w:val="center"/>
            <w:hideMark/>
          </w:tcPr>
          <w:p w14:paraId="04B4175F" w14:textId="77777777" w:rsidR="00F918B2" w:rsidRPr="00BB10E7" w:rsidRDefault="00F918B2" w:rsidP="00F918B2">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Questions to Consider</w:t>
            </w:r>
          </w:p>
        </w:tc>
        <w:tc>
          <w:tcPr>
            <w:tcW w:w="0" w:type="auto"/>
            <w:vAlign w:val="center"/>
            <w:hideMark/>
          </w:tcPr>
          <w:p w14:paraId="0BF145AC" w14:textId="77777777" w:rsidR="00F918B2" w:rsidRPr="00BB10E7" w:rsidRDefault="00F918B2" w:rsidP="00F918B2">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Engineering Significance</w:t>
            </w:r>
          </w:p>
        </w:tc>
      </w:tr>
      <w:tr w:rsidR="00F918B2" w:rsidRPr="00BB10E7" w14:paraId="3F699EDF" w14:textId="77777777" w:rsidTr="00BB10E7">
        <w:trPr>
          <w:tblCellSpacing w:w="15" w:type="dxa"/>
        </w:trPr>
        <w:tc>
          <w:tcPr>
            <w:tcW w:w="0" w:type="auto"/>
            <w:vAlign w:val="center"/>
            <w:hideMark/>
          </w:tcPr>
          <w:p w14:paraId="28E0D848"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API and interface stability</w:t>
            </w:r>
          </w:p>
        </w:tc>
        <w:tc>
          <w:tcPr>
            <w:tcW w:w="0" w:type="auto"/>
            <w:vAlign w:val="center"/>
            <w:hideMark/>
          </w:tcPr>
          <w:p w14:paraId="54D61C25"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Are interfaces stable across releases? Is backward compatibility documented?</w:t>
            </w:r>
          </w:p>
        </w:tc>
        <w:tc>
          <w:tcPr>
            <w:tcW w:w="0" w:type="auto"/>
            <w:vAlign w:val="center"/>
            <w:hideMark/>
          </w:tcPr>
          <w:p w14:paraId="3502970D"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Stable interfaces reduce migration effort and simplify long-term maintenance.</w:t>
            </w:r>
          </w:p>
        </w:tc>
      </w:tr>
      <w:tr w:rsidR="00F918B2" w:rsidRPr="00BB10E7" w14:paraId="211F7476" w14:textId="77777777" w:rsidTr="00BB10E7">
        <w:trPr>
          <w:tblCellSpacing w:w="15" w:type="dxa"/>
        </w:trPr>
        <w:tc>
          <w:tcPr>
            <w:tcW w:w="0" w:type="auto"/>
            <w:vAlign w:val="center"/>
            <w:hideMark/>
          </w:tcPr>
          <w:p w14:paraId="52009FFC"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lastRenderedPageBreak/>
              <w:t>Operational experience</w:t>
            </w:r>
          </w:p>
        </w:tc>
        <w:tc>
          <w:tcPr>
            <w:tcW w:w="0" w:type="auto"/>
            <w:vAlign w:val="center"/>
            <w:hideMark/>
          </w:tcPr>
          <w:p w14:paraId="7D06719E"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Has the technology been deployed successfully in diverse production environments?</w:t>
            </w:r>
          </w:p>
        </w:tc>
        <w:tc>
          <w:tcPr>
            <w:tcW w:w="0" w:type="auto"/>
            <w:vAlign w:val="center"/>
            <w:hideMark/>
          </w:tcPr>
          <w:p w14:paraId="7B41A9E3"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Real-world experience exposes reliability characteristics that benchmarks cannot measure.</w:t>
            </w:r>
          </w:p>
        </w:tc>
      </w:tr>
      <w:tr w:rsidR="00F918B2" w:rsidRPr="00BB10E7" w14:paraId="1F22D5A5" w14:textId="77777777" w:rsidTr="00BB10E7">
        <w:trPr>
          <w:tblCellSpacing w:w="15" w:type="dxa"/>
        </w:trPr>
        <w:tc>
          <w:tcPr>
            <w:tcW w:w="0" w:type="auto"/>
            <w:vAlign w:val="center"/>
            <w:hideMark/>
          </w:tcPr>
          <w:p w14:paraId="4EC3843F"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Documentation quality</w:t>
            </w:r>
          </w:p>
        </w:tc>
        <w:tc>
          <w:tcPr>
            <w:tcW w:w="0" w:type="auto"/>
            <w:vAlign w:val="center"/>
            <w:hideMark/>
          </w:tcPr>
          <w:p w14:paraId="3DB53343"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Is documentation comprehensive, current, and technically accurate?</w:t>
            </w:r>
          </w:p>
        </w:tc>
        <w:tc>
          <w:tcPr>
            <w:tcW w:w="0" w:type="auto"/>
            <w:vAlign w:val="center"/>
            <w:hideMark/>
          </w:tcPr>
          <w:p w14:paraId="6B7C6B07"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Good documentation lowers operational risk and accelerates adoption.</w:t>
            </w:r>
          </w:p>
        </w:tc>
      </w:tr>
      <w:tr w:rsidR="00F918B2" w:rsidRPr="00BB10E7" w14:paraId="34B870C7" w14:textId="77777777" w:rsidTr="00BB10E7">
        <w:trPr>
          <w:tblCellSpacing w:w="15" w:type="dxa"/>
        </w:trPr>
        <w:tc>
          <w:tcPr>
            <w:tcW w:w="0" w:type="auto"/>
            <w:vAlign w:val="center"/>
            <w:hideMark/>
          </w:tcPr>
          <w:p w14:paraId="166AD636"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Ecosystem maturity</w:t>
            </w:r>
          </w:p>
        </w:tc>
        <w:tc>
          <w:tcPr>
            <w:tcW w:w="0" w:type="auto"/>
            <w:vAlign w:val="center"/>
            <w:hideMark/>
          </w:tcPr>
          <w:p w14:paraId="1BA8A318"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Are deployment tools, integrations, monitoring solutions, and community resources available?</w:t>
            </w:r>
          </w:p>
        </w:tc>
        <w:tc>
          <w:tcPr>
            <w:tcW w:w="0" w:type="auto"/>
            <w:vAlign w:val="center"/>
            <w:hideMark/>
          </w:tcPr>
          <w:p w14:paraId="2F85A284"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 mature ecosystem reduces implementation effort and encourages interoperability.</w:t>
            </w:r>
          </w:p>
        </w:tc>
      </w:tr>
      <w:tr w:rsidR="00F918B2" w:rsidRPr="00BB10E7" w14:paraId="7D446142" w14:textId="77777777" w:rsidTr="00BB10E7">
        <w:trPr>
          <w:tblCellSpacing w:w="15" w:type="dxa"/>
        </w:trPr>
        <w:tc>
          <w:tcPr>
            <w:tcW w:w="0" w:type="auto"/>
            <w:vAlign w:val="center"/>
            <w:hideMark/>
          </w:tcPr>
          <w:p w14:paraId="22CB5F6E"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Governance and maintenance</w:t>
            </w:r>
          </w:p>
        </w:tc>
        <w:tc>
          <w:tcPr>
            <w:tcW w:w="0" w:type="auto"/>
            <w:vAlign w:val="center"/>
            <w:hideMark/>
          </w:tcPr>
          <w:p w14:paraId="6F18D055"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Is the project actively maintained with transparent release and security processes?</w:t>
            </w:r>
          </w:p>
        </w:tc>
        <w:tc>
          <w:tcPr>
            <w:tcW w:w="0" w:type="auto"/>
            <w:vAlign w:val="center"/>
            <w:hideMark/>
          </w:tcPr>
          <w:p w14:paraId="25FD30C3"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Predictable governance supports long-term platform planning.</w:t>
            </w:r>
          </w:p>
        </w:tc>
      </w:tr>
      <w:tr w:rsidR="00F918B2" w:rsidRPr="00BB10E7" w14:paraId="665FCA2E" w14:textId="77777777" w:rsidTr="00BB10E7">
        <w:trPr>
          <w:tblCellSpacing w:w="15" w:type="dxa"/>
        </w:trPr>
        <w:tc>
          <w:tcPr>
            <w:tcW w:w="0" w:type="auto"/>
            <w:vAlign w:val="center"/>
            <w:hideMark/>
          </w:tcPr>
          <w:p w14:paraId="43541890"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Security posture</w:t>
            </w:r>
          </w:p>
        </w:tc>
        <w:tc>
          <w:tcPr>
            <w:tcW w:w="0" w:type="auto"/>
            <w:vAlign w:val="center"/>
            <w:hideMark/>
          </w:tcPr>
          <w:p w14:paraId="0C3F2242"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Are vulnerabilities managed responsibly? Are security practices documented?</w:t>
            </w:r>
          </w:p>
        </w:tc>
        <w:tc>
          <w:tcPr>
            <w:tcW w:w="0" w:type="auto"/>
            <w:vAlign w:val="center"/>
            <w:hideMark/>
          </w:tcPr>
          <w:p w14:paraId="6D11FE90"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Security maturity is essential for enterprise production environments.</w:t>
            </w:r>
          </w:p>
        </w:tc>
      </w:tr>
      <w:tr w:rsidR="00F918B2" w:rsidRPr="00BB10E7" w14:paraId="1655BA3A" w14:textId="77777777" w:rsidTr="00BB10E7">
        <w:trPr>
          <w:tblCellSpacing w:w="15" w:type="dxa"/>
        </w:trPr>
        <w:tc>
          <w:tcPr>
            <w:tcW w:w="0" w:type="auto"/>
            <w:vAlign w:val="center"/>
            <w:hideMark/>
          </w:tcPr>
          <w:p w14:paraId="03DC27E6"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Adoption and interoperability</w:t>
            </w:r>
          </w:p>
        </w:tc>
        <w:tc>
          <w:tcPr>
            <w:tcW w:w="0" w:type="auto"/>
            <w:vAlign w:val="center"/>
            <w:hideMark/>
          </w:tcPr>
          <w:p w14:paraId="2FF34639"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Is the technology widely integrated with related infrastructure?</w:t>
            </w:r>
          </w:p>
        </w:tc>
        <w:tc>
          <w:tcPr>
            <w:tcW w:w="0" w:type="auto"/>
            <w:vAlign w:val="center"/>
            <w:hideMark/>
          </w:tcPr>
          <w:p w14:paraId="22D9BDDE"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Broad adoption often indicates practical usability and ecosystem compatibility.</w:t>
            </w:r>
          </w:p>
        </w:tc>
      </w:tr>
    </w:tbl>
    <w:p w14:paraId="71D60EF8"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Technology maturity should also be evaluated relative to architectural importance. Experimental components may be entirely appropriate for isolated internal tools or research environments, while core platform infrastructure supporting business-critical workloads generally demands higher standards of operational maturity. The acceptable level of risk depends on the consequences of failure.</w:t>
      </w:r>
    </w:p>
    <w:p w14:paraId="3C09405F"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For example, experimenting with a newly released orchestration framework for an internal prototype may be entirely reasonable. Adopting the same framework as the foundation for a regulated production platform before its interfaces stabilize may introduce unnecessary operational risk. Similarly, replacing a mature observability platform with an experimental alternative solely because it introduces AI-specific features may reduce overall reliability despite improving functionality in one area.</w:t>
      </w:r>
    </w:p>
    <w:p w14:paraId="49F75527"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This principle extends beyond software. Emerging hardware architectures, accelerator technologies, networking standards, and deployment models should be evaluated according to the same engineering criteria. Novel capabilities become valuable only when they can be integrated into operational systems with acceptable levels of reliability, maintainability, and support.</w:t>
      </w:r>
    </w:p>
    <w:p w14:paraId="308A8E70"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lastRenderedPageBreak/>
        <w:t>Throughout this book, technologies are therefore discussed within the context of their current engineering maturity. Established industry practices are distinguished from rapidly evolving techniques, and experimental approaches are clearly identified where appropriate. This distinction enables readers to make informed architectural decisions based not only on technical capability but also on operational readiness.</w:t>
      </w:r>
    </w:p>
    <w:p w14:paraId="4E872D49" w14:textId="77777777" w:rsidR="00F918B2" w:rsidRPr="00046211" w:rsidRDefault="00BB10E7" w:rsidP="00F918B2">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7D97C0A8">
          <v:rect id="_x0000_i1031" style="width:0;height:1.5pt" o:hralign="center" o:hrstd="t" o:hr="t" fillcolor="#a0a0a0" stroked="f"/>
        </w:pict>
      </w:r>
    </w:p>
    <w:p w14:paraId="32E1381D" w14:textId="77777777" w:rsidR="00F918B2" w:rsidRPr="00046211" w:rsidRDefault="00F918B2" w:rsidP="00F918B2">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t>1.11 Stable Principles Versus Rapidly Changing Technologies</w:t>
      </w:r>
    </w:p>
    <w:p w14:paraId="05328E46"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One reason many engineers find the AI ecosystem difficult to navigate is that discussions often treat every component as though it evolves at the same rate. In reality, modern AI platforms consist of technologies with dramatically different lifecycles. Some foundational principles have remained largely unchanged for decades, while others may evolve several times within a single year.</w:t>
      </w:r>
    </w:p>
    <w:p w14:paraId="7F88CFD1"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Recognizing this distinction is essential for making durable architectural decisions.</w:t>
      </w:r>
    </w:p>
    <w:p w14:paraId="3E999490"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Software engineering has repeatedly demonstrated that stable abstractions outlive individual implementations. Relational databases have evolved considerably since their introduction, yet the principles of transactional consistency, indexing, query optimization, and normalization remain fundamental. Networking protocols continue to improve, but concepts such as routing, authentication, fault tolerance, and distributed communication remain central to modern systems regardless of implementation details.</w:t>
      </w:r>
    </w:p>
    <w:p w14:paraId="24E53A19"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AI platforms exhibit the same pattern.</w:t>
      </w:r>
    </w:p>
    <w:p w14:paraId="08F28623"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Distributed systems principles continue to govern service communication. Authentication and authorization remain essential regardless of the selected model provider. Deployment automation, infrastructure as code, observability, version control, continuous integration, and operational governance remain indispensable for production environments. These principles were established before the emergence of generative AI and continue to provide the foundation upon which AI platforms are built.</w:t>
      </w:r>
    </w:p>
    <w:p w14:paraId="5B1090E7"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lastRenderedPageBreak/>
        <w:t>By contrast, many AI-specific technologies remain in periods of rapid evolution. Foundation models continue to improve in capability and efficiency. Inference engines regularly introduce new scheduling algorithms and optimization techniques. Agent frameworks compete to define programming abstractions for autonomous workflows. Evaluation methodologies evolve alongside increasingly capable reasoning models. Context engineering, prompt optimization, and retrieval strategies continue to mature as operational experience grows.</w:t>
      </w:r>
    </w:p>
    <w:p w14:paraId="2593E3DB"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coexistence of stable and rapidly changing technologies has important architectural implications.</w:t>
      </w:r>
    </w:p>
    <w:p w14:paraId="35991EA7"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Components expected to evolve quickly should be isolated behind well-defined interfaces whenever possible. Applications should depend upon stable APIs rather than provider-specific implementations. Business logic should remain independent of individual models. Infrastructure automation should accommodate deployment of multiple inference backends without requiring application redesign. Architectural modularity allows organizations to adopt technological improvements incrementally rather than through disruptive platform-wide migrations.</w:t>
      </w:r>
    </w:p>
    <w:p w14:paraId="4E39BB31"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Conversely, organizations should hesitate before replacing mature infrastructure solely because a newer alternative has become available. Established technologies often provide years of accumulated operational knowledge, extensive ecosystem support, predictable maintenance practices, and robust integration capabilities. These characteristics frequently outweigh modest improvements in benchmark performance or feature availability.</w:t>
      </w:r>
    </w:p>
    <w:p w14:paraId="17CF2E6E"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Table 1-9. Relative Stability of Common AI Platform Components</w:t>
      </w:r>
    </w:p>
    <w:tbl>
      <w:tblPr>
        <w:tblW w:w="0" w:type="auto"/>
        <w:tblCellSpacing w:w="15" w:type="dxa"/>
        <w:tblBorders>
          <w:insideH w:val="single" w:sz="4" w:space="0" w:color="auto"/>
        </w:tblBorders>
        <w:tblCellMar>
          <w:top w:w="15" w:type="dxa"/>
          <w:left w:w="15" w:type="dxa"/>
          <w:bottom w:w="15" w:type="dxa"/>
          <w:right w:w="15" w:type="dxa"/>
        </w:tblCellMar>
        <w:tblLook w:val="04A0" w:firstRow="1" w:lastRow="0" w:firstColumn="1" w:lastColumn="0" w:noHBand="0" w:noVBand="1"/>
      </w:tblPr>
      <w:tblGrid>
        <w:gridCol w:w="2600"/>
        <w:gridCol w:w="1684"/>
        <w:gridCol w:w="5076"/>
      </w:tblGrid>
      <w:tr w:rsidR="00F918B2" w:rsidRPr="00BB10E7" w14:paraId="70AAD37C" w14:textId="77777777" w:rsidTr="00BB10E7">
        <w:trPr>
          <w:tblHeader/>
          <w:tblCellSpacing w:w="15" w:type="dxa"/>
        </w:trPr>
        <w:tc>
          <w:tcPr>
            <w:tcW w:w="0" w:type="auto"/>
            <w:vAlign w:val="center"/>
            <w:hideMark/>
          </w:tcPr>
          <w:p w14:paraId="0234ED75" w14:textId="77777777" w:rsidR="00F918B2" w:rsidRPr="00BB10E7" w:rsidRDefault="00F918B2" w:rsidP="00F918B2">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Component</w:t>
            </w:r>
          </w:p>
        </w:tc>
        <w:tc>
          <w:tcPr>
            <w:tcW w:w="0" w:type="auto"/>
            <w:vAlign w:val="center"/>
            <w:hideMark/>
          </w:tcPr>
          <w:p w14:paraId="43865D86" w14:textId="77777777" w:rsidR="00F918B2" w:rsidRPr="00BB10E7" w:rsidRDefault="00F918B2" w:rsidP="00F918B2">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Typical Rate of Change</w:t>
            </w:r>
          </w:p>
        </w:tc>
        <w:tc>
          <w:tcPr>
            <w:tcW w:w="0" w:type="auto"/>
            <w:vAlign w:val="center"/>
            <w:hideMark/>
          </w:tcPr>
          <w:p w14:paraId="14BEA41E" w14:textId="77777777" w:rsidR="00F918B2" w:rsidRPr="00BB10E7" w:rsidRDefault="00F918B2" w:rsidP="00F918B2">
            <w:pPr>
              <w:spacing w:after="0" w:line="240" w:lineRule="auto"/>
              <w:jc w:val="center"/>
              <w:rPr>
                <w:rFonts w:ascii="Times New Roman" w:eastAsia="Times New Roman" w:hAnsi="Times New Roman" w:cs="Times New Roman"/>
                <w:b/>
                <w:bCs/>
                <w:sz w:val="24"/>
              </w:rPr>
            </w:pPr>
            <w:r w:rsidRPr="00BB10E7">
              <w:rPr>
                <w:rFonts w:ascii="Times New Roman" w:eastAsia="Times New Roman" w:hAnsi="Times New Roman" w:cs="Times New Roman"/>
                <w:b/>
                <w:bCs/>
                <w:sz w:val="24"/>
              </w:rPr>
              <w:t>Architectural Guidance</w:t>
            </w:r>
          </w:p>
        </w:tc>
      </w:tr>
      <w:tr w:rsidR="00F918B2" w:rsidRPr="00BB10E7" w14:paraId="43CA868A" w14:textId="77777777" w:rsidTr="00BB10E7">
        <w:trPr>
          <w:tblCellSpacing w:w="15" w:type="dxa"/>
        </w:trPr>
        <w:tc>
          <w:tcPr>
            <w:tcW w:w="0" w:type="auto"/>
            <w:vAlign w:val="center"/>
            <w:hideMark/>
          </w:tcPr>
          <w:p w14:paraId="64802BEA"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Networking protocols</w:t>
            </w:r>
          </w:p>
        </w:tc>
        <w:tc>
          <w:tcPr>
            <w:tcW w:w="0" w:type="auto"/>
            <w:vAlign w:val="center"/>
            <w:hideMark/>
          </w:tcPr>
          <w:p w14:paraId="24219131"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Slow</w:t>
            </w:r>
          </w:p>
        </w:tc>
        <w:tc>
          <w:tcPr>
            <w:tcW w:w="0" w:type="auto"/>
            <w:vAlign w:val="center"/>
            <w:hideMark/>
          </w:tcPr>
          <w:p w14:paraId="36CBCED5"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Build upon established standards rather than proprietary communication mechanisms.</w:t>
            </w:r>
          </w:p>
        </w:tc>
      </w:tr>
      <w:tr w:rsidR="00F918B2" w:rsidRPr="00BB10E7" w14:paraId="1AC85D94" w14:textId="77777777" w:rsidTr="00BB10E7">
        <w:trPr>
          <w:tblCellSpacing w:w="15" w:type="dxa"/>
        </w:trPr>
        <w:tc>
          <w:tcPr>
            <w:tcW w:w="0" w:type="auto"/>
            <w:vAlign w:val="center"/>
            <w:hideMark/>
          </w:tcPr>
          <w:p w14:paraId="4B9828B6"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Authentication and authorization</w:t>
            </w:r>
          </w:p>
        </w:tc>
        <w:tc>
          <w:tcPr>
            <w:tcW w:w="0" w:type="auto"/>
            <w:vAlign w:val="center"/>
            <w:hideMark/>
          </w:tcPr>
          <w:p w14:paraId="275E9A05"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Slow</w:t>
            </w:r>
          </w:p>
        </w:tc>
        <w:tc>
          <w:tcPr>
            <w:tcW w:w="0" w:type="auto"/>
            <w:vAlign w:val="center"/>
            <w:hideMark/>
          </w:tcPr>
          <w:p w14:paraId="73478BBA"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Adopt widely accepted security standards that remain stable across technology generations.</w:t>
            </w:r>
          </w:p>
        </w:tc>
      </w:tr>
      <w:tr w:rsidR="00F918B2" w:rsidRPr="00BB10E7" w14:paraId="010A32B9" w14:textId="77777777" w:rsidTr="00BB10E7">
        <w:trPr>
          <w:tblCellSpacing w:w="15" w:type="dxa"/>
        </w:trPr>
        <w:tc>
          <w:tcPr>
            <w:tcW w:w="0" w:type="auto"/>
            <w:vAlign w:val="center"/>
            <w:hideMark/>
          </w:tcPr>
          <w:p w14:paraId="13BAA5C0"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Kubernetes and container orchestration</w:t>
            </w:r>
          </w:p>
        </w:tc>
        <w:tc>
          <w:tcPr>
            <w:tcW w:w="0" w:type="auto"/>
            <w:vAlign w:val="center"/>
            <w:hideMark/>
          </w:tcPr>
          <w:p w14:paraId="7A7565F4"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Moderate</w:t>
            </w:r>
          </w:p>
        </w:tc>
        <w:tc>
          <w:tcPr>
            <w:tcW w:w="0" w:type="auto"/>
            <w:vAlign w:val="center"/>
            <w:hideMark/>
          </w:tcPr>
          <w:p w14:paraId="04D52C1E"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Expect incremental evolution rather than fundamental redesign.</w:t>
            </w:r>
          </w:p>
        </w:tc>
      </w:tr>
      <w:tr w:rsidR="00F918B2" w:rsidRPr="00BB10E7" w14:paraId="107B226F" w14:textId="77777777" w:rsidTr="00BB10E7">
        <w:trPr>
          <w:tblCellSpacing w:w="15" w:type="dxa"/>
        </w:trPr>
        <w:tc>
          <w:tcPr>
            <w:tcW w:w="0" w:type="auto"/>
            <w:vAlign w:val="center"/>
            <w:hideMark/>
          </w:tcPr>
          <w:p w14:paraId="7F48A30B"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Observability frameworks</w:t>
            </w:r>
          </w:p>
        </w:tc>
        <w:tc>
          <w:tcPr>
            <w:tcW w:w="0" w:type="auto"/>
            <w:vAlign w:val="center"/>
            <w:hideMark/>
          </w:tcPr>
          <w:p w14:paraId="20A3D3E9"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Moderate</w:t>
            </w:r>
          </w:p>
        </w:tc>
        <w:tc>
          <w:tcPr>
            <w:tcW w:w="0" w:type="auto"/>
            <w:vAlign w:val="center"/>
            <w:hideMark/>
          </w:tcPr>
          <w:p w14:paraId="48055AD9"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Invest in standardized telemetry rather than provider-specific monitoring solutions.</w:t>
            </w:r>
          </w:p>
        </w:tc>
      </w:tr>
      <w:tr w:rsidR="00F918B2" w:rsidRPr="00BB10E7" w14:paraId="46E98192" w14:textId="77777777" w:rsidTr="00BB10E7">
        <w:trPr>
          <w:tblCellSpacing w:w="15" w:type="dxa"/>
        </w:trPr>
        <w:tc>
          <w:tcPr>
            <w:tcW w:w="0" w:type="auto"/>
            <w:vAlign w:val="center"/>
            <w:hideMark/>
          </w:tcPr>
          <w:p w14:paraId="5EE4A981"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Foundation models</w:t>
            </w:r>
          </w:p>
        </w:tc>
        <w:tc>
          <w:tcPr>
            <w:tcW w:w="0" w:type="auto"/>
            <w:vAlign w:val="center"/>
            <w:hideMark/>
          </w:tcPr>
          <w:p w14:paraId="0547A803"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Rapid</w:t>
            </w:r>
          </w:p>
        </w:tc>
        <w:tc>
          <w:tcPr>
            <w:tcW w:w="0" w:type="auto"/>
            <w:vAlign w:val="center"/>
            <w:hideMark/>
          </w:tcPr>
          <w:p w14:paraId="29052F04"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Design abstraction layers that allow models to be replaced with minimal application changes.</w:t>
            </w:r>
          </w:p>
        </w:tc>
      </w:tr>
      <w:tr w:rsidR="00F918B2" w:rsidRPr="00BB10E7" w14:paraId="4F4E1EC2" w14:textId="77777777" w:rsidTr="00BB10E7">
        <w:trPr>
          <w:tblCellSpacing w:w="15" w:type="dxa"/>
        </w:trPr>
        <w:tc>
          <w:tcPr>
            <w:tcW w:w="0" w:type="auto"/>
            <w:vAlign w:val="center"/>
            <w:hideMark/>
          </w:tcPr>
          <w:p w14:paraId="071CA512"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lastRenderedPageBreak/>
              <w:t>Inference engines</w:t>
            </w:r>
          </w:p>
        </w:tc>
        <w:tc>
          <w:tcPr>
            <w:tcW w:w="0" w:type="auto"/>
            <w:vAlign w:val="center"/>
            <w:hideMark/>
          </w:tcPr>
          <w:p w14:paraId="70F54DA5"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Rapid</w:t>
            </w:r>
          </w:p>
        </w:tc>
        <w:tc>
          <w:tcPr>
            <w:tcW w:w="0" w:type="auto"/>
            <w:vAlign w:val="center"/>
            <w:hideMark/>
          </w:tcPr>
          <w:p w14:paraId="0DB0B64B"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Expect frequent performance improvements and deployment optimizations.</w:t>
            </w:r>
          </w:p>
        </w:tc>
      </w:tr>
      <w:tr w:rsidR="00F918B2" w:rsidRPr="00BB10E7" w14:paraId="5D0EE2B2" w14:textId="77777777" w:rsidTr="00BB10E7">
        <w:trPr>
          <w:tblCellSpacing w:w="15" w:type="dxa"/>
        </w:trPr>
        <w:tc>
          <w:tcPr>
            <w:tcW w:w="0" w:type="auto"/>
            <w:vAlign w:val="center"/>
            <w:hideMark/>
          </w:tcPr>
          <w:p w14:paraId="02FEC535"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Agent frameworks</w:t>
            </w:r>
          </w:p>
        </w:tc>
        <w:tc>
          <w:tcPr>
            <w:tcW w:w="0" w:type="auto"/>
            <w:vAlign w:val="center"/>
            <w:hideMark/>
          </w:tcPr>
          <w:p w14:paraId="02E035BC"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Rapid</w:t>
            </w:r>
          </w:p>
        </w:tc>
        <w:tc>
          <w:tcPr>
            <w:tcW w:w="0" w:type="auto"/>
            <w:vAlign w:val="center"/>
            <w:hideMark/>
          </w:tcPr>
          <w:p w14:paraId="6E7A189B"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Evaluate carefully before introducing dependencies into core production systems.</w:t>
            </w:r>
          </w:p>
        </w:tc>
      </w:tr>
      <w:tr w:rsidR="00F918B2" w:rsidRPr="00BB10E7" w14:paraId="1DF9C1B3" w14:textId="77777777" w:rsidTr="00BB10E7">
        <w:trPr>
          <w:tblCellSpacing w:w="15" w:type="dxa"/>
        </w:trPr>
        <w:tc>
          <w:tcPr>
            <w:tcW w:w="0" w:type="auto"/>
            <w:vAlign w:val="center"/>
            <w:hideMark/>
          </w:tcPr>
          <w:p w14:paraId="1F1BAAB2"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Benchmark leaders</w:t>
            </w:r>
          </w:p>
        </w:tc>
        <w:tc>
          <w:tcPr>
            <w:tcW w:w="0" w:type="auto"/>
            <w:vAlign w:val="center"/>
            <w:hideMark/>
          </w:tcPr>
          <w:p w14:paraId="037034F3"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Very rapid</w:t>
            </w:r>
          </w:p>
        </w:tc>
        <w:tc>
          <w:tcPr>
            <w:tcW w:w="0" w:type="auto"/>
            <w:vAlign w:val="center"/>
            <w:hideMark/>
          </w:tcPr>
          <w:p w14:paraId="02AC104B" w14:textId="77777777" w:rsidR="00F918B2" w:rsidRPr="00BB10E7" w:rsidRDefault="00F918B2" w:rsidP="00F918B2">
            <w:pPr>
              <w:spacing w:after="0" w:line="240" w:lineRule="auto"/>
              <w:rPr>
                <w:rFonts w:ascii="Times New Roman" w:eastAsia="Times New Roman" w:hAnsi="Times New Roman" w:cs="Times New Roman"/>
                <w:sz w:val="24"/>
              </w:rPr>
            </w:pPr>
            <w:r w:rsidRPr="00BB10E7">
              <w:rPr>
                <w:rFonts w:ascii="Times New Roman" w:eastAsia="Times New Roman" w:hAnsi="Times New Roman" w:cs="Times New Roman"/>
                <w:sz w:val="24"/>
              </w:rPr>
              <w:t>Treat rankings as temporary measurements rather than architectural guidance.</w:t>
            </w:r>
          </w:p>
        </w:tc>
      </w:tr>
    </w:tbl>
    <w:p w14:paraId="1188A934"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This distinction also influences engineering education. Learning a specific framework may provide immediate productivity benefits, but understanding distributed systems, networking, cloud architecture, security, and operational engineering provides knowledge that remains applicable despite changing tools. Engineers who master enduring principles generally adapt more quickly as individual technologies evolve.</w:t>
      </w:r>
    </w:p>
    <w:p w14:paraId="42CFEAB6"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organization of this book reflects the same philosophy. Although individual products and frameworks are discussed throughout subsequent chapters, emphasis is placed on architectural concepts that remain valuable regardless of future changes in the technology landscape. Products inevitably change. Engineering principles generally endure.</w:t>
      </w:r>
    </w:p>
    <w:p w14:paraId="3D6C1226" w14:textId="77777777" w:rsidR="00F918B2" w:rsidRPr="00046211" w:rsidRDefault="00BB10E7" w:rsidP="00F918B2">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41C6DE2C">
          <v:rect id="_x0000_i1032" style="width:0;height:1.5pt" o:hralign="center" o:hrstd="t" o:hr="t" fillcolor="#a0a0a0" stroked="f"/>
        </w:pict>
      </w:r>
    </w:p>
    <w:p w14:paraId="760100F6" w14:textId="77777777" w:rsidR="00F918B2" w:rsidRPr="00046211" w:rsidRDefault="00F918B2" w:rsidP="00F918B2">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t>1.12 How This Book Is Organized</w:t>
      </w:r>
    </w:p>
    <w:p w14:paraId="1F8ED04F"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preceding sections have introduced the conceptual scope of AI Platform Engineering and established the principles that guide technology evaluation throughout this book. The remaining chapters progressively examine the major architectural layers introduced earlier, moving from strategic technology selection through production operations and long-term platform evolution.</w:t>
      </w:r>
    </w:p>
    <w:p w14:paraId="44DA32C0"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book is organized into eight parts, each focusing on a distinct aspect of modern AI platforms while building upon concepts established in previous chapters.</w:t>
      </w:r>
    </w:p>
    <w:p w14:paraId="01D9D79B"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Part I, Foundations and Platform Strategy</w:t>
      </w:r>
      <w:r w:rsidRPr="00046211">
        <w:rPr>
          <w:rFonts w:ascii="Times New Roman" w:eastAsia="Times New Roman" w:hAnsi="Times New Roman" w:cs="Times New Roman"/>
          <w:sz w:val="28"/>
          <w:szCs w:val="24"/>
        </w:rPr>
        <w:t xml:space="preserve">, establishes the architectural perspective adopted throughout the book. In addition to defining the scope of AI Platform Engineering, it examines technology selection, reference architectures, </w:t>
      </w:r>
      <w:r w:rsidRPr="00046211">
        <w:rPr>
          <w:rFonts w:ascii="Times New Roman" w:eastAsia="Times New Roman" w:hAnsi="Times New Roman" w:cs="Times New Roman"/>
          <w:sz w:val="28"/>
          <w:szCs w:val="24"/>
        </w:rPr>
        <w:lastRenderedPageBreak/>
        <w:t>and the engineering trade-offs involved in designing AI platforms under different organizational constraints.</w:t>
      </w:r>
    </w:p>
    <w:p w14:paraId="1D30FF59"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Part II, Models and Inference</w:t>
      </w:r>
      <w:r w:rsidRPr="00046211">
        <w:rPr>
          <w:rFonts w:ascii="Times New Roman" w:eastAsia="Times New Roman" w:hAnsi="Times New Roman" w:cs="Times New Roman"/>
          <w:sz w:val="28"/>
          <w:szCs w:val="24"/>
        </w:rPr>
        <w:t>, explores the technologies responsible for executing modern AI workloads. Commercial AI services, open-weight models, licensing considerations, model selection, inference engines, serving architectures, and deployment strategies are examined from the perspective of production platform design rather than model development.</w:t>
      </w:r>
    </w:p>
    <w:p w14:paraId="7BC0A8FC"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Part III, AI Platform Runtime</w:t>
      </w:r>
      <w:r w:rsidRPr="00046211">
        <w:rPr>
          <w:rFonts w:ascii="Times New Roman" w:eastAsia="Times New Roman" w:hAnsi="Times New Roman" w:cs="Times New Roman"/>
          <w:sz w:val="28"/>
          <w:szCs w:val="24"/>
        </w:rPr>
        <w:t>, focuses on the control plane responsible for coordinating AI services. Topics include AI gateways, provider abstraction, traffic management, tool execution, Model Context Protocol (MCP), orchestration frameworks, durable workflows, and the architectural relationships between agent systems and traditional workflow engines.</w:t>
      </w:r>
    </w:p>
    <w:p w14:paraId="291FD079"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Part IV, Knowledge and Data Systems</w:t>
      </w:r>
      <w:r w:rsidRPr="00046211">
        <w:rPr>
          <w:rFonts w:ascii="Times New Roman" w:eastAsia="Times New Roman" w:hAnsi="Times New Roman" w:cs="Times New Roman"/>
          <w:sz w:val="28"/>
          <w:szCs w:val="24"/>
        </w:rPr>
        <w:t>, examines how production platforms manage enterprise knowledge beyond model parameters. Storage systems, ingestion pipelines, retrieval architectures, vector search, embedding workflows, and retrieval-augmented generation are presented as components of broader information systems rather than isolated AI techniques.</w:t>
      </w:r>
    </w:p>
    <w:p w14:paraId="448D6E6D"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Part V, Reliability, Security, and Governance</w:t>
      </w:r>
      <w:r w:rsidRPr="00046211">
        <w:rPr>
          <w:rFonts w:ascii="Times New Roman" w:eastAsia="Times New Roman" w:hAnsi="Times New Roman" w:cs="Times New Roman"/>
          <w:sz w:val="28"/>
          <w:szCs w:val="24"/>
        </w:rPr>
        <w:t>, addresses mechanisms for evaluating, securing, and governing AI systems. Evaluation methodologies, regression testing, policy enforcement, guardrails, governance frameworks, and security considerations are treated as integral components of production engineering rather than optional enhancements.</w:t>
      </w:r>
    </w:p>
    <w:p w14:paraId="00D2157B"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Part VI, Production Platform Operations</w:t>
      </w:r>
      <w:r w:rsidRPr="00046211">
        <w:rPr>
          <w:rFonts w:ascii="Times New Roman" w:eastAsia="Times New Roman" w:hAnsi="Times New Roman" w:cs="Times New Roman"/>
          <w:sz w:val="28"/>
          <w:szCs w:val="24"/>
        </w:rPr>
        <w:t>, examines the operational lifecycle of AI services. Deployment strategies, registries, continuous integration and delivery, observability, incident investigation, capacity planning, infrastructure utilization, and cost engineering are discussed within the broader context of platform operations.</w:t>
      </w:r>
    </w:p>
    <w:p w14:paraId="168EC6E9"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Part VII, Engineering Practice</w:t>
      </w:r>
      <w:r w:rsidRPr="00046211">
        <w:rPr>
          <w:rFonts w:ascii="Times New Roman" w:eastAsia="Times New Roman" w:hAnsi="Times New Roman" w:cs="Times New Roman"/>
          <w:sz w:val="28"/>
          <w:szCs w:val="24"/>
        </w:rPr>
        <w:t>, synthesizes concepts introduced throughout the book by examining architectural decision frameworks, comparative reference architectures, engineering trade-offs, and real-world production case studies illustrating how complete AI platforms are assembled.</w:t>
      </w:r>
    </w:p>
    <w:p w14:paraId="7E718719"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b/>
          <w:bCs/>
          <w:sz w:val="28"/>
          <w:szCs w:val="24"/>
        </w:rPr>
        <w:t>Part VIII, Platform Evolution</w:t>
      </w:r>
      <w:r w:rsidRPr="00046211">
        <w:rPr>
          <w:rFonts w:ascii="Times New Roman" w:eastAsia="Times New Roman" w:hAnsi="Times New Roman" w:cs="Times New Roman"/>
          <w:sz w:val="28"/>
          <w:szCs w:val="24"/>
        </w:rPr>
        <w:t xml:space="preserve">, concludes the book by examining how AI platforms remain sustainable as technologies evolve. Topics include technology lifecycle management, migration planning, architectural modernization, </w:t>
      </w:r>
      <w:r w:rsidRPr="00046211">
        <w:rPr>
          <w:rFonts w:ascii="Times New Roman" w:eastAsia="Times New Roman" w:hAnsi="Times New Roman" w:cs="Times New Roman"/>
          <w:sz w:val="28"/>
          <w:szCs w:val="24"/>
        </w:rPr>
        <w:lastRenderedPageBreak/>
        <w:t>dependency management, and maintaining a long-term technology radar for rapidly changing ecosystems.</w:t>
      </w:r>
    </w:p>
    <w:p w14:paraId="6458C719"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Although each chapter can be read independently for reference purposes, the material is organized progressively. Concepts introduced in earlier chapters provide the architectural context necessary for understanding the implementation and operational considerations explored later in the book.</w:t>
      </w:r>
    </w:p>
    <w:p w14:paraId="3CDAF9CD" w14:textId="77777777" w:rsidR="00F918B2" w:rsidRPr="00046211" w:rsidRDefault="00BB10E7" w:rsidP="00F918B2">
      <w:pPr>
        <w:spacing w:after="0" w:line="240" w:lineRule="auto"/>
        <w:rPr>
          <w:rFonts w:ascii="Times New Roman" w:eastAsia="Times New Roman" w:hAnsi="Times New Roman" w:cs="Times New Roman"/>
          <w:sz w:val="28"/>
          <w:szCs w:val="24"/>
        </w:rPr>
      </w:pPr>
      <w:r>
        <w:rPr>
          <w:rFonts w:ascii="Times New Roman" w:eastAsia="Times New Roman" w:hAnsi="Times New Roman" w:cs="Times New Roman"/>
          <w:sz w:val="28"/>
          <w:szCs w:val="24"/>
        </w:rPr>
        <w:pict w14:anchorId="0546229E">
          <v:rect id="_x0000_i1033" style="width:0;height:1.5pt" o:hralign="center" o:hrstd="t" o:hr="t" fillcolor="#a0a0a0" stroked="f"/>
        </w:pict>
      </w:r>
    </w:p>
    <w:p w14:paraId="37AE00A5" w14:textId="77777777" w:rsidR="00F918B2" w:rsidRPr="00046211" w:rsidRDefault="00F918B2" w:rsidP="00F918B2">
      <w:pPr>
        <w:spacing w:before="100" w:beforeAutospacing="1" w:after="100" w:afterAutospacing="1" w:line="240" w:lineRule="auto"/>
        <w:outlineLvl w:val="0"/>
        <w:rPr>
          <w:rFonts w:ascii="Times New Roman" w:eastAsia="Times New Roman" w:hAnsi="Times New Roman" w:cs="Times New Roman"/>
          <w:b/>
          <w:bCs/>
          <w:kern w:val="36"/>
          <w:sz w:val="52"/>
          <w:szCs w:val="48"/>
        </w:rPr>
      </w:pPr>
      <w:r w:rsidRPr="00046211">
        <w:rPr>
          <w:rFonts w:ascii="Times New Roman" w:eastAsia="Times New Roman" w:hAnsi="Times New Roman" w:cs="Times New Roman"/>
          <w:b/>
          <w:bCs/>
          <w:kern w:val="36"/>
          <w:sz w:val="52"/>
          <w:szCs w:val="48"/>
        </w:rPr>
        <w:t>1.13 What This Chapter Intentionally Does Not Explain</w:t>
      </w:r>
    </w:p>
    <w:p w14:paraId="295B853F"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This introductory chapter establishes the conceptual landscape of AI Platform Engineering rather than providing detailed implementation guidance. Many topics introduced briefly in preceding sections require considerably deeper discussion than would be appropriate in a foundational chapter. Attempting to explain every component at this stage would obscure the broader architectural perspective and result in unnecessary repetition throughout the remainder of the book.</w:t>
      </w:r>
    </w:p>
    <w:p w14:paraId="37138A6B"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Accordingly, the following chapters examine each architectural layer independently.</w:t>
      </w:r>
    </w:p>
    <w:p w14:paraId="03B1FE1F"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Detailed discussion of </w:t>
      </w:r>
      <w:r w:rsidRPr="00046211">
        <w:rPr>
          <w:rFonts w:ascii="Times New Roman" w:eastAsia="Times New Roman" w:hAnsi="Times New Roman" w:cs="Times New Roman"/>
          <w:b/>
          <w:bCs/>
          <w:sz w:val="28"/>
          <w:szCs w:val="24"/>
        </w:rPr>
        <w:t>commercial AI services, managed model catalogs, provider APIs, and model selection</w:t>
      </w:r>
      <w:r w:rsidRPr="00046211">
        <w:rPr>
          <w:rFonts w:ascii="Times New Roman" w:eastAsia="Times New Roman" w:hAnsi="Times New Roman" w:cs="Times New Roman"/>
          <w:sz w:val="28"/>
          <w:szCs w:val="24"/>
        </w:rPr>
        <w:t xml:space="preserve"> begins in </w:t>
      </w:r>
      <w:r w:rsidRPr="00046211">
        <w:rPr>
          <w:rFonts w:ascii="Times New Roman" w:eastAsia="Times New Roman" w:hAnsi="Times New Roman" w:cs="Times New Roman"/>
          <w:b/>
          <w:bCs/>
          <w:sz w:val="28"/>
          <w:szCs w:val="24"/>
        </w:rPr>
        <w:t>Chapter 3</w:t>
      </w:r>
      <w:r w:rsidRPr="00046211">
        <w:rPr>
          <w:rFonts w:ascii="Times New Roman" w:eastAsia="Times New Roman" w:hAnsi="Times New Roman" w:cs="Times New Roman"/>
          <w:sz w:val="28"/>
          <w:szCs w:val="24"/>
        </w:rPr>
        <w:t xml:space="preserve">, while </w:t>
      </w:r>
      <w:r w:rsidRPr="00046211">
        <w:rPr>
          <w:rFonts w:ascii="Times New Roman" w:eastAsia="Times New Roman" w:hAnsi="Times New Roman" w:cs="Times New Roman"/>
          <w:b/>
          <w:bCs/>
          <w:sz w:val="28"/>
          <w:szCs w:val="24"/>
        </w:rPr>
        <w:t>Chapter 4</w:t>
      </w:r>
      <w:r w:rsidRPr="00046211">
        <w:rPr>
          <w:rFonts w:ascii="Times New Roman" w:eastAsia="Times New Roman" w:hAnsi="Times New Roman" w:cs="Times New Roman"/>
          <w:sz w:val="28"/>
          <w:szCs w:val="24"/>
        </w:rPr>
        <w:t xml:space="preserve"> examines open-weight models, licensing considerations, deployment implications, and the evolving open-model ecosystem. </w:t>
      </w:r>
      <w:r w:rsidRPr="00046211">
        <w:rPr>
          <w:rFonts w:ascii="Times New Roman" w:eastAsia="Times New Roman" w:hAnsi="Times New Roman" w:cs="Times New Roman"/>
          <w:b/>
          <w:bCs/>
          <w:sz w:val="28"/>
          <w:szCs w:val="24"/>
        </w:rPr>
        <w:t>Chapter 5</w:t>
      </w:r>
      <w:r w:rsidRPr="00046211">
        <w:rPr>
          <w:rFonts w:ascii="Times New Roman" w:eastAsia="Times New Roman" w:hAnsi="Times New Roman" w:cs="Times New Roman"/>
          <w:sz w:val="28"/>
          <w:szCs w:val="24"/>
        </w:rPr>
        <w:t xml:space="preserve"> explores inference engines, serving architectures, batching strategies, scheduling algorithms, and hardware utilization, topics that intentionally remain outside the scope of this introductory overview.</w:t>
      </w:r>
    </w:p>
    <w:p w14:paraId="5E6E972B"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The runtime components introduced conceptually in this chapter are examined in greater depth throughout </w:t>
      </w:r>
      <w:r w:rsidRPr="00046211">
        <w:rPr>
          <w:rFonts w:ascii="Times New Roman" w:eastAsia="Times New Roman" w:hAnsi="Times New Roman" w:cs="Times New Roman"/>
          <w:b/>
          <w:bCs/>
          <w:sz w:val="28"/>
          <w:szCs w:val="24"/>
        </w:rPr>
        <w:t>Part III</w:t>
      </w:r>
      <w:r w:rsidRPr="00046211">
        <w:rPr>
          <w:rFonts w:ascii="Times New Roman" w:eastAsia="Times New Roman" w:hAnsi="Times New Roman" w:cs="Times New Roman"/>
          <w:sz w:val="28"/>
          <w:szCs w:val="24"/>
        </w:rPr>
        <w:t xml:space="preserve">. </w:t>
      </w:r>
      <w:r w:rsidRPr="00046211">
        <w:rPr>
          <w:rFonts w:ascii="Times New Roman" w:eastAsia="Times New Roman" w:hAnsi="Times New Roman" w:cs="Times New Roman"/>
          <w:b/>
          <w:bCs/>
          <w:sz w:val="28"/>
          <w:szCs w:val="24"/>
        </w:rPr>
        <w:t>Chapter 6</w:t>
      </w:r>
      <w:r w:rsidRPr="00046211">
        <w:rPr>
          <w:rFonts w:ascii="Times New Roman" w:eastAsia="Times New Roman" w:hAnsi="Times New Roman" w:cs="Times New Roman"/>
          <w:sz w:val="28"/>
          <w:szCs w:val="24"/>
        </w:rPr>
        <w:t xml:space="preserve"> focuses on AI gateways, traffic management, authentication, provider abstraction, and routing policies. </w:t>
      </w:r>
      <w:r w:rsidRPr="00046211">
        <w:rPr>
          <w:rFonts w:ascii="Times New Roman" w:eastAsia="Times New Roman" w:hAnsi="Times New Roman" w:cs="Times New Roman"/>
          <w:b/>
          <w:bCs/>
          <w:sz w:val="28"/>
          <w:szCs w:val="24"/>
        </w:rPr>
        <w:t>Chapter 7</w:t>
      </w:r>
      <w:r w:rsidRPr="00046211">
        <w:rPr>
          <w:rFonts w:ascii="Times New Roman" w:eastAsia="Times New Roman" w:hAnsi="Times New Roman" w:cs="Times New Roman"/>
          <w:sz w:val="28"/>
          <w:szCs w:val="24"/>
        </w:rPr>
        <w:t xml:space="preserve"> explains tool calling and the Model Context Protocol, while </w:t>
      </w:r>
      <w:r w:rsidRPr="00046211">
        <w:rPr>
          <w:rFonts w:ascii="Times New Roman" w:eastAsia="Times New Roman" w:hAnsi="Times New Roman" w:cs="Times New Roman"/>
          <w:b/>
          <w:bCs/>
          <w:sz w:val="28"/>
          <w:szCs w:val="24"/>
        </w:rPr>
        <w:t>Chapters 8 and 9</w:t>
      </w:r>
      <w:r w:rsidRPr="00046211">
        <w:rPr>
          <w:rFonts w:ascii="Times New Roman" w:eastAsia="Times New Roman" w:hAnsi="Times New Roman" w:cs="Times New Roman"/>
          <w:sz w:val="28"/>
          <w:szCs w:val="24"/>
        </w:rPr>
        <w:t xml:space="preserve"> examine orchestration frameworks, agent systems, durable workflows, and execution models for complex AI applications.</w:t>
      </w:r>
    </w:p>
    <w:p w14:paraId="53AA3765"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lastRenderedPageBreak/>
        <w:t xml:space="preserve">The information layer supporting enterprise AI applications forms the subject of </w:t>
      </w:r>
      <w:r w:rsidRPr="00046211">
        <w:rPr>
          <w:rFonts w:ascii="Times New Roman" w:eastAsia="Times New Roman" w:hAnsi="Times New Roman" w:cs="Times New Roman"/>
          <w:b/>
          <w:bCs/>
          <w:sz w:val="28"/>
          <w:szCs w:val="24"/>
        </w:rPr>
        <w:t>Part IV</w:t>
      </w:r>
      <w:r w:rsidRPr="00046211">
        <w:rPr>
          <w:rFonts w:ascii="Times New Roman" w:eastAsia="Times New Roman" w:hAnsi="Times New Roman" w:cs="Times New Roman"/>
          <w:sz w:val="28"/>
          <w:szCs w:val="24"/>
        </w:rPr>
        <w:t>. Storage systems, ingestion pipelines, retrieval architectures, vector databases, embedding workflows, and retrieval-augmented generation require dedicated treatment because they involve established data engineering principles extending beyond language models themselves.</w:t>
      </w:r>
    </w:p>
    <w:p w14:paraId="441BF150"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 xml:space="preserve">Similarly, this chapter deliberately avoids detailed discussion of evaluation methodologies, security controls, governance mechanisms, deployment pipelines, observability, and cost optimization. These topics represent substantial engineering disciplines in their own right. They are addressed comprehensively in </w:t>
      </w:r>
      <w:r w:rsidRPr="00046211">
        <w:rPr>
          <w:rFonts w:ascii="Times New Roman" w:eastAsia="Times New Roman" w:hAnsi="Times New Roman" w:cs="Times New Roman"/>
          <w:b/>
          <w:bCs/>
          <w:sz w:val="28"/>
          <w:szCs w:val="24"/>
        </w:rPr>
        <w:t>Chapters 13 through 17</w:t>
      </w:r>
      <w:r w:rsidRPr="00046211">
        <w:rPr>
          <w:rFonts w:ascii="Times New Roman" w:eastAsia="Times New Roman" w:hAnsi="Times New Roman" w:cs="Times New Roman"/>
          <w:sz w:val="28"/>
          <w:szCs w:val="24"/>
        </w:rPr>
        <w:t>, where they can be discussed within the operational context necessary for production systems.</w:t>
      </w:r>
    </w:p>
    <w:p w14:paraId="7F0558CF" w14:textId="77777777" w:rsidR="00F918B2" w:rsidRPr="00046211" w:rsidRDefault="00F918B2" w:rsidP="00F918B2">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Finally, architectural decision frameworks, comparative reference architectures, engineering case studies, and long-term platform evolution are intentionally reserved for the concluding chapters of the book. These subjects integrate concepts from every preceding chapter and therefore benefit from readers having first developed a comprehensive understanding of the individual platform components.</w:t>
      </w:r>
    </w:p>
    <w:p w14:paraId="57755093" w14:textId="77D9E5B7" w:rsidR="008E12D7" w:rsidRPr="00736868" w:rsidRDefault="00F918B2" w:rsidP="00736868">
      <w:pPr>
        <w:spacing w:before="100" w:beforeAutospacing="1" w:after="100" w:afterAutospacing="1" w:line="240" w:lineRule="auto"/>
        <w:rPr>
          <w:rFonts w:ascii="Times New Roman" w:eastAsia="Times New Roman" w:hAnsi="Times New Roman" w:cs="Times New Roman"/>
          <w:sz w:val="28"/>
          <w:szCs w:val="24"/>
        </w:rPr>
      </w:pPr>
      <w:r w:rsidRPr="00046211">
        <w:rPr>
          <w:rFonts w:ascii="Times New Roman" w:eastAsia="Times New Roman" w:hAnsi="Times New Roman" w:cs="Times New Roman"/>
          <w:sz w:val="28"/>
          <w:szCs w:val="24"/>
        </w:rPr>
        <w:t>The objective of this chapter has been to establish a common vocabulary, define the scope of AI Platform Engineering, and present the conceptual structure of a modern AI platform. The chapters that follow progressively transform this conceptual framework into detailed engineering guidance suitable for designing, deploying, and operating production AI systems.</w:t>
      </w:r>
    </w:p>
    <w:sectPr w:rsidR="008E12D7" w:rsidRPr="007368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04998"/>
    <w:multiLevelType w:val="multilevel"/>
    <w:tmpl w:val="1B20F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81CC4"/>
    <w:multiLevelType w:val="multilevel"/>
    <w:tmpl w:val="7C3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D613D7"/>
    <w:multiLevelType w:val="multilevel"/>
    <w:tmpl w:val="813A0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676845"/>
    <w:multiLevelType w:val="multilevel"/>
    <w:tmpl w:val="E3663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1152FF5"/>
    <w:multiLevelType w:val="multilevel"/>
    <w:tmpl w:val="1B865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C2C4D"/>
    <w:multiLevelType w:val="multilevel"/>
    <w:tmpl w:val="9C72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460A73"/>
    <w:multiLevelType w:val="multilevel"/>
    <w:tmpl w:val="3742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164DA7"/>
    <w:multiLevelType w:val="multilevel"/>
    <w:tmpl w:val="693A6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5D0BFB"/>
    <w:multiLevelType w:val="hybridMultilevel"/>
    <w:tmpl w:val="9FFC07AA"/>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69778B"/>
    <w:multiLevelType w:val="multilevel"/>
    <w:tmpl w:val="DD28F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3117E7"/>
    <w:multiLevelType w:val="multilevel"/>
    <w:tmpl w:val="610E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0381F28"/>
    <w:multiLevelType w:val="multilevel"/>
    <w:tmpl w:val="FEFA5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728432D"/>
    <w:multiLevelType w:val="multilevel"/>
    <w:tmpl w:val="BCB29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7544EAB"/>
    <w:multiLevelType w:val="multilevel"/>
    <w:tmpl w:val="9C62C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C9C466F"/>
    <w:multiLevelType w:val="hybridMultilevel"/>
    <w:tmpl w:val="98E4021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1"/>
  </w:num>
  <w:num w:numId="3">
    <w:abstractNumId w:val="4"/>
  </w:num>
  <w:num w:numId="4">
    <w:abstractNumId w:val="5"/>
  </w:num>
  <w:num w:numId="5">
    <w:abstractNumId w:val="7"/>
  </w:num>
  <w:num w:numId="6">
    <w:abstractNumId w:val="2"/>
  </w:num>
  <w:num w:numId="7">
    <w:abstractNumId w:val="6"/>
  </w:num>
  <w:num w:numId="8">
    <w:abstractNumId w:val="12"/>
  </w:num>
  <w:num w:numId="9">
    <w:abstractNumId w:val="11"/>
  </w:num>
  <w:num w:numId="10">
    <w:abstractNumId w:val="3"/>
  </w:num>
  <w:num w:numId="11">
    <w:abstractNumId w:val="0"/>
  </w:num>
  <w:num w:numId="12">
    <w:abstractNumId w:val="13"/>
  </w:num>
  <w:num w:numId="13">
    <w:abstractNumId w:val="10"/>
  </w:num>
  <w:num w:numId="14">
    <w:abstractNumId w:val="14"/>
  </w:num>
  <w:num w:numId="1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B45"/>
    <w:rsid w:val="00046211"/>
    <w:rsid w:val="001857BC"/>
    <w:rsid w:val="00312B5F"/>
    <w:rsid w:val="003A47D2"/>
    <w:rsid w:val="0064290B"/>
    <w:rsid w:val="00736868"/>
    <w:rsid w:val="008E12D7"/>
    <w:rsid w:val="009C4782"/>
    <w:rsid w:val="00B312E4"/>
    <w:rsid w:val="00BB10E7"/>
    <w:rsid w:val="00BC763C"/>
    <w:rsid w:val="00D80B45"/>
    <w:rsid w:val="00E3782E"/>
    <w:rsid w:val="00F918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8ED88C"/>
  <w15:chartTrackingRefBased/>
  <w15:docId w15:val="{E348E3B9-7E9E-4481-89D8-7A6DD8165A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link w:val="10"/>
    <w:uiPriority w:val="9"/>
    <w:qFormat/>
    <w:rsid w:val="00D80B4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next w:val="a"/>
    <w:link w:val="20"/>
    <w:uiPriority w:val="9"/>
    <w:semiHidden/>
    <w:unhideWhenUsed/>
    <w:qFormat/>
    <w:rsid w:val="008E12D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64290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D80B45"/>
    <w:rPr>
      <w:rFonts w:ascii="Times New Roman" w:eastAsia="Times New Roman" w:hAnsi="Times New Roman" w:cs="Times New Roman"/>
      <w:b/>
      <w:bCs/>
      <w:kern w:val="36"/>
      <w:sz w:val="48"/>
      <w:szCs w:val="48"/>
    </w:rPr>
  </w:style>
  <w:style w:type="paragraph" w:styleId="a3">
    <w:name w:val="Normal (Web)"/>
    <w:basedOn w:val="a"/>
    <w:uiPriority w:val="99"/>
    <w:semiHidden/>
    <w:unhideWhenUsed/>
    <w:rsid w:val="00D80B45"/>
    <w:pPr>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D80B45"/>
    <w:rPr>
      <w:b/>
      <w:bCs/>
    </w:rPr>
  </w:style>
  <w:style w:type="character" w:customStyle="1" w:styleId="20">
    <w:name w:val="Заголовок 2 Знак"/>
    <w:basedOn w:val="a0"/>
    <w:link w:val="2"/>
    <w:uiPriority w:val="9"/>
    <w:semiHidden/>
    <w:rsid w:val="008E12D7"/>
    <w:rPr>
      <w:rFonts w:asciiTheme="majorHAnsi" w:eastAsiaTheme="majorEastAsia" w:hAnsiTheme="majorHAnsi" w:cstheme="majorBidi"/>
      <w:color w:val="2F5496" w:themeColor="accent1" w:themeShade="BF"/>
      <w:sz w:val="26"/>
      <w:szCs w:val="26"/>
    </w:rPr>
  </w:style>
  <w:style w:type="character" w:styleId="a5">
    <w:name w:val="Emphasis"/>
    <w:basedOn w:val="a0"/>
    <w:uiPriority w:val="20"/>
    <w:qFormat/>
    <w:rsid w:val="008E12D7"/>
    <w:rPr>
      <w:i/>
      <w:iCs/>
    </w:rPr>
  </w:style>
  <w:style w:type="paragraph" w:styleId="a6">
    <w:name w:val="No Spacing"/>
    <w:uiPriority w:val="1"/>
    <w:qFormat/>
    <w:rsid w:val="003A47D2"/>
    <w:pPr>
      <w:spacing w:after="0" w:line="240" w:lineRule="auto"/>
    </w:pPr>
  </w:style>
  <w:style w:type="character" w:customStyle="1" w:styleId="whitespace-normal">
    <w:name w:val="whitespace-normal"/>
    <w:basedOn w:val="a0"/>
    <w:rsid w:val="001857BC"/>
  </w:style>
  <w:style w:type="character" w:styleId="a7">
    <w:name w:val="Hyperlink"/>
    <w:basedOn w:val="a0"/>
    <w:uiPriority w:val="99"/>
    <w:semiHidden/>
    <w:unhideWhenUsed/>
    <w:rsid w:val="00E3782E"/>
    <w:rPr>
      <w:color w:val="0000FF"/>
      <w:u w:val="single"/>
    </w:rPr>
  </w:style>
  <w:style w:type="character" w:customStyle="1" w:styleId="30">
    <w:name w:val="Заголовок 3 Знак"/>
    <w:basedOn w:val="a0"/>
    <w:link w:val="3"/>
    <w:uiPriority w:val="9"/>
    <w:semiHidden/>
    <w:rsid w:val="0064290B"/>
    <w:rPr>
      <w:rFonts w:asciiTheme="majorHAnsi" w:eastAsiaTheme="majorEastAsia" w:hAnsiTheme="majorHAnsi" w:cstheme="majorBidi"/>
      <w:color w:val="1F3763" w:themeColor="accent1" w:themeShade="7F"/>
      <w:sz w:val="24"/>
      <w:szCs w:val="24"/>
    </w:rPr>
  </w:style>
  <w:style w:type="paragraph" w:styleId="a8">
    <w:name w:val="List Paragraph"/>
    <w:basedOn w:val="a"/>
    <w:uiPriority w:val="34"/>
    <w:qFormat/>
    <w:rsid w:val="00BB10E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158628">
      <w:bodyDiv w:val="1"/>
      <w:marLeft w:val="0"/>
      <w:marRight w:val="0"/>
      <w:marTop w:val="0"/>
      <w:marBottom w:val="0"/>
      <w:divBdr>
        <w:top w:val="none" w:sz="0" w:space="0" w:color="auto"/>
        <w:left w:val="none" w:sz="0" w:space="0" w:color="auto"/>
        <w:bottom w:val="none" w:sz="0" w:space="0" w:color="auto"/>
        <w:right w:val="none" w:sz="0" w:space="0" w:color="auto"/>
      </w:divBdr>
      <w:divsChild>
        <w:div w:id="286276084">
          <w:marLeft w:val="0"/>
          <w:marRight w:val="0"/>
          <w:marTop w:val="0"/>
          <w:marBottom w:val="0"/>
          <w:divBdr>
            <w:top w:val="none" w:sz="0" w:space="0" w:color="auto"/>
            <w:left w:val="none" w:sz="0" w:space="0" w:color="auto"/>
            <w:bottom w:val="none" w:sz="0" w:space="0" w:color="auto"/>
            <w:right w:val="none" w:sz="0" w:space="0" w:color="auto"/>
          </w:divBdr>
          <w:divsChild>
            <w:div w:id="1602490903">
              <w:marLeft w:val="0"/>
              <w:marRight w:val="0"/>
              <w:marTop w:val="0"/>
              <w:marBottom w:val="0"/>
              <w:divBdr>
                <w:top w:val="none" w:sz="0" w:space="0" w:color="auto"/>
                <w:left w:val="none" w:sz="0" w:space="0" w:color="auto"/>
                <w:bottom w:val="none" w:sz="0" w:space="0" w:color="auto"/>
                <w:right w:val="none" w:sz="0" w:space="0" w:color="auto"/>
              </w:divBdr>
            </w:div>
          </w:divsChild>
        </w:div>
        <w:div w:id="1293364429">
          <w:marLeft w:val="0"/>
          <w:marRight w:val="0"/>
          <w:marTop w:val="0"/>
          <w:marBottom w:val="0"/>
          <w:divBdr>
            <w:top w:val="none" w:sz="0" w:space="0" w:color="auto"/>
            <w:left w:val="none" w:sz="0" w:space="0" w:color="auto"/>
            <w:bottom w:val="none" w:sz="0" w:space="0" w:color="auto"/>
            <w:right w:val="none" w:sz="0" w:space="0" w:color="auto"/>
          </w:divBdr>
          <w:divsChild>
            <w:div w:id="1640453415">
              <w:marLeft w:val="0"/>
              <w:marRight w:val="0"/>
              <w:marTop w:val="0"/>
              <w:marBottom w:val="0"/>
              <w:divBdr>
                <w:top w:val="none" w:sz="0" w:space="0" w:color="auto"/>
                <w:left w:val="none" w:sz="0" w:space="0" w:color="auto"/>
                <w:bottom w:val="none" w:sz="0" w:space="0" w:color="auto"/>
                <w:right w:val="none" w:sz="0" w:space="0" w:color="auto"/>
              </w:divBdr>
            </w:div>
          </w:divsChild>
        </w:div>
        <w:div w:id="2015064789">
          <w:marLeft w:val="0"/>
          <w:marRight w:val="0"/>
          <w:marTop w:val="0"/>
          <w:marBottom w:val="0"/>
          <w:divBdr>
            <w:top w:val="none" w:sz="0" w:space="0" w:color="auto"/>
            <w:left w:val="none" w:sz="0" w:space="0" w:color="auto"/>
            <w:bottom w:val="none" w:sz="0" w:space="0" w:color="auto"/>
            <w:right w:val="none" w:sz="0" w:space="0" w:color="auto"/>
          </w:divBdr>
          <w:divsChild>
            <w:div w:id="145706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7622">
      <w:bodyDiv w:val="1"/>
      <w:marLeft w:val="0"/>
      <w:marRight w:val="0"/>
      <w:marTop w:val="0"/>
      <w:marBottom w:val="0"/>
      <w:divBdr>
        <w:top w:val="none" w:sz="0" w:space="0" w:color="auto"/>
        <w:left w:val="none" w:sz="0" w:space="0" w:color="auto"/>
        <w:bottom w:val="none" w:sz="0" w:space="0" w:color="auto"/>
        <w:right w:val="none" w:sz="0" w:space="0" w:color="auto"/>
      </w:divBdr>
      <w:divsChild>
        <w:div w:id="1638996109">
          <w:marLeft w:val="0"/>
          <w:marRight w:val="0"/>
          <w:marTop w:val="0"/>
          <w:marBottom w:val="0"/>
          <w:divBdr>
            <w:top w:val="none" w:sz="0" w:space="0" w:color="auto"/>
            <w:left w:val="none" w:sz="0" w:space="0" w:color="auto"/>
            <w:bottom w:val="none" w:sz="0" w:space="0" w:color="auto"/>
            <w:right w:val="none" w:sz="0" w:space="0" w:color="auto"/>
          </w:divBdr>
          <w:divsChild>
            <w:div w:id="1921527530">
              <w:marLeft w:val="0"/>
              <w:marRight w:val="0"/>
              <w:marTop w:val="0"/>
              <w:marBottom w:val="0"/>
              <w:divBdr>
                <w:top w:val="none" w:sz="0" w:space="0" w:color="auto"/>
                <w:left w:val="none" w:sz="0" w:space="0" w:color="auto"/>
                <w:bottom w:val="none" w:sz="0" w:space="0" w:color="auto"/>
                <w:right w:val="none" w:sz="0" w:space="0" w:color="auto"/>
              </w:divBdr>
            </w:div>
          </w:divsChild>
        </w:div>
        <w:div w:id="325549000">
          <w:marLeft w:val="0"/>
          <w:marRight w:val="0"/>
          <w:marTop w:val="0"/>
          <w:marBottom w:val="0"/>
          <w:divBdr>
            <w:top w:val="none" w:sz="0" w:space="0" w:color="auto"/>
            <w:left w:val="none" w:sz="0" w:space="0" w:color="auto"/>
            <w:bottom w:val="none" w:sz="0" w:space="0" w:color="auto"/>
            <w:right w:val="none" w:sz="0" w:space="0" w:color="auto"/>
          </w:divBdr>
          <w:divsChild>
            <w:div w:id="1649628517">
              <w:marLeft w:val="0"/>
              <w:marRight w:val="0"/>
              <w:marTop w:val="0"/>
              <w:marBottom w:val="0"/>
              <w:divBdr>
                <w:top w:val="none" w:sz="0" w:space="0" w:color="auto"/>
                <w:left w:val="none" w:sz="0" w:space="0" w:color="auto"/>
                <w:bottom w:val="none" w:sz="0" w:space="0" w:color="auto"/>
                <w:right w:val="none" w:sz="0" w:space="0" w:color="auto"/>
              </w:divBdr>
            </w:div>
          </w:divsChild>
        </w:div>
        <w:div w:id="1722901031">
          <w:marLeft w:val="0"/>
          <w:marRight w:val="0"/>
          <w:marTop w:val="0"/>
          <w:marBottom w:val="0"/>
          <w:divBdr>
            <w:top w:val="none" w:sz="0" w:space="0" w:color="auto"/>
            <w:left w:val="none" w:sz="0" w:space="0" w:color="auto"/>
            <w:bottom w:val="none" w:sz="0" w:space="0" w:color="auto"/>
            <w:right w:val="none" w:sz="0" w:space="0" w:color="auto"/>
          </w:divBdr>
          <w:divsChild>
            <w:div w:id="899444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5265">
      <w:bodyDiv w:val="1"/>
      <w:marLeft w:val="0"/>
      <w:marRight w:val="0"/>
      <w:marTop w:val="0"/>
      <w:marBottom w:val="0"/>
      <w:divBdr>
        <w:top w:val="none" w:sz="0" w:space="0" w:color="auto"/>
        <w:left w:val="none" w:sz="0" w:space="0" w:color="auto"/>
        <w:bottom w:val="none" w:sz="0" w:space="0" w:color="auto"/>
        <w:right w:val="none" w:sz="0" w:space="0" w:color="auto"/>
      </w:divBdr>
      <w:divsChild>
        <w:div w:id="529874952">
          <w:marLeft w:val="0"/>
          <w:marRight w:val="0"/>
          <w:marTop w:val="0"/>
          <w:marBottom w:val="0"/>
          <w:divBdr>
            <w:top w:val="none" w:sz="0" w:space="0" w:color="auto"/>
            <w:left w:val="none" w:sz="0" w:space="0" w:color="auto"/>
            <w:bottom w:val="none" w:sz="0" w:space="0" w:color="auto"/>
            <w:right w:val="none" w:sz="0" w:space="0" w:color="auto"/>
          </w:divBdr>
          <w:divsChild>
            <w:div w:id="418527330">
              <w:marLeft w:val="0"/>
              <w:marRight w:val="0"/>
              <w:marTop w:val="0"/>
              <w:marBottom w:val="0"/>
              <w:divBdr>
                <w:top w:val="none" w:sz="0" w:space="0" w:color="auto"/>
                <w:left w:val="none" w:sz="0" w:space="0" w:color="auto"/>
                <w:bottom w:val="none" w:sz="0" w:space="0" w:color="auto"/>
                <w:right w:val="none" w:sz="0" w:space="0" w:color="auto"/>
              </w:divBdr>
            </w:div>
          </w:divsChild>
        </w:div>
        <w:div w:id="1329164955">
          <w:marLeft w:val="0"/>
          <w:marRight w:val="0"/>
          <w:marTop w:val="0"/>
          <w:marBottom w:val="0"/>
          <w:divBdr>
            <w:top w:val="none" w:sz="0" w:space="0" w:color="auto"/>
            <w:left w:val="none" w:sz="0" w:space="0" w:color="auto"/>
            <w:bottom w:val="none" w:sz="0" w:space="0" w:color="auto"/>
            <w:right w:val="none" w:sz="0" w:space="0" w:color="auto"/>
          </w:divBdr>
          <w:divsChild>
            <w:div w:id="1530952648">
              <w:marLeft w:val="0"/>
              <w:marRight w:val="0"/>
              <w:marTop w:val="0"/>
              <w:marBottom w:val="0"/>
              <w:divBdr>
                <w:top w:val="none" w:sz="0" w:space="0" w:color="auto"/>
                <w:left w:val="none" w:sz="0" w:space="0" w:color="auto"/>
                <w:bottom w:val="none" w:sz="0" w:space="0" w:color="auto"/>
                <w:right w:val="none" w:sz="0" w:space="0" w:color="auto"/>
              </w:divBdr>
            </w:div>
          </w:divsChild>
        </w:div>
        <w:div w:id="1332872596">
          <w:marLeft w:val="0"/>
          <w:marRight w:val="0"/>
          <w:marTop w:val="0"/>
          <w:marBottom w:val="0"/>
          <w:divBdr>
            <w:top w:val="none" w:sz="0" w:space="0" w:color="auto"/>
            <w:left w:val="none" w:sz="0" w:space="0" w:color="auto"/>
            <w:bottom w:val="none" w:sz="0" w:space="0" w:color="auto"/>
            <w:right w:val="none" w:sz="0" w:space="0" w:color="auto"/>
          </w:divBdr>
          <w:divsChild>
            <w:div w:id="1802917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845516">
      <w:bodyDiv w:val="1"/>
      <w:marLeft w:val="0"/>
      <w:marRight w:val="0"/>
      <w:marTop w:val="0"/>
      <w:marBottom w:val="0"/>
      <w:divBdr>
        <w:top w:val="none" w:sz="0" w:space="0" w:color="auto"/>
        <w:left w:val="none" w:sz="0" w:space="0" w:color="auto"/>
        <w:bottom w:val="none" w:sz="0" w:space="0" w:color="auto"/>
        <w:right w:val="none" w:sz="0" w:space="0" w:color="auto"/>
      </w:divBdr>
      <w:divsChild>
        <w:div w:id="1873837207">
          <w:marLeft w:val="0"/>
          <w:marRight w:val="0"/>
          <w:marTop w:val="0"/>
          <w:marBottom w:val="0"/>
          <w:divBdr>
            <w:top w:val="none" w:sz="0" w:space="0" w:color="auto"/>
            <w:left w:val="none" w:sz="0" w:space="0" w:color="auto"/>
            <w:bottom w:val="none" w:sz="0" w:space="0" w:color="auto"/>
            <w:right w:val="none" w:sz="0" w:space="0" w:color="auto"/>
          </w:divBdr>
          <w:divsChild>
            <w:div w:id="1216620456">
              <w:marLeft w:val="0"/>
              <w:marRight w:val="0"/>
              <w:marTop w:val="0"/>
              <w:marBottom w:val="0"/>
              <w:divBdr>
                <w:top w:val="none" w:sz="0" w:space="0" w:color="auto"/>
                <w:left w:val="none" w:sz="0" w:space="0" w:color="auto"/>
                <w:bottom w:val="none" w:sz="0" w:space="0" w:color="auto"/>
                <w:right w:val="none" w:sz="0" w:space="0" w:color="auto"/>
              </w:divBdr>
            </w:div>
          </w:divsChild>
        </w:div>
        <w:div w:id="1902397872">
          <w:marLeft w:val="0"/>
          <w:marRight w:val="0"/>
          <w:marTop w:val="0"/>
          <w:marBottom w:val="0"/>
          <w:divBdr>
            <w:top w:val="none" w:sz="0" w:space="0" w:color="auto"/>
            <w:left w:val="none" w:sz="0" w:space="0" w:color="auto"/>
            <w:bottom w:val="none" w:sz="0" w:space="0" w:color="auto"/>
            <w:right w:val="none" w:sz="0" w:space="0" w:color="auto"/>
          </w:divBdr>
          <w:divsChild>
            <w:div w:id="1745225271">
              <w:marLeft w:val="0"/>
              <w:marRight w:val="0"/>
              <w:marTop w:val="0"/>
              <w:marBottom w:val="0"/>
              <w:divBdr>
                <w:top w:val="none" w:sz="0" w:space="0" w:color="auto"/>
                <w:left w:val="none" w:sz="0" w:space="0" w:color="auto"/>
                <w:bottom w:val="none" w:sz="0" w:space="0" w:color="auto"/>
                <w:right w:val="none" w:sz="0" w:space="0" w:color="auto"/>
              </w:divBdr>
            </w:div>
          </w:divsChild>
        </w:div>
        <w:div w:id="1642229121">
          <w:marLeft w:val="0"/>
          <w:marRight w:val="0"/>
          <w:marTop w:val="0"/>
          <w:marBottom w:val="0"/>
          <w:divBdr>
            <w:top w:val="none" w:sz="0" w:space="0" w:color="auto"/>
            <w:left w:val="none" w:sz="0" w:space="0" w:color="auto"/>
            <w:bottom w:val="none" w:sz="0" w:space="0" w:color="auto"/>
            <w:right w:val="none" w:sz="0" w:space="0" w:color="auto"/>
          </w:divBdr>
          <w:divsChild>
            <w:div w:id="1318222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600276">
      <w:bodyDiv w:val="1"/>
      <w:marLeft w:val="0"/>
      <w:marRight w:val="0"/>
      <w:marTop w:val="0"/>
      <w:marBottom w:val="0"/>
      <w:divBdr>
        <w:top w:val="none" w:sz="0" w:space="0" w:color="auto"/>
        <w:left w:val="none" w:sz="0" w:space="0" w:color="auto"/>
        <w:bottom w:val="none" w:sz="0" w:space="0" w:color="auto"/>
        <w:right w:val="none" w:sz="0" w:space="0" w:color="auto"/>
      </w:divBdr>
      <w:divsChild>
        <w:div w:id="727922590">
          <w:marLeft w:val="0"/>
          <w:marRight w:val="0"/>
          <w:marTop w:val="0"/>
          <w:marBottom w:val="0"/>
          <w:divBdr>
            <w:top w:val="none" w:sz="0" w:space="0" w:color="auto"/>
            <w:left w:val="none" w:sz="0" w:space="0" w:color="auto"/>
            <w:bottom w:val="none" w:sz="0" w:space="0" w:color="auto"/>
            <w:right w:val="none" w:sz="0" w:space="0" w:color="auto"/>
          </w:divBdr>
          <w:divsChild>
            <w:div w:id="990526309">
              <w:marLeft w:val="0"/>
              <w:marRight w:val="0"/>
              <w:marTop w:val="0"/>
              <w:marBottom w:val="0"/>
              <w:divBdr>
                <w:top w:val="none" w:sz="0" w:space="0" w:color="auto"/>
                <w:left w:val="none" w:sz="0" w:space="0" w:color="auto"/>
                <w:bottom w:val="none" w:sz="0" w:space="0" w:color="auto"/>
                <w:right w:val="none" w:sz="0" w:space="0" w:color="auto"/>
              </w:divBdr>
            </w:div>
          </w:divsChild>
        </w:div>
        <w:div w:id="369766892">
          <w:marLeft w:val="0"/>
          <w:marRight w:val="0"/>
          <w:marTop w:val="0"/>
          <w:marBottom w:val="0"/>
          <w:divBdr>
            <w:top w:val="none" w:sz="0" w:space="0" w:color="auto"/>
            <w:left w:val="none" w:sz="0" w:space="0" w:color="auto"/>
            <w:bottom w:val="none" w:sz="0" w:space="0" w:color="auto"/>
            <w:right w:val="none" w:sz="0" w:space="0" w:color="auto"/>
          </w:divBdr>
          <w:divsChild>
            <w:div w:id="1989287361">
              <w:marLeft w:val="0"/>
              <w:marRight w:val="0"/>
              <w:marTop w:val="0"/>
              <w:marBottom w:val="0"/>
              <w:divBdr>
                <w:top w:val="none" w:sz="0" w:space="0" w:color="auto"/>
                <w:left w:val="none" w:sz="0" w:space="0" w:color="auto"/>
                <w:bottom w:val="none" w:sz="0" w:space="0" w:color="auto"/>
                <w:right w:val="none" w:sz="0" w:space="0" w:color="auto"/>
              </w:divBdr>
            </w:div>
          </w:divsChild>
        </w:div>
        <w:div w:id="1359701513">
          <w:marLeft w:val="0"/>
          <w:marRight w:val="0"/>
          <w:marTop w:val="0"/>
          <w:marBottom w:val="0"/>
          <w:divBdr>
            <w:top w:val="none" w:sz="0" w:space="0" w:color="auto"/>
            <w:left w:val="none" w:sz="0" w:space="0" w:color="auto"/>
            <w:bottom w:val="none" w:sz="0" w:space="0" w:color="auto"/>
            <w:right w:val="none" w:sz="0" w:space="0" w:color="auto"/>
          </w:divBdr>
          <w:divsChild>
            <w:div w:id="2080055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066434">
      <w:bodyDiv w:val="1"/>
      <w:marLeft w:val="0"/>
      <w:marRight w:val="0"/>
      <w:marTop w:val="0"/>
      <w:marBottom w:val="0"/>
      <w:divBdr>
        <w:top w:val="none" w:sz="0" w:space="0" w:color="auto"/>
        <w:left w:val="none" w:sz="0" w:space="0" w:color="auto"/>
        <w:bottom w:val="none" w:sz="0" w:space="0" w:color="auto"/>
        <w:right w:val="none" w:sz="0" w:space="0" w:color="auto"/>
      </w:divBdr>
      <w:divsChild>
        <w:div w:id="973144720">
          <w:marLeft w:val="0"/>
          <w:marRight w:val="0"/>
          <w:marTop w:val="0"/>
          <w:marBottom w:val="0"/>
          <w:divBdr>
            <w:top w:val="none" w:sz="0" w:space="0" w:color="auto"/>
            <w:left w:val="none" w:sz="0" w:space="0" w:color="auto"/>
            <w:bottom w:val="none" w:sz="0" w:space="0" w:color="auto"/>
            <w:right w:val="none" w:sz="0" w:space="0" w:color="auto"/>
          </w:divBdr>
          <w:divsChild>
            <w:div w:id="41637939">
              <w:marLeft w:val="0"/>
              <w:marRight w:val="0"/>
              <w:marTop w:val="0"/>
              <w:marBottom w:val="0"/>
              <w:divBdr>
                <w:top w:val="none" w:sz="0" w:space="0" w:color="auto"/>
                <w:left w:val="none" w:sz="0" w:space="0" w:color="auto"/>
                <w:bottom w:val="none" w:sz="0" w:space="0" w:color="auto"/>
                <w:right w:val="none" w:sz="0" w:space="0" w:color="auto"/>
              </w:divBdr>
            </w:div>
          </w:divsChild>
        </w:div>
        <w:div w:id="164789679">
          <w:marLeft w:val="0"/>
          <w:marRight w:val="0"/>
          <w:marTop w:val="0"/>
          <w:marBottom w:val="0"/>
          <w:divBdr>
            <w:top w:val="none" w:sz="0" w:space="0" w:color="auto"/>
            <w:left w:val="none" w:sz="0" w:space="0" w:color="auto"/>
            <w:bottom w:val="none" w:sz="0" w:space="0" w:color="auto"/>
            <w:right w:val="none" w:sz="0" w:space="0" w:color="auto"/>
          </w:divBdr>
          <w:divsChild>
            <w:div w:id="522211854">
              <w:marLeft w:val="0"/>
              <w:marRight w:val="0"/>
              <w:marTop w:val="0"/>
              <w:marBottom w:val="0"/>
              <w:divBdr>
                <w:top w:val="none" w:sz="0" w:space="0" w:color="auto"/>
                <w:left w:val="none" w:sz="0" w:space="0" w:color="auto"/>
                <w:bottom w:val="none" w:sz="0" w:space="0" w:color="auto"/>
                <w:right w:val="none" w:sz="0" w:space="0" w:color="auto"/>
              </w:divBdr>
            </w:div>
          </w:divsChild>
        </w:div>
        <w:div w:id="1099836046">
          <w:marLeft w:val="0"/>
          <w:marRight w:val="0"/>
          <w:marTop w:val="0"/>
          <w:marBottom w:val="0"/>
          <w:divBdr>
            <w:top w:val="none" w:sz="0" w:space="0" w:color="auto"/>
            <w:left w:val="none" w:sz="0" w:space="0" w:color="auto"/>
            <w:bottom w:val="none" w:sz="0" w:space="0" w:color="auto"/>
            <w:right w:val="none" w:sz="0" w:space="0" w:color="auto"/>
          </w:divBdr>
          <w:divsChild>
            <w:div w:id="137777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9701048">
      <w:bodyDiv w:val="1"/>
      <w:marLeft w:val="0"/>
      <w:marRight w:val="0"/>
      <w:marTop w:val="0"/>
      <w:marBottom w:val="0"/>
      <w:divBdr>
        <w:top w:val="none" w:sz="0" w:space="0" w:color="auto"/>
        <w:left w:val="none" w:sz="0" w:space="0" w:color="auto"/>
        <w:bottom w:val="none" w:sz="0" w:space="0" w:color="auto"/>
        <w:right w:val="none" w:sz="0" w:space="0" w:color="auto"/>
      </w:divBdr>
      <w:divsChild>
        <w:div w:id="1750536675">
          <w:marLeft w:val="0"/>
          <w:marRight w:val="0"/>
          <w:marTop w:val="0"/>
          <w:marBottom w:val="0"/>
          <w:divBdr>
            <w:top w:val="none" w:sz="0" w:space="0" w:color="auto"/>
            <w:left w:val="none" w:sz="0" w:space="0" w:color="auto"/>
            <w:bottom w:val="none" w:sz="0" w:space="0" w:color="auto"/>
            <w:right w:val="none" w:sz="0" w:space="0" w:color="auto"/>
          </w:divBdr>
          <w:divsChild>
            <w:div w:id="1125778902">
              <w:marLeft w:val="0"/>
              <w:marRight w:val="0"/>
              <w:marTop w:val="0"/>
              <w:marBottom w:val="0"/>
              <w:divBdr>
                <w:top w:val="none" w:sz="0" w:space="0" w:color="auto"/>
                <w:left w:val="none" w:sz="0" w:space="0" w:color="auto"/>
                <w:bottom w:val="none" w:sz="0" w:space="0" w:color="auto"/>
                <w:right w:val="none" w:sz="0" w:space="0" w:color="auto"/>
              </w:divBdr>
            </w:div>
          </w:divsChild>
        </w:div>
        <w:div w:id="926158710">
          <w:marLeft w:val="0"/>
          <w:marRight w:val="0"/>
          <w:marTop w:val="0"/>
          <w:marBottom w:val="0"/>
          <w:divBdr>
            <w:top w:val="none" w:sz="0" w:space="0" w:color="auto"/>
            <w:left w:val="none" w:sz="0" w:space="0" w:color="auto"/>
            <w:bottom w:val="none" w:sz="0" w:space="0" w:color="auto"/>
            <w:right w:val="none" w:sz="0" w:space="0" w:color="auto"/>
          </w:divBdr>
          <w:divsChild>
            <w:div w:id="1529366151">
              <w:marLeft w:val="0"/>
              <w:marRight w:val="0"/>
              <w:marTop w:val="0"/>
              <w:marBottom w:val="0"/>
              <w:divBdr>
                <w:top w:val="none" w:sz="0" w:space="0" w:color="auto"/>
                <w:left w:val="none" w:sz="0" w:space="0" w:color="auto"/>
                <w:bottom w:val="none" w:sz="0" w:space="0" w:color="auto"/>
                <w:right w:val="none" w:sz="0" w:space="0" w:color="auto"/>
              </w:divBdr>
            </w:div>
          </w:divsChild>
        </w:div>
        <w:div w:id="1959024500">
          <w:marLeft w:val="0"/>
          <w:marRight w:val="0"/>
          <w:marTop w:val="0"/>
          <w:marBottom w:val="0"/>
          <w:divBdr>
            <w:top w:val="none" w:sz="0" w:space="0" w:color="auto"/>
            <w:left w:val="none" w:sz="0" w:space="0" w:color="auto"/>
            <w:bottom w:val="none" w:sz="0" w:space="0" w:color="auto"/>
            <w:right w:val="none" w:sz="0" w:space="0" w:color="auto"/>
          </w:divBdr>
          <w:divsChild>
            <w:div w:id="2128313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854366">
      <w:bodyDiv w:val="1"/>
      <w:marLeft w:val="0"/>
      <w:marRight w:val="0"/>
      <w:marTop w:val="0"/>
      <w:marBottom w:val="0"/>
      <w:divBdr>
        <w:top w:val="none" w:sz="0" w:space="0" w:color="auto"/>
        <w:left w:val="none" w:sz="0" w:space="0" w:color="auto"/>
        <w:bottom w:val="none" w:sz="0" w:space="0" w:color="auto"/>
        <w:right w:val="none" w:sz="0" w:space="0" w:color="auto"/>
      </w:divBdr>
      <w:divsChild>
        <w:div w:id="1594819878">
          <w:marLeft w:val="0"/>
          <w:marRight w:val="0"/>
          <w:marTop w:val="0"/>
          <w:marBottom w:val="0"/>
          <w:divBdr>
            <w:top w:val="none" w:sz="0" w:space="0" w:color="auto"/>
            <w:left w:val="none" w:sz="0" w:space="0" w:color="auto"/>
            <w:bottom w:val="none" w:sz="0" w:space="0" w:color="auto"/>
            <w:right w:val="none" w:sz="0" w:space="0" w:color="auto"/>
          </w:divBdr>
          <w:divsChild>
            <w:div w:id="1156843483">
              <w:marLeft w:val="0"/>
              <w:marRight w:val="0"/>
              <w:marTop w:val="0"/>
              <w:marBottom w:val="0"/>
              <w:divBdr>
                <w:top w:val="none" w:sz="0" w:space="0" w:color="auto"/>
                <w:left w:val="none" w:sz="0" w:space="0" w:color="auto"/>
                <w:bottom w:val="none" w:sz="0" w:space="0" w:color="auto"/>
                <w:right w:val="none" w:sz="0" w:space="0" w:color="auto"/>
              </w:divBdr>
            </w:div>
          </w:divsChild>
        </w:div>
        <w:div w:id="88892219">
          <w:marLeft w:val="0"/>
          <w:marRight w:val="0"/>
          <w:marTop w:val="0"/>
          <w:marBottom w:val="0"/>
          <w:divBdr>
            <w:top w:val="none" w:sz="0" w:space="0" w:color="auto"/>
            <w:left w:val="none" w:sz="0" w:space="0" w:color="auto"/>
            <w:bottom w:val="none" w:sz="0" w:space="0" w:color="auto"/>
            <w:right w:val="none" w:sz="0" w:space="0" w:color="auto"/>
          </w:divBdr>
          <w:divsChild>
            <w:div w:id="1538737560">
              <w:marLeft w:val="0"/>
              <w:marRight w:val="0"/>
              <w:marTop w:val="0"/>
              <w:marBottom w:val="0"/>
              <w:divBdr>
                <w:top w:val="none" w:sz="0" w:space="0" w:color="auto"/>
                <w:left w:val="none" w:sz="0" w:space="0" w:color="auto"/>
                <w:bottom w:val="none" w:sz="0" w:space="0" w:color="auto"/>
                <w:right w:val="none" w:sz="0" w:space="0" w:color="auto"/>
              </w:divBdr>
            </w:div>
          </w:divsChild>
        </w:div>
        <w:div w:id="20206782">
          <w:marLeft w:val="0"/>
          <w:marRight w:val="0"/>
          <w:marTop w:val="0"/>
          <w:marBottom w:val="0"/>
          <w:divBdr>
            <w:top w:val="none" w:sz="0" w:space="0" w:color="auto"/>
            <w:left w:val="none" w:sz="0" w:space="0" w:color="auto"/>
            <w:bottom w:val="none" w:sz="0" w:space="0" w:color="auto"/>
            <w:right w:val="none" w:sz="0" w:space="0" w:color="auto"/>
          </w:divBdr>
          <w:divsChild>
            <w:div w:id="74267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734495">
      <w:bodyDiv w:val="1"/>
      <w:marLeft w:val="0"/>
      <w:marRight w:val="0"/>
      <w:marTop w:val="0"/>
      <w:marBottom w:val="0"/>
      <w:divBdr>
        <w:top w:val="none" w:sz="0" w:space="0" w:color="auto"/>
        <w:left w:val="none" w:sz="0" w:space="0" w:color="auto"/>
        <w:bottom w:val="none" w:sz="0" w:space="0" w:color="auto"/>
        <w:right w:val="none" w:sz="0" w:space="0" w:color="auto"/>
      </w:divBdr>
      <w:divsChild>
        <w:div w:id="1894387249">
          <w:marLeft w:val="0"/>
          <w:marRight w:val="0"/>
          <w:marTop w:val="0"/>
          <w:marBottom w:val="0"/>
          <w:divBdr>
            <w:top w:val="none" w:sz="0" w:space="0" w:color="auto"/>
            <w:left w:val="none" w:sz="0" w:space="0" w:color="auto"/>
            <w:bottom w:val="none" w:sz="0" w:space="0" w:color="auto"/>
            <w:right w:val="none" w:sz="0" w:space="0" w:color="auto"/>
          </w:divBdr>
          <w:divsChild>
            <w:div w:id="2073306014">
              <w:marLeft w:val="0"/>
              <w:marRight w:val="0"/>
              <w:marTop w:val="0"/>
              <w:marBottom w:val="0"/>
              <w:divBdr>
                <w:top w:val="none" w:sz="0" w:space="0" w:color="auto"/>
                <w:left w:val="none" w:sz="0" w:space="0" w:color="auto"/>
                <w:bottom w:val="none" w:sz="0" w:space="0" w:color="auto"/>
                <w:right w:val="none" w:sz="0" w:space="0" w:color="auto"/>
              </w:divBdr>
            </w:div>
          </w:divsChild>
        </w:div>
        <w:div w:id="1073894073">
          <w:marLeft w:val="0"/>
          <w:marRight w:val="0"/>
          <w:marTop w:val="0"/>
          <w:marBottom w:val="0"/>
          <w:divBdr>
            <w:top w:val="none" w:sz="0" w:space="0" w:color="auto"/>
            <w:left w:val="none" w:sz="0" w:space="0" w:color="auto"/>
            <w:bottom w:val="none" w:sz="0" w:space="0" w:color="auto"/>
            <w:right w:val="none" w:sz="0" w:space="0" w:color="auto"/>
          </w:divBdr>
          <w:divsChild>
            <w:div w:id="769358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28614">
      <w:bodyDiv w:val="1"/>
      <w:marLeft w:val="0"/>
      <w:marRight w:val="0"/>
      <w:marTop w:val="0"/>
      <w:marBottom w:val="0"/>
      <w:divBdr>
        <w:top w:val="none" w:sz="0" w:space="0" w:color="auto"/>
        <w:left w:val="none" w:sz="0" w:space="0" w:color="auto"/>
        <w:bottom w:val="none" w:sz="0" w:space="0" w:color="auto"/>
        <w:right w:val="none" w:sz="0" w:space="0" w:color="auto"/>
      </w:divBdr>
      <w:divsChild>
        <w:div w:id="474876934">
          <w:marLeft w:val="0"/>
          <w:marRight w:val="0"/>
          <w:marTop w:val="0"/>
          <w:marBottom w:val="0"/>
          <w:divBdr>
            <w:top w:val="none" w:sz="0" w:space="0" w:color="auto"/>
            <w:left w:val="none" w:sz="0" w:space="0" w:color="auto"/>
            <w:bottom w:val="none" w:sz="0" w:space="0" w:color="auto"/>
            <w:right w:val="none" w:sz="0" w:space="0" w:color="auto"/>
          </w:divBdr>
          <w:divsChild>
            <w:div w:id="20252226">
              <w:marLeft w:val="0"/>
              <w:marRight w:val="0"/>
              <w:marTop w:val="0"/>
              <w:marBottom w:val="0"/>
              <w:divBdr>
                <w:top w:val="none" w:sz="0" w:space="0" w:color="auto"/>
                <w:left w:val="none" w:sz="0" w:space="0" w:color="auto"/>
                <w:bottom w:val="none" w:sz="0" w:space="0" w:color="auto"/>
                <w:right w:val="none" w:sz="0" w:space="0" w:color="auto"/>
              </w:divBdr>
            </w:div>
          </w:divsChild>
        </w:div>
        <w:div w:id="450436107">
          <w:marLeft w:val="0"/>
          <w:marRight w:val="0"/>
          <w:marTop w:val="0"/>
          <w:marBottom w:val="0"/>
          <w:divBdr>
            <w:top w:val="none" w:sz="0" w:space="0" w:color="auto"/>
            <w:left w:val="none" w:sz="0" w:space="0" w:color="auto"/>
            <w:bottom w:val="none" w:sz="0" w:space="0" w:color="auto"/>
            <w:right w:val="none" w:sz="0" w:space="0" w:color="auto"/>
          </w:divBdr>
          <w:divsChild>
            <w:div w:id="1070421612">
              <w:marLeft w:val="0"/>
              <w:marRight w:val="0"/>
              <w:marTop w:val="0"/>
              <w:marBottom w:val="0"/>
              <w:divBdr>
                <w:top w:val="none" w:sz="0" w:space="0" w:color="auto"/>
                <w:left w:val="none" w:sz="0" w:space="0" w:color="auto"/>
                <w:bottom w:val="none" w:sz="0" w:space="0" w:color="auto"/>
                <w:right w:val="none" w:sz="0" w:space="0" w:color="auto"/>
              </w:divBdr>
            </w:div>
          </w:divsChild>
        </w:div>
        <w:div w:id="45960702">
          <w:marLeft w:val="0"/>
          <w:marRight w:val="0"/>
          <w:marTop w:val="0"/>
          <w:marBottom w:val="0"/>
          <w:divBdr>
            <w:top w:val="none" w:sz="0" w:space="0" w:color="auto"/>
            <w:left w:val="none" w:sz="0" w:space="0" w:color="auto"/>
            <w:bottom w:val="none" w:sz="0" w:space="0" w:color="auto"/>
            <w:right w:val="none" w:sz="0" w:space="0" w:color="auto"/>
          </w:divBdr>
          <w:divsChild>
            <w:div w:id="330372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972815">
      <w:bodyDiv w:val="1"/>
      <w:marLeft w:val="0"/>
      <w:marRight w:val="0"/>
      <w:marTop w:val="0"/>
      <w:marBottom w:val="0"/>
      <w:divBdr>
        <w:top w:val="none" w:sz="0" w:space="0" w:color="auto"/>
        <w:left w:val="none" w:sz="0" w:space="0" w:color="auto"/>
        <w:bottom w:val="none" w:sz="0" w:space="0" w:color="auto"/>
        <w:right w:val="none" w:sz="0" w:space="0" w:color="auto"/>
      </w:divBdr>
      <w:divsChild>
        <w:div w:id="844514123">
          <w:marLeft w:val="0"/>
          <w:marRight w:val="0"/>
          <w:marTop w:val="0"/>
          <w:marBottom w:val="0"/>
          <w:divBdr>
            <w:top w:val="none" w:sz="0" w:space="0" w:color="auto"/>
            <w:left w:val="none" w:sz="0" w:space="0" w:color="auto"/>
            <w:bottom w:val="none" w:sz="0" w:space="0" w:color="auto"/>
            <w:right w:val="none" w:sz="0" w:space="0" w:color="auto"/>
          </w:divBdr>
          <w:divsChild>
            <w:div w:id="1057096362">
              <w:marLeft w:val="0"/>
              <w:marRight w:val="0"/>
              <w:marTop w:val="0"/>
              <w:marBottom w:val="0"/>
              <w:divBdr>
                <w:top w:val="none" w:sz="0" w:space="0" w:color="auto"/>
                <w:left w:val="none" w:sz="0" w:space="0" w:color="auto"/>
                <w:bottom w:val="none" w:sz="0" w:space="0" w:color="auto"/>
                <w:right w:val="none" w:sz="0" w:space="0" w:color="auto"/>
              </w:divBdr>
            </w:div>
          </w:divsChild>
        </w:div>
        <w:div w:id="1991516291">
          <w:marLeft w:val="0"/>
          <w:marRight w:val="0"/>
          <w:marTop w:val="0"/>
          <w:marBottom w:val="0"/>
          <w:divBdr>
            <w:top w:val="none" w:sz="0" w:space="0" w:color="auto"/>
            <w:left w:val="none" w:sz="0" w:space="0" w:color="auto"/>
            <w:bottom w:val="none" w:sz="0" w:space="0" w:color="auto"/>
            <w:right w:val="none" w:sz="0" w:space="0" w:color="auto"/>
          </w:divBdr>
          <w:divsChild>
            <w:div w:id="30423003">
              <w:marLeft w:val="0"/>
              <w:marRight w:val="0"/>
              <w:marTop w:val="0"/>
              <w:marBottom w:val="0"/>
              <w:divBdr>
                <w:top w:val="none" w:sz="0" w:space="0" w:color="auto"/>
                <w:left w:val="none" w:sz="0" w:space="0" w:color="auto"/>
                <w:bottom w:val="none" w:sz="0" w:space="0" w:color="auto"/>
                <w:right w:val="none" w:sz="0" w:space="0" w:color="auto"/>
              </w:divBdr>
            </w:div>
          </w:divsChild>
        </w:div>
        <w:div w:id="2118862328">
          <w:marLeft w:val="0"/>
          <w:marRight w:val="0"/>
          <w:marTop w:val="0"/>
          <w:marBottom w:val="0"/>
          <w:divBdr>
            <w:top w:val="none" w:sz="0" w:space="0" w:color="auto"/>
            <w:left w:val="none" w:sz="0" w:space="0" w:color="auto"/>
            <w:bottom w:val="none" w:sz="0" w:space="0" w:color="auto"/>
            <w:right w:val="none" w:sz="0" w:space="0" w:color="auto"/>
          </w:divBdr>
          <w:divsChild>
            <w:div w:id="233977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79581">
      <w:bodyDiv w:val="1"/>
      <w:marLeft w:val="0"/>
      <w:marRight w:val="0"/>
      <w:marTop w:val="0"/>
      <w:marBottom w:val="0"/>
      <w:divBdr>
        <w:top w:val="none" w:sz="0" w:space="0" w:color="auto"/>
        <w:left w:val="none" w:sz="0" w:space="0" w:color="auto"/>
        <w:bottom w:val="none" w:sz="0" w:space="0" w:color="auto"/>
        <w:right w:val="none" w:sz="0" w:space="0" w:color="auto"/>
      </w:divBdr>
      <w:divsChild>
        <w:div w:id="546727193">
          <w:marLeft w:val="0"/>
          <w:marRight w:val="0"/>
          <w:marTop w:val="0"/>
          <w:marBottom w:val="0"/>
          <w:divBdr>
            <w:top w:val="none" w:sz="0" w:space="0" w:color="auto"/>
            <w:left w:val="none" w:sz="0" w:space="0" w:color="auto"/>
            <w:bottom w:val="none" w:sz="0" w:space="0" w:color="auto"/>
            <w:right w:val="none" w:sz="0" w:space="0" w:color="auto"/>
          </w:divBdr>
          <w:divsChild>
            <w:div w:id="1632132143">
              <w:marLeft w:val="0"/>
              <w:marRight w:val="0"/>
              <w:marTop w:val="0"/>
              <w:marBottom w:val="0"/>
              <w:divBdr>
                <w:top w:val="none" w:sz="0" w:space="0" w:color="auto"/>
                <w:left w:val="none" w:sz="0" w:space="0" w:color="auto"/>
                <w:bottom w:val="none" w:sz="0" w:space="0" w:color="auto"/>
                <w:right w:val="none" w:sz="0" w:space="0" w:color="auto"/>
              </w:divBdr>
            </w:div>
          </w:divsChild>
        </w:div>
        <w:div w:id="163400697">
          <w:blockQuote w:val="1"/>
          <w:marLeft w:val="720"/>
          <w:marRight w:val="720"/>
          <w:marTop w:val="100"/>
          <w:marBottom w:val="100"/>
          <w:divBdr>
            <w:top w:val="none" w:sz="0" w:space="0" w:color="auto"/>
            <w:left w:val="none" w:sz="0" w:space="0" w:color="auto"/>
            <w:bottom w:val="none" w:sz="0" w:space="0" w:color="auto"/>
            <w:right w:val="none" w:sz="0" w:space="0" w:color="auto"/>
          </w:divBdr>
        </w:div>
        <w:div w:id="1055273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361541627">
          <w:marLeft w:val="0"/>
          <w:marRight w:val="0"/>
          <w:marTop w:val="0"/>
          <w:marBottom w:val="0"/>
          <w:divBdr>
            <w:top w:val="none" w:sz="0" w:space="0" w:color="auto"/>
            <w:left w:val="none" w:sz="0" w:space="0" w:color="auto"/>
            <w:bottom w:val="none" w:sz="0" w:space="0" w:color="auto"/>
            <w:right w:val="none" w:sz="0" w:space="0" w:color="auto"/>
          </w:divBdr>
          <w:divsChild>
            <w:div w:id="1199782698">
              <w:marLeft w:val="0"/>
              <w:marRight w:val="0"/>
              <w:marTop w:val="0"/>
              <w:marBottom w:val="0"/>
              <w:divBdr>
                <w:top w:val="none" w:sz="0" w:space="0" w:color="auto"/>
                <w:left w:val="none" w:sz="0" w:space="0" w:color="auto"/>
                <w:bottom w:val="none" w:sz="0" w:space="0" w:color="auto"/>
                <w:right w:val="none" w:sz="0" w:space="0" w:color="auto"/>
              </w:divBdr>
            </w:div>
          </w:divsChild>
        </w:div>
        <w:div w:id="196507228">
          <w:marLeft w:val="0"/>
          <w:marRight w:val="0"/>
          <w:marTop w:val="0"/>
          <w:marBottom w:val="0"/>
          <w:divBdr>
            <w:top w:val="none" w:sz="0" w:space="0" w:color="auto"/>
            <w:left w:val="none" w:sz="0" w:space="0" w:color="auto"/>
            <w:bottom w:val="none" w:sz="0" w:space="0" w:color="auto"/>
            <w:right w:val="none" w:sz="0" w:space="0" w:color="auto"/>
          </w:divBdr>
          <w:divsChild>
            <w:div w:id="200392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200204">
      <w:bodyDiv w:val="1"/>
      <w:marLeft w:val="0"/>
      <w:marRight w:val="0"/>
      <w:marTop w:val="0"/>
      <w:marBottom w:val="0"/>
      <w:divBdr>
        <w:top w:val="none" w:sz="0" w:space="0" w:color="auto"/>
        <w:left w:val="none" w:sz="0" w:space="0" w:color="auto"/>
        <w:bottom w:val="none" w:sz="0" w:space="0" w:color="auto"/>
        <w:right w:val="none" w:sz="0" w:space="0" w:color="auto"/>
      </w:divBdr>
      <w:divsChild>
        <w:div w:id="486895389">
          <w:marLeft w:val="0"/>
          <w:marRight w:val="0"/>
          <w:marTop w:val="0"/>
          <w:marBottom w:val="0"/>
          <w:divBdr>
            <w:top w:val="none" w:sz="0" w:space="0" w:color="auto"/>
            <w:left w:val="none" w:sz="0" w:space="0" w:color="auto"/>
            <w:bottom w:val="none" w:sz="0" w:space="0" w:color="auto"/>
            <w:right w:val="none" w:sz="0" w:space="0" w:color="auto"/>
          </w:divBdr>
          <w:divsChild>
            <w:div w:id="1500654302">
              <w:marLeft w:val="0"/>
              <w:marRight w:val="0"/>
              <w:marTop w:val="0"/>
              <w:marBottom w:val="0"/>
              <w:divBdr>
                <w:top w:val="none" w:sz="0" w:space="0" w:color="auto"/>
                <w:left w:val="none" w:sz="0" w:space="0" w:color="auto"/>
                <w:bottom w:val="none" w:sz="0" w:space="0" w:color="auto"/>
                <w:right w:val="none" w:sz="0" w:space="0" w:color="auto"/>
              </w:divBdr>
            </w:div>
          </w:divsChild>
        </w:div>
        <w:div w:id="688063646">
          <w:marLeft w:val="0"/>
          <w:marRight w:val="0"/>
          <w:marTop w:val="0"/>
          <w:marBottom w:val="0"/>
          <w:divBdr>
            <w:top w:val="none" w:sz="0" w:space="0" w:color="auto"/>
            <w:left w:val="none" w:sz="0" w:space="0" w:color="auto"/>
            <w:bottom w:val="none" w:sz="0" w:space="0" w:color="auto"/>
            <w:right w:val="none" w:sz="0" w:space="0" w:color="auto"/>
          </w:divBdr>
          <w:divsChild>
            <w:div w:id="657613802">
              <w:marLeft w:val="0"/>
              <w:marRight w:val="0"/>
              <w:marTop w:val="0"/>
              <w:marBottom w:val="0"/>
              <w:divBdr>
                <w:top w:val="none" w:sz="0" w:space="0" w:color="auto"/>
                <w:left w:val="none" w:sz="0" w:space="0" w:color="auto"/>
                <w:bottom w:val="none" w:sz="0" w:space="0" w:color="auto"/>
                <w:right w:val="none" w:sz="0" w:space="0" w:color="auto"/>
              </w:divBdr>
            </w:div>
          </w:divsChild>
        </w:div>
        <w:div w:id="1347253105">
          <w:marLeft w:val="0"/>
          <w:marRight w:val="0"/>
          <w:marTop w:val="0"/>
          <w:marBottom w:val="0"/>
          <w:divBdr>
            <w:top w:val="none" w:sz="0" w:space="0" w:color="auto"/>
            <w:left w:val="none" w:sz="0" w:space="0" w:color="auto"/>
            <w:bottom w:val="none" w:sz="0" w:space="0" w:color="auto"/>
            <w:right w:val="none" w:sz="0" w:space="0" w:color="auto"/>
          </w:divBdr>
          <w:divsChild>
            <w:div w:id="1192113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199528">
      <w:bodyDiv w:val="1"/>
      <w:marLeft w:val="0"/>
      <w:marRight w:val="0"/>
      <w:marTop w:val="0"/>
      <w:marBottom w:val="0"/>
      <w:divBdr>
        <w:top w:val="none" w:sz="0" w:space="0" w:color="auto"/>
        <w:left w:val="none" w:sz="0" w:space="0" w:color="auto"/>
        <w:bottom w:val="none" w:sz="0" w:space="0" w:color="auto"/>
        <w:right w:val="none" w:sz="0" w:space="0" w:color="auto"/>
      </w:divBdr>
      <w:divsChild>
        <w:div w:id="880359022">
          <w:marLeft w:val="0"/>
          <w:marRight w:val="0"/>
          <w:marTop w:val="0"/>
          <w:marBottom w:val="0"/>
          <w:divBdr>
            <w:top w:val="none" w:sz="0" w:space="0" w:color="auto"/>
            <w:left w:val="none" w:sz="0" w:space="0" w:color="auto"/>
            <w:bottom w:val="none" w:sz="0" w:space="0" w:color="auto"/>
            <w:right w:val="none" w:sz="0" w:space="0" w:color="auto"/>
          </w:divBdr>
          <w:divsChild>
            <w:div w:id="1900630917">
              <w:marLeft w:val="0"/>
              <w:marRight w:val="0"/>
              <w:marTop w:val="0"/>
              <w:marBottom w:val="0"/>
              <w:divBdr>
                <w:top w:val="none" w:sz="0" w:space="0" w:color="auto"/>
                <w:left w:val="none" w:sz="0" w:space="0" w:color="auto"/>
                <w:bottom w:val="none" w:sz="0" w:space="0" w:color="auto"/>
                <w:right w:val="none" w:sz="0" w:space="0" w:color="auto"/>
              </w:divBdr>
            </w:div>
          </w:divsChild>
        </w:div>
        <w:div w:id="770130812">
          <w:marLeft w:val="0"/>
          <w:marRight w:val="0"/>
          <w:marTop w:val="0"/>
          <w:marBottom w:val="0"/>
          <w:divBdr>
            <w:top w:val="none" w:sz="0" w:space="0" w:color="auto"/>
            <w:left w:val="none" w:sz="0" w:space="0" w:color="auto"/>
            <w:bottom w:val="none" w:sz="0" w:space="0" w:color="auto"/>
            <w:right w:val="none" w:sz="0" w:space="0" w:color="auto"/>
          </w:divBdr>
          <w:divsChild>
            <w:div w:id="1236666530">
              <w:marLeft w:val="0"/>
              <w:marRight w:val="0"/>
              <w:marTop w:val="0"/>
              <w:marBottom w:val="0"/>
              <w:divBdr>
                <w:top w:val="none" w:sz="0" w:space="0" w:color="auto"/>
                <w:left w:val="none" w:sz="0" w:space="0" w:color="auto"/>
                <w:bottom w:val="none" w:sz="0" w:space="0" w:color="auto"/>
                <w:right w:val="none" w:sz="0" w:space="0" w:color="auto"/>
              </w:divBdr>
            </w:div>
          </w:divsChild>
        </w:div>
        <w:div w:id="267851563">
          <w:marLeft w:val="0"/>
          <w:marRight w:val="0"/>
          <w:marTop w:val="0"/>
          <w:marBottom w:val="0"/>
          <w:divBdr>
            <w:top w:val="none" w:sz="0" w:space="0" w:color="auto"/>
            <w:left w:val="none" w:sz="0" w:space="0" w:color="auto"/>
            <w:bottom w:val="none" w:sz="0" w:space="0" w:color="auto"/>
            <w:right w:val="none" w:sz="0" w:space="0" w:color="auto"/>
          </w:divBdr>
          <w:divsChild>
            <w:div w:id="1650672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789098">
      <w:bodyDiv w:val="1"/>
      <w:marLeft w:val="0"/>
      <w:marRight w:val="0"/>
      <w:marTop w:val="0"/>
      <w:marBottom w:val="0"/>
      <w:divBdr>
        <w:top w:val="none" w:sz="0" w:space="0" w:color="auto"/>
        <w:left w:val="none" w:sz="0" w:space="0" w:color="auto"/>
        <w:bottom w:val="none" w:sz="0" w:space="0" w:color="auto"/>
        <w:right w:val="none" w:sz="0" w:space="0" w:color="auto"/>
      </w:divBdr>
      <w:divsChild>
        <w:div w:id="1740786349">
          <w:marLeft w:val="0"/>
          <w:marRight w:val="0"/>
          <w:marTop w:val="0"/>
          <w:marBottom w:val="0"/>
          <w:divBdr>
            <w:top w:val="none" w:sz="0" w:space="0" w:color="auto"/>
            <w:left w:val="none" w:sz="0" w:space="0" w:color="auto"/>
            <w:bottom w:val="none" w:sz="0" w:space="0" w:color="auto"/>
            <w:right w:val="none" w:sz="0" w:space="0" w:color="auto"/>
          </w:divBdr>
          <w:divsChild>
            <w:div w:id="1391223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3423701">
      <w:bodyDiv w:val="1"/>
      <w:marLeft w:val="0"/>
      <w:marRight w:val="0"/>
      <w:marTop w:val="0"/>
      <w:marBottom w:val="0"/>
      <w:divBdr>
        <w:top w:val="none" w:sz="0" w:space="0" w:color="auto"/>
        <w:left w:val="none" w:sz="0" w:space="0" w:color="auto"/>
        <w:bottom w:val="none" w:sz="0" w:space="0" w:color="auto"/>
        <w:right w:val="none" w:sz="0" w:space="0" w:color="auto"/>
      </w:divBdr>
      <w:divsChild>
        <w:div w:id="204341620">
          <w:marLeft w:val="0"/>
          <w:marRight w:val="0"/>
          <w:marTop w:val="0"/>
          <w:marBottom w:val="0"/>
          <w:divBdr>
            <w:top w:val="none" w:sz="0" w:space="0" w:color="auto"/>
            <w:left w:val="none" w:sz="0" w:space="0" w:color="auto"/>
            <w:bottom w:val="none" w:sz="0" w:space="0" w:color="auto"/>
            <w:right w:val="none" w:sz="0" w:space="0" w:color="auto"/>
          </w:divBdr>
          <w:divsChild>
            <w:div w:id="63988006">
              <w:marLeft w:val="0"/>
              <w:marRight w:val="0"/>
              <w:marTop w:val="0"/>
              <w:marBottom w:val="0"/>
              <w:divBdr>
                <w:top w:val="none" w:sz="0" w:space="0" w:color="auto"/>
                <w:left w:val="none" w:sz="0" w:space="0" w:color="auto"/>
                <w:bottom w:val="none" w:sz="0" w:space="0" w:color="auto"/>
                <w:right w:val="none" w:sz="0" w:space="0" w:color="auto"/>
              </w:divBdr>
            </w:div>
          </w:divsChild>
        </w:div>
        <w:div w:id="622080693">
          <w:marLeft w:val="0"/>
          <w:marRight w:val="0"/>
          <w:marTop w:val="0"/>
          <w:marBottom w:val="0"/>
          <w:divBdr>
            <w:top w:val="none" w:sz="0" w:space="0" w:color="auto"/>
            <w:left w:val="none" w:sz="0" w:space="0" w:color="auto"/>
            <w:bottom w:val="none" w:sz="0" w:space="0" w:color="auto"/>
            <w:right w:val="none" w:sz="0" w:space="0" w:color="auto"/>
          </w:divBdr>
          <w:divsChild>
            <w:div w:id="193601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885576">
      <w:bodyDiv w:val="1"/>
      <w:marLeft w:val="0"/>
      <w:marRight w:val="0"/>
      <w:marTop w:val="0"/>
      <w:marBottom w:val="0"/>
      <w:divBdr>
        <w:top w:val="none" w:sz="0" w:space="0" w:color="auto"/>
        <w:left w:val="none" w:sz="0" w:space="0" w:color="auto"/>
        <w:bottom w:val="none" w:sz="0" w:space="0" w:color="auto"/>
        <w:right w:val="none" w:sz="0" w:space="0" w:color="auto"/>
      </w:divBdr>
      <w:divsChild>
        <w:div w:id="2127044091">
          <w:marLeft w:val="0"/>
          <w:marRight w:val="0"/>
          <w:marTop w:val="0"/>
          <w:marBottom w:val="0"/>
          <w:divBdr>
            <w:top w:val="none" w:sz="0" w:space="0" w:color="auto"/>
            <w:left w:val="none" w:sz="0" w:space="0" w:color="auto"/>
            <w:bottom w:val="none" w:sz="0" w:space="0" w:color="auto"/>
            <w:right w:val="none" w:sz="0" w:space="0" w:color="auto"/>
          </w:divBdr>
          <w:divsChild>
            <w:div w:id="1893232734">
              <w:marLeft w:val="0"/>
              <w:marRight w:val="0"/>
              <w:marTop w:val="0"/>
              <w:marBottom w:val="0"/>
              <w:divBdr>
                <w:top w:val="none" w:sz="0" w:space="0" w:color="auto"/>
                <w:left w:val="none" w:sz="0" w:space="0" w:color="auto"/>
                <w:bottom w:val="none" w:sz="0" w:space="0" w:color="auto"/>
                <w:right w:val="none" w:sz="0" w:space="0" w:color="auto"/>
              </w:divBdr>
            </w:div>
          </w:divsChild>
        </w:div>
        <w:div w:id="1657147006">
          <w:marLeft w:val="0"/>
          <w:marRight w:val="0"/>
          <w:marTop w:val="0"/>
          <w:marBottom w:val="0"/>
          <w:divBdr>
            <w:top w:val="none" w:sz="0" w:space="0" w:color="auto"/>
            <w:left w:val="none" w:sz="0" w:space="0" w:color="auto"/>
            <w:bottom w:val="none" w:sz="0" w:space="0" w:color="auto"/>
            <w:right w:val="none" w:sz="0" w:space="0" w:color="auto"/>
          </w:divBdr>
          <w:divsChild>
            <w:div w:id="1120494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226378">
      <w:bodyDiv w:val="1"/>
      <w:marLeft w:val="0"/>
      <w:marRight w:val="0"/>
      <w:marTop w:val="0"/>
      <w:marBottom w:val="0"/>
      <w:divBdr>
        <w:top w:val="none" w:sz="0" w:space="0" w:color="auto"/>
        <w:left w:val="none" w:sz="0" w:space="0" w:color="auto"/>
        <w:bottom w:val="none" w:sz="0" w:space="0" w:color="auto"/>
        <w:right w:val="none" w:sz="0" w:space="0" w:color="auto"/>
      </w:divBdr>
      <w:divsChild>
        <w:div w:id="1379670912">
          <w:marLeft w:val="0"/>
          <w:marRight w:val="0"/>
          <w:marTop w:val="0"/>
          <w:marBottom w:val="0"/>
          <w:divBdr>
            <w:top w:val="none" w:sz="0" w:space="0" w:color="auto"/>
            <w:left w:val="none" w:sz="0" w:space="0" w:color="auto"/>
            <w:bottom w:val="none" w:sz="0" w:space="0" w:color="auto"/>
            <w:right w:val="none" w:sz="0" w:space="0" w:color="auto"/>
          </w:divBdr>
          <w:divsChild>
            <w:div w:id="1907181845">
              <w:marLeft w:val="0"/>
              <w:marRight w:val="0"/>
              <w:marTop w:val="0"/>
              <w:marBottom w:val="0"/>
              <w:divBdr>
                <w:top w:val="none" w:sz="0" w:space="0" w:color="auto"/>
                <w:left w:val="none" w:sz="0" w:space="0" w:color="auto"/>
                <w:bottom w:val="none" w:sz="0" w:space="0" w:color="auto"/>
                <w:right w:val="none" w:sz="0" w:space="0" w:color="auto"/>
              </w:divBdr>
              <w:divsChild>
                <w:div w:id="1622758439">
                  <w:marLeft w:val="0"/>
                  <w:marRight w:val="0"/>
                  <w:marTop w:val="0"/>
                  <w:marBottom w:val="0"/>
                  <w:divBdr>
                    <w:top w:val="none" w:sz="0" w:space="0" w:color="auto"/>
                    <w:left w:val="none" w:sz="0" w:space="0" w:color="auto"/>
                    <w:bottom w:val="none" w:sz="0" w:space="0" w:color="auto"/>
                    <w:right w:val="none" w:sz="0" w:space="0" w:color="auto"/>
                  </w:divBdr>
                  <w:divsChild>
                    <w:div w:id="929701969">
                      <w:marLeft w:val="0"/>
                      <w:marRight w:val="0"/>
                      <w:marTop w:val="0"/>
                      <w:marBottom w:val="0"/>
                      <w:divBdr>
                        <w:top w:val="none" w:sz="0" w:space="0" w:color="auto"/>
                        <w:left w:val="none" w:sz="0" w:space="0" w:color="auto"/>
                        <w:bottom w:val="none" w:sz="0" w:space="0" w:color="auto"/>
                        <w:right w:val="none" w:sz="0" w:space="0" w:color="auto"/>
                      </w:divBdr>
                      <w:divsChild>
                        <w:div w:id="1054112721">
                          <w:marLeft w:val="0"/>
                          <w:marRight w:val="0"/>
                          <w:marTop w:val="0"/>
                          <w:marBottom w:val="0"/>
                          <w:divBdr>
                            <w:top w:val="none" w:sz="0" w:space="0" w:color="auto"/>
                            <w:left w:val="none" w:sz="0" w:space="0" w:color="auto"/>
                            <w:bottom w:val="none" w:sz="0" w:space="0" w:color="auto"/>
                            <w:right w:val="none" w:sz="0" w:space="0" w:color="auto"/>
                          </w:divBdr>
                          <w:divsChild>
                            <w:div w:id="1643802597">
                              <w:marLeft w:val="0"/>
                              <w:marRight w:val="0"/>
                              <w:marTop w:val="0"/>
                              <w:marBottom w:val="0"/>
                              <w:divBdr>
                                <w:top w:val="none" w:sz="0" w:space="0" w:color="auto"/>
                                <w:left w:val="none" w:sz="0" w:space="0" w:color="auto"/>
                                <w:bottom w:val="none" w:sz="0" w:space="0" w:color="auto"/>
                                <w:right w:val="none" w:sz="0" w:space="0" w:color="auto"/>
                              </w:divBdr>
                              <w:divsChild>
                                <w:div w:id="622808375">
                                  <w:marLeft w:val="0"/>
                                  <w:marRight w:val="0"/>
                                  <w:marTop w:val="0"/>
                                  <w:marBottom w:val="0"/>
                                  <w:divBdr>
                                    <w:top w:val="none" w:sz="0" w:space="0" w:color="auto"/>
                                    <w:left w:val="none" w:sz="0" w:space="0" w:color="auto"/>
                                    <w:bottom w:val="none" w:sz="0" w:space="0" w:color="auto"/>
                                    <w:right w:val="none" w:sz="0" w:space="0" w:color="auto"/>
                                  </w:divBdr>
                                  <w:divsChild>
                                    <w:div w:id="796067941">
                                      <w:marLeft w:val="0"/>
                                      <w:marRight w:val="0"/>
                                      <w:marTop w:val="0"/>
                                      <w:marBottom w:val="0"/>
                                      <w:divBdr>
                                        <w:top w:val="none" w:sz="0" w:space="0" w:color="auto"/>
                                        <w:left w:val="none" w:sz="0" w:space="0" w:color="auto"/>
                                        <w:bottom w:val="none" w:sz="0" w:space="0" w:color="auto"/>
                                        <w:right w:val="none" w:sz="0" w:space="0" w:color="auto"/>
                                      </w:divBdr>
                                      <w:divsChild>
                                        <w:div w:id="1353146809">
                                          <w:marLeft w:val="0"/>
                                          <w:marRight w:val="0"/>
                                          <w:marTop w:val="0"/>
                                          <w:marBottom w:val="0"/>
                                          <w:divBdr>
                                            <w:top w:val="none" w:sz="0" w:space="0" w:color="auto"/>
                                            <w:left w:val="none" w:sz="0" w:space="0" w:color="auto"/>
                                            <w:bottom w:val="none" w:sz="0" w:space="0" w:color="auto"/>
                                            <w:right w:val="none" w:sz="0" w:space="0" w:color="auto"/>
                                          </w:divBdr>
                                          <w:divsChild>
                                            <w:div w:id="1228687704">
                                              <w:marLeft w:val="0"/>
                                              <w:marRight w:val="0"/>
                                              <w:marTop w:val="0"/>
                                              <w:marBottom w:val="0"/>
                                              <w:divBdr>
                                                <w:top w:val="none" w:sz="0" w:space="0" w:color="auto"/>
                                                <w:left w:val="none" w:sz="0" w:space="0" w:color="auto"/>
                                                <w:bottom w:val="none" w:sz="0" w:space="0" w:color="auto"/>
                                                <w:right w:val="none" w:sz="0" w:space="0" w:color="auto"/>
                                              </w:divBdr>
                                            </w:div>
                                          </w:divsChild>
                                        </w:div>
                                        <w:div w:id="1150512185">
                                          <w:marLeft w:val="0"/>
                                          <w:marRight w:val="0"/>
                                          <w:marTop w:val="0"/>
                                          <w:marBottom w:val="0"/>
                                          <w:divBdr>
                                            <w:top w:val="none" w:sz="0" w:space="0" w:color="auto"/>
                                            <w:left w:val="none" w:sz="0" w:space="0" w:color="auto"/>
                                            <w:bottom w:val="none" w:sz="0" w:space="0" w:color="auto"/>
                                            <w:right w:val="none" w:sz="0" w:space="0" w:color="auto"/>
                                          </w:divBdr>
                                          <w:divsChild>
                                            <w:div w:id="1223256473">
                                              <w:marLeft w:val="0"/>
                                              <w:marRight w:val="0"/>
                                              <w:marTop w:val="0"/>
                                              <w:marBottom w:val="0"/>
                                              <w:divBdr>
                                                <w:top w:val="none" w:sz="0" w:space="0" w:color="auto"/>
                                                <w:left w:val="none" w:sz="0" w:space="0" w:color="auto"/>
                                                <w:bottom w:val="none" w:sz="0" w:space="0" w:color="auto"/>
                                                <w:right w:val="none" w:sz="0" w:space="0" w:color="auto"/>
                                              </w:divBdr>
                                            </w:div>
                                          </w:divsChild>
                                        </w:div>
                                        <w:div w:id="904560280">
                                          <w:marLeft w:val="0"/>
                                          <w:marRight w:val="0"/>
                                          <w:marTop w:val="0"/>
                                          <w:marBottom w:val="0"/>
                                          <w:divBdr>
                                            <w:top w:val="none" w:sz="0" w:space="0" w:color="auto"/>
                                            <w:left w:val="none" w:sz="0" w:space="0" w:color="auto"/>
                                            <w:bottom w:val="none" w:sz="0" w:space="0" w:color="auto"/>
                                            <w:right w:val="none" w:sz="0" w:space="0" w:color="auto"/>
                                          </w:divBdr>
                                          <w:divsChild>
                                            <w:div w:id="117160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70882137">
      <w:bodyDiv w:val="1"/>
      <w:marLeft w:val="0"/>
      <w:marRight w:val="0"/>
      <w:marTop w:val="0"/>
      <w:marBottom w:val="0"/>
      <w:divBdr>
        <w:top w:val="none" w:sz="0" w:space="0" w:color="auto"/>
        <w:left w:val="none" w:sz="0" w:space="0" w:color="auto"/>
        <w:bottom w:val="none" w:sz="0" w:space="0" w:color="auto"/>
        <w:right w:val="none" w:sz="0" w:space="0" w:color="auto"/>
      </w:divBdr>
      <w:divsChild>
        <w:div w:id="1271429621">
          <w:marLeft w:val="0"/>
          <w:marRight w:val="0"/>
          <w:marTop w:val="0"/>
          <w:marBottom w:val="0"/>
          <w:divBdr>
            <w:top w:val="none" w:sz="0" w:space="0" w:color="auto"/>
            <w:left w:val="none" w:sz="0" w:space="0" w:color="auto"/>
            <w:bottom w:val="none" w:sz="0" w:space="0" w:color="auto"/>
            <w:right w:val="none" w:sz="0" w:space="0" w:color="auto"/>
          </w:divBdr>
          <w:divsChild>
            <w:div w:id="325595778">
              <w:marLeft w:val="0"/>
              <w:marRight w:val="0"/>
              <w:marTop w:val="0"/>
              <w:marBottom w:val="0"/>
              <w:divBdr>
                <w:top w:val="none" w:sz="0" w:space="0" w:color="auto"/>
                <w:left w:val="none" w:sz="0" w:space="0" w:color="auto"/>
                <w:bottom w:val="none" w:sz="0" w:space="0" w:color="auto"/>
                <w:right w:val="none" w:sz="0" w:space="0" w:color="auto"/>
              </w:divBdr>
            </w:div>
          </w:divsChild>
        </w:div>
        <w:div w:id="630676526">
          <w:marLeft w:val="0"/>
          <w:marRight w:val="0"/>
          <w:marTop w:val="0"/>
          <w:marBottom w:val="0"/>
          <w:divBdr>
            <w:top w:val="none" w:sz="0" w:space="0" w:color="auto"/>
            <w:left w:val="none" w:sz="0" w:space="0" w:color="auto"/>
            <w:bottom w:val="none" w:sz="0" w:space="0" w:color="auto"/>
            <w:right w:val="none" w:sz="0" w:space="0" w:color="auto"/>
          </w:divBdr>
          <w:divsChild>
            <w:div w:id="2108112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2510</TotalTime>
  <Pages>30</Pages>
  <Words>9927</Words>
  <Characters>56587</Characters>
  <Application>Microsoft Office Word</Application>
  <DocSecurity>0</DocSecurity>
  <Lines>471</Lines>
  <Paragraphs>132</Paragraphs>
  <ScaleCrop>false</ScaleCrop>
  <HeadingPairs>
    <vt:vector size="2" baseType="variant">
      <vt:variant>
        <vt:lpstr>Title</vt:lpstr>
      </vt:variant>
      <vt:variant>
        <vt:i4>1</vt:i4>
      </vt:variant>
    </vt:vector>
  </HeadingPairs>
  <TitlesOfParts>
    <vt:vector size="1" baseType="lpstr">
      <vt:lpstr/>
    </vt:vector>
  </TitlesOfParts>
  <Company>Netcracker</Company>
  <LinksUpToDate>false</LinksUpToDate>
  <CharactersWithSpaces>66382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Bogdan Shevtcov</dc:creator>
  <cp:keywords/>
  <dc:description/>
  <cp:lastModifiedBy>Шевцов Богдан</cp:lastModifiedBy>
  <cp:revision>8</cp:revision>
  <dcterms:created xsi:type="dcterms:W3CDTF">2026-08-01T16:50:00Z</dcterms:created>
  <dcterms:modified xsi:type="dcterms:W3CDTF">2026-08-07T17:26:00Z</dcterms:modified>
</cp:coreProperties>
</file>