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EEDDC"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2.1 Why AI Stack Selection Is Difficult</w:t>
      </w:r>
    </w:p>
    <w:p w14:paraId="7517D5E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Selecting a technology stack has always been one of the central responsibilities of software architects. Database engines, programming languages, messaging systems, cloud providers, and deployment platforms all represent long-term architectural commitments whose consequences extend far beyond initial implementation. Artificial intelligence introduces the same decision-making process, but under conditions of substantially greater technological diversity and a significantly faster rate of change.</w:t>
      </w:r>
    </w:p>
    <w:p w14:paraId="2E76F07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Unlike traditional enterprise software, there is no universally accepted "standard" AI stack. Organizations can consume managed foundation models through commercial APIs, deploy open-weight models within their own infrastructure, combine multiple providers behind a common abstraction layer, or operate entirely self-hosted environments. Each approach presents distinct trade-offs in operational complexity, governance, performance, cost, and organizational flexibility. Consequently, stack selection cannot be reduced to choosing the most capable model or the most popular framework.</w:t>
      </w:r>
    </w:p>
    <w:p w14:paraId="23F3D96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complexity arises because modern AI platforms integrate technologies originating from several previously independent engineering domains. Cloud-native infrastructure, distributed systems, networking, security, information retrieval, data engineering, workflow orchestration, and machine learning all contribute architectural building blocks. Each discipline has its own ecosystem, release cadence, operational assumptions, and maturity level. Platform engineers must therefore evaluate not only individual technologies but also how those technologies interact as a coherent system.</w:t>
      </w:r>
    </w:p>
    <w:p w14:paraId="5CE7110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Recent developments within the cloud-native community illustrate this transition. Kubernetes, originally designed as a general-purpose container orchestration platform, now includes dedicated initiatives focused on AI inference workloads. The completion of Kubernetes Working Group Serving and the formation of the AI Gateway Working Group demonstrate that inference routing, AI-aware networking, accelerator scheduling, and policy enforcement are increasingly viewed as platform infrastructure rather than application-specific concerns. Rather than inventing entirely new infrastructure, these efforts extend established cloud-native abstractions such as Gateway API with capabilities tailored to AI workloads. </w:t>
      </w:r>
    </w:p>
    <w:p w14:paraId="27858C5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This evolution has important architectural implications. AI platforms no longer consist merely of applications invoking external model APIs. Increasingly, they include provider abstraction, intelligent routing, inference-aware load balancing, centralized policy enforcement, semantic request inspection, and standardized mechanisms for integrating multiple inference backends. Major cloud providers have similarly begun publishing reference architectures that expose multiple </w:t>
      </w:r>
      <w:r w:rsidRPr="009D5944">
        <w:rPr>
          <w:rFonts w:ascii="Times New Roman" w:eastAsia="Times New Roman" w:hAnsi="Times New Roman" w:cs="Times New Roman"/>
          <w:sz w:val="28"/>
          <w:szCs w:val="24"/>
        </w:rPr>
        <w:lastRenderedPageBreak/>
        <w:t xml:space="preserve">model-serving environments through a single logical endpoint while separating networking concerns from individual model implementations. </w:t>
      </w:r>
    </w:p>
    <w:p w14:paraId="4964D78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resulting architectural landscape differs substantially from the software ecosystems many engineers encountered only a few years ago. Instead of selecting one framework and one deployment platform, organizations now make decisions across multiple architectural dimensions simultaneously:</w:t>
      </w:r>
    </w:p>
    <w:p w14:paraId="3CADBA5A" w14:textId="77777777" w:rsidR="009D5944" w:rsidRPr="008652E9" w:rsidRDefault="009D5944" w:rsidP="009D5944">
      <w:pPr>
        <w:numPr>
          <w:ilvl w:val="0"/>
          <w:numId w:val="1"/>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How should models be hosted? </w:t>
      </w:r>
    </w:p>
    <w:p w14:paraId="6FD2D3C7" w14:textId="77777777" w:rsidR="009D5944" w:rsidRPr="008652E9" w:rsidRDefault="009D5944" w:rsidP="009D5944">
      <w:pPr>
        <w:numPr>
          <w:ilvl w:val="0"/>
          <w:numId w:val="1"/>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Which providers should be supported? </w:t>
      </w:r>
    </w:p>
    <w:p w14:paraId="06136545" w14:textId="77777777" w:rsidR="009D5944" w:rsidRPr="008652E9" w:rsidRDefault="009D5944" w:rsidP="009D5944">
      <w:pPr>
        <w:numPr>
          <w:ilvl w:val="0"/>
          <w:numId w:val="1"/>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Where should enterprise data remain? </w:t>
      </w:r>
    </w:p>
    <w:p w14:paraId="3120B1CD" w14:textId="77777777" w:rsidR="009D5944" w:rsidRPr="008652E9" w:rsidRDefault="009D5944" w:rsidP="009D5944">
      <w:pPr>
        <w:numPr>
          <w:ilvl w:val="0"/>
          <w:numId w:val="1"/>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How should inference requests be routed? </w:t>
      </w:r>
    </w:p>
    <w:p w14:paraId="4E51E5FB" w14:textId="77777777" w:rsidR="009D5944" w:rsidRPr="008652E9" w:rsidRDefault="009D5944" w:rsidP="009D5944">
      <w:pPr>
        <w:numPr>
          <w:ilvl w:val="0"/>
          <w:numId w:val="1"/>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Which operational responsibilities should remain internal? </w:t>
      </w:r>
    </w:p>
    <w:p w14:paraId="36F0A63A" w14:textId="77777777" w:rsidR="009D5944" w:rsidRPr="008652E9" w:rsidRDefault="009D5944" w:rsidP="009D5944">
      <w:pPr>
        <w:numPr>
          <w:ilvl w:val="0"/>
          <w:numId w:val="1"/>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How much infrastructure should be managed directly? </w:t>
      </w:r>
    </w:p>
    <w:p w14:paraId="4925C2F5" w14:textId="77777777" w:rsidR="009D5944" w:rsidRPr="008652E9" w:rsidRDefault="009D5944" w:rsidP="009D5944">
      <w:pPr>
        <w:numPr>
          <w:ilvl w:val="0"/>
          <w:numId w:val="1"/>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How easily should individual technologies be replaceable? </w:t>
      </w:r>
    </w:p>
    <w:p w14:paraId="48B4FA3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None of these questions can be answered independently. Choosing a deployment model influences networking architecture. Networking decisions influence security controls. Security requirements affect provider selection. Provider selection constrains latency, cost, and regulatory compliance. AI stack selection is therefore fundamentally a systems architecture problem rather than a procurement exercise.</w:t>
      </w:r>
    </w:p>
    <w:p w14:paraId="61EFAED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Another factor contributing to complexity is the different rates at which technologies evolve. Networking protocols, authentication standards, relational databases, and Kubernetes have accumulated years of operational experience and generally evolve through incremental refinement. In contrast, foundation models, inference engines, evaluation frameworks, and agent runtimes continue to change rapidly. Successful architectures must therefore accommodate both stable and rapidly evolving components simultaneously.</w:t>
      </w:r>
    </w:p>
    <w:p w14:paraId="4313B4B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distinction changes the objective of stack selection. Rather than attempting to identify the "best" collection of products, architects should design platforms capable of incorporating future technological improvements without requiring widespread redesign. The architecture should optimize for controlled evolution rather than technological permanence.</w:t>
      </w:r>
    </w:p>
    <w:p w14:paraId="6609A4C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2-1. Primary Sources of Complexity in AI Stack Selection</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3967"/>
        <w:gridCol w:w="3634"/>
      </w:tblGrid>
      <w:tr w:rsidR="009D5944" w:rsidRPr="008652E9" w14:paraId="1B8AC433" w14:textId="77777777" w:rsidTr="008652E9">
        <w:trPr>
          <w:tblHeader/>
          <w:tblCellSpacing w:w="15" w:type="dxa"/>
        </w:trPr>
        <w:tc>
          <w:tcPr>
            <w:tcW w:w="0" w:type="auto"/>
            <w:vAlign w:val="center"/>
            <w:hideMark/>
          </w:tcPr>
          <w:p w14:paraId="1B044D21" w14:textId="77777777" w:rsidR="009D5944" w:rsidRPr="008652E9" w:rsidRDefault="009D5944" w:rsidP="009D5944">
            <w:pPr>
              <w:jc w:val="center"/>
              <w:rPr>
                <w:rFonts w:ascii="Times New Roman" w:eastAsia="Calibri" w:hAnsi="Times New Roman" w:cs="Times New Roman"/>
                <w:b/>
                <w:bCs/>
                <w:szCs w:val="20"/>
              </w:rPr>
            </w:pPr>
            <w:r w:rsidRPr="008652E9">
              <w:rPr>
                <w:rFonts w:ascii="Times New Roman" w:eastAsia="Calibri" w:hAnsi="Times New Roman" w:cs="Times New Roman"/>
                <w:b/>
                <w:bCs/>
                <w:szCs w:val="20"/>
              </w:rPr>
              <w:t>Source of Complexity</w:t>
            </w:r>
          </w:p>
        </w:tc>
        <w:tc>
          <w:tcPr>
            <w:tcW w:w="0" w:type="auto"/>
            <w:vAlign w:val="center"/>
            <w:hideMark/>
          </w:tcPr>
          <w:p w14:paraId="0F0F99BF" w14:textId="77777777" w:rsidR="009D5944" w:rsidRPr="008652E9" w:rsidRDefault="009D5944" w:rsidP="009D5944">
            <w:pPr>
              <w:jc w:val="center"/>
              <w:rPr>
                <w:rFonts w:ascii="Times New Roman" w:eastAsia="Calibri" w:hAnsi="Times New Roman" w:cs="Times New Roman"/>
                <w:b/>
                <w:bCs/>
                <w:szCs w:val="20"/>
              </w:rPr>
            </w:pPr>
            <w:r w:rsidRPr="008652E9">
              <w:rPr>
                <w:rFonts w:ascii="Times New Roman" w:eastAsia="Calibri" w:hAnsi="Times New Roman" w:cs="Times New Roman"/>
                <w:b/>
                <w:bCs/>
                <w:szCs w:val="20"/>
              </w:rPr>
              <w:t>Why It Exists</w:t>
            </w:r>
          </w:p>
        </w:tc>
        <w:tc>
          <w:tcPr>
            <w:tcW w:w="0" w:type="auto"/>
            <w:vAlign w:val="center"/>
            <w:hideMark/>
          </w:tcPr>
          <w:p w14:paraId="6489F50C" w14:textId="77777777" w:rsidR="009D5944" w:rsidRPr="008652E9" w:rsidRDefault="009D5944" w:rsidP="009D5944">
            <w:pPr>
              <w:jc w:val="center"/>
              <w:rPr>
                <w:rFonts w:ascii="Times New Roman" w:eastAsia="Calibri" w:hAnsi="Times New Roman" w:cs="Times New Roman"/>
                <w:b/>
                <w:bCs/>
                <w:szCs w:val="20"/>
              </w:rPr>
            </w:pPr>
            <w:r w:rsidRPr="008652E9">
              <w:rPr>
                <w:rFonts w:ascii="Times New Roman" w:eastAsia="Calibri" w:hAnsi="Times New Roman" w:cs="Times New Roman"/>
                <w:b/>
                <w:bCs/>
                <w:szCs w:val="20"/>
              </w:rPr>
              <w:t>Architectural Consequences</w:t>
            </w:r>
          </w:p>
        </w:tc>
      </w:tr>
      <w:tr w:rsidR="009D5944" w:rsidRPr="008652E9" w14:paraId="32D1E823" w14:textId="77777777" w:rsidTr="008652E9">
        <w:trPr>
          <w:tblCellSpacing w:w="15" w:type="dxa"/>
        </w:trPr>
        <w:tc>
          <w:tcPr>
            <w:tcW w:w="0" w:type="auto"/>
            <w:vAlign w:val="center"/>
            <w:hideMark/>
          </w:tcPr>
          <w:p w14:paraId="35958F27"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Rapid model evolution</w:t>
            </w:r>
          </w:p>
        </w:tc>
        <w:tc>
          <w:tcPr>
            <w:tcW w:w="0" w:type="auto"/>
            <w:vAlign w:val="center"/>
            <w:hideMark/>
          </w:tcPr>
          <w:p w14:paraId="45A18E9A"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Foundation models improve frequently and new providers regularly enter the market.</w:t>
            </w:r>
          </w:p>
        </w:tc>
        <w:tc>
          <w:tcPr>
            <w:tcW w:w="0" w:type="auto"/>
            <w:vAlign w:val="center"/>
            <w:hideMark/>
          </w:tcPr>
          <w:p w14:paraId="61E89611"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Architectures should isolate applications from provider-specific interfaces through abstraction layers.</w:t>
            </w:r>
          </w:p>
        </w:tc>
      </w:tr>
      <w:tr w:rsidR="009D5944" w:rsidRPr="008652E9" w14:paraId="5F7B5742" w14:textId="77777777" w:rsidTr="008652E9">
        <w:trPr>
          <w:tblCellSpacing w:w="15" w:type="dxa"/>
        </w:trPr>
        <w:tc>
          <w:tcPr>
            <w:tcW w:w="0" w:type="auto"/>
            <w:vAlign w:val="center"/>
            <w:hideMark/>
          </w:tcPr>
          <w:p w14:paraId="39C35803"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lastRenderedPageBreak/>
              <w:t>Multiple deployment options</w:t>
            </w:r>
          </w:p>
        </w:tc>
        <w:tc>
          <w:tcPr>
            <w:tcW w:w="0" w:type="auto"/>
            <w:vAlign w:val="center"/>
            <w:hideMark/>
          </w:tcPr>
          <w:p w14:paraId="16144801"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Commercial APIs, self-hosted inference, hybrid deployments, and edge environments each satisfy different requirements.</w:t>
            </w:r>
          </w:p>
        </w:tc>
        <w:tc>
          <w:tcPr>
            <w:tcW w:w="0" w:type="auto"/>
            <w:vAlign w:val="center"/>
            <w:hideMark/>
          </w:tcPr>
          <w:p w14:paraId="231B0AD5"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Deployment architecture becomes a primary design decision rather than an implementation detail.</w:t>
            </w:r>
          </w:p>
        </w:tc>
      </w:tr>
      <w:tr w:rsidR="009D5944" w:rsidRPr="008652E9" w14:paraId="79C7E9D1" w14:textId="77777777" w:rsidTr="008652E9">
        <w:trPr>
          <w:tblCellSpacing w:w="15" w:type="dxa"/>
        </w:trPr>
        <w:tc>
          <w:tcPr>
            <w:tcW w:w="0" w:type="auto"/>
            <w:vAlign w:val="center"/>
            <w:hideMark/>
          </w:tcPr>
          <w:p w14:paraId="19CF5C91"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Cross-disciplinary technologies</w:t>
            </w:r>
          </w:p>
        </w:tc>
        <w:tc>
          <w:tcPr>
            <w:tcW w:w="0" w:type="auto"/>
            <w:vAlign w:val="center"/>
            <w:hideMark/>
          </w:tcPr>
          <w:p w14:paraId="431ED522"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AI platforms combine infrastructure, networking, security, retrieval, orchestration, and inference systems.</w:t>
            </w:r>
          </w:p>
        </w:tc>
        <w:tc>
          <w:tcPr>
            <w:tcW w:w="0" w:type="auto"/>
            <w:vAlign w:val="center"/>
            <w:hideMark/>
          </w:tcPr>
          <w:p w14:paraId="10E34482"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Platform design requires coordination across multiple engineering domains.</w:t>
            </w:r>
          </w:p>
        </w:tc>
      </w:tr>
      <w:tr w:rsidR="009D5944" w:rsidRPr="008652E9" w14:paraId="6D312598" w14:textId="77777777" w:rsidTr="008652E9">
        <w:trPr>
          <w:tblCellSpacing w:w="15" w:type="dxa"/>
        </w:trPr>
        <w:tc>
          <w:tcPr>
            <w:tcW w:w="0" w:type="auto"/>
            <w:vAlign w:val="center"/>
            <w:hideMark/>
          </w:tcPr>
          <w:p w14:paraId="0561F8C8"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Regulatory diversity</w:t>
            </w:r>
          </w:p>
        </w:tc>
        <w:tc>
          <w:tcPr>
            <w:tcW w:w="0" w:type="auto"/>
            <w:vAlign w:val="center"/>
            <w:hideMark/>
          </w:tcPr>
          <w:p w14:paraId="1A91BBE4"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Privacy, sovereignty, and industry regulations vary across jurisdictions.</w:t>
            </w:r>
          </w:p>
        </w:tc>
        <w:tc>
          <w:tcPr>
            <w:tcW w:w="0" w:type="auto"/>
            <w:vAlign w:val="center"/>
            <w:hideMark/>
          </w:tcPr>
          <w:p w14:paraId="63E1EC3F"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Compliance requirements often influence hosting models more strongly than technical preferences.</w:t>
            </w:r>
          </w:p>
        </w:tc>
      </w:tr>
      <w:tr w:rsidR="009D5944" w:rsidRPr="008652E9" w14:paraId="2AB7125C" w14:textId="77777777" w:rsidTr="008652E9">
        <w:trPr>
          <w:tblCellSpacing w:w="15" w:type="dxa"/>
        </w:trPr>
        <w:tc>
          <w:tcPr>
            <w:tcW w:w="0" w:type="auto"/>
            <w:vAlign w:val="center"/>
            <w:hideMark/>
          </w:tcPr>
          <w:p w14:paraId="117C29F7"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Hardware specialization</w:t>
            </w:r>
          </w:p>
        </w:tc>
        <w:tc>
          <w:tcPr>
            <w:tcW w:w="0" w:type="auto"/>
            <w:vAlign w:val="center"/>
            <w:hideMark/>
          </w:tcPr>
          <w:p w14:paraId="63629204"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Accelerator availability, utilization, and scheduling significantly affect inference performance.</w:t>
            </w:r>
          </w:p>
        </w:tc>
        <w:tc>
          <w:tcPr>
            <w:tcW w:w="0" w:type="auto"/>
            <w:vAlign w:val="center"/>
            <w:hideMark/>
          </w:tcPr>
          <w:p w14:paraId="57888083"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Infrastructure planning becomes tightly coupled to serving architecture.</w:t>
            </w:r>
          </w:p>
        </w:tc>
      </w:tr>
      <w:tr w:rsidR="009D5944" w:rsidRPr="008652E9" w14:paraId="7FE24469" w14:textId="77777777" w:rsidTr="008652E9">
        <w:trPr>
          <w:tblCellSpacing w:w="15" w:type="dxa"/>
        </w:trPr>
        <w:tc>
          <w:tcPr>
            <w:tcW w:w="0" w:type="auto"/>
            <w:vAlign w:val="center"/>
            <w:hideMark/>
          </w:tcPr>
          <w:p w14:paraId="4C48150F"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Operational maturity differences</w:t>
            </w:r>
          </w:p>
        </w:tc>
        <w:tc>
          <w:tcPr>
            <w:tcW w:w="0" w:type="auto"/>
            <w:vAlign w:val="center"/>
            <w:hideMark/>
          </w:tcPr>
          <w:p w14:paraId="045CBECA"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Some technologies have accumulated years of production experience while others remain experimental.</w:t>
            </w:r>
          </w:p>
        </w:tc>
        <w:tc>
          <w:tcPr>
            <w:tcW w:w="0" w:type="auto"/>
            <w:vAlign w:val="center"/>
            <w:hideMark/>
          </w:tcPr>
          <w:p w14:paraId="750FF2CB" w14:textId="77777777" w:rsidR="009D5944" w:rsidRPr="008652E9" w:rsidRDefault="009D5944" w:rsidP="009D5944">
            <w:pPr>
              <w:rPr>
                <w:rFonts w:ascii="Times New Roman" w:eastAsia="Calibri" w:hAnsi="Times New Roman" w:cs="Times New Roman"/>
                <w:szCs w:val="20"/>
              </w:rPr>
            </w:pPr>
            <w:r w:rsidRPr="008652E9">
              <w:rPr>
                <w:rFonts w:ascii="Times New Roman" w:eastAsia="Calibri" w:hAnsi="Times New Roman" w:cs="Times New Roman"/>
                <w:szCs w:val="20"/>
              </w:rPr>
              <w:t>Component maturity should be evaluated alongside functionality when selecting platform technologies.</w:t>
            </w:r>
          </w:p>
        </w:tc>
      </w:tr>
    </w:tbl>
    <w:p w14:paraId="26677B4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Throughout this chapter, stack selection is treated as an architectural process driven by engineering requirements rather than by individual products. Technologies will inevitably change over the lifetime of an AI platform. A well-designed architecture should allow those changes to occur with minimal disruption.</w:t>
      </w:r>
    </w:p>
    <w:p w14:paraId="6AF18532" w14:textId="77777777" w:rsidR="009D5944" w:rsidRPr="009D5944" w:rsidRDefault="008652E9" w:rsidP="009D5944">
      <w:pPr>
        <w:rPr>
          <w:rFonts w:ascii="Calibri" w:eastAsia="Calibri" w:hAnsi="Calibri" w:cs="Times New Roman"/>
          <w:sz w:val="24"/>
        </w:rPr>
      </w:pPr>
      <w:r>
        <w:rPr>
          <w:rFonts w:ascii="Calibri" w:eastAsia="Calibri" w:hAnsi="Calibri" w:cs="Times New Roman"/>
          <w:sz w:val="24"/>
        </w:rPr>
        <w:pict w14:anchorId="524981A6">
          <v:rect id="_x0000_i1025" style="width:0;height:1.5pt" o:hralign="center" o:hrstd="t" o:hr="t" fillcolor="#a0a0a0" stroked="f"/>
        </w:pict>
      </w:r>
    </w:p>
    <w:p w14:paraId="4E8FBBA9"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2.2 Requirements Before Technology</w:t>
      </w:r>
    </w:p>
    <w:p w14:paraId="7B1F1CD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One of the most common causes of architectural instability is selecting technologies before understanding the requirements they are expected to satisfy. This problem is not unique to AI systems, but the pace of innovation within the AI ecosystem makes the consequences particularly visible. Organizations frequently begin projects by comparing models, orchestration frameworks, or vector databases before they have clearly defined latency objectives, regulatory constraints, operational capabilities, or long-term maintenance expectations.</w:t>
      </w:r>
    </w:p>
    <w:p w14:paraId="73A1FA6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Experienced platform engineers reverse this process.</w:t>
      </w:r>
    </w:p>
    <w:p w14:paraId="2811534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Rather than beginning with products, they begin with requirements.</w:t>
      </w:r>
    </w:p>
    <w:p w14:paraId="3BB3EA3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This distinction appears deceptively simple, yet it fundamentally changes architectural outcomes. Requirements describe the characteristics that a system must exhibit. Architecture defines how those characteristics will be achieved. </w:t>
      </w:r>
      <w:r w:rsidRPr="009D5944">
        <w:rPr>
          <w:rFonts w:ascii="Times New Roman" w:eastAsia="Times New Roman" w:hAnsi="Times New Roman" w:cs="Times New Roman"/>
          <w:sz w:val="28"/>
          <w:szCs w:val="24"/>
        </w:rPr>
        <w:lastRenderedPageBreak/>
        <w:t>Technology selection then becomes the implementation of architectural decisions rather than the starting point of the design process.</w:t>
      </w:r>
    </w:p>
    <w:p w14:paraId="002CEE4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relationship can therefore be summarized as:</w:t>
      </w:r>
    </w:p>
    <w:p w14:paraId="56BE4A1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Requirements → Architecture → Technology → Implementation</w:t>
      </w:r>
    </w:p>
    <w:p w14:paraId="5D2D8A4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Reversing this sequence often produces platforms optimized around product capabilities instead of organizational needs. Such systems may initially demonstrate impressive technical features while remaining difficult to govern, operate, scale, or evolve.</w:t>
      </w:r>
    </w:p>
    <w:p w14:paraId="371ED54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Requirements influencing AI platforms extend well beyond application functionality. Functional requirements describe what the system should accomplish—document analysis, conversational assistance, software engineering support, multimodal processing, or workflow automation. While these capabilities determine the broad scope of the platform, they rarely determine its architecture by themselves.</w:t>
      </w:r>
    </w:p>
    <w:p w14:paraId="34E8FEE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Operational requirements frequently exert greater influence. Response latency, expected request volume, service availability, geographic distribution, disaster recovery objectives, and maintenance windows all shape infrastructure decisions. A platform supporting internal experimentation may tolerate temporary service interruptions that would be unacceptable for customer-facing production services. Similarly, an application processing thousands of concurrent inference requests requires different architectural characteristics than one serving a small number of analysts.</w:t>
      </w:r>
    </w:p>
    <w:p w14:paraId="6988A6C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Security and governance requirements introduce another dimension. Organizations operating in regulated industries may require strict control over data residency, auditability, access management, and policy enforcement. These considerations often determine whether commercial APIs, private cloud deployments, or self-hosted inference environments are appropriate. The architectural implications frequently extend beyond model selection to include networking, identity management, storage, and operational governance. Frameworks such as the NIST AI Risk Management Framework emphasize that trustworthy AI systems require consideration of governance, risk management, and lifecycle processes alongside technical capability. </w:t>
      </w:r>
    </w:p>
    <w:p w14:paraId="3A733AF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Organizational capabilities also influence technology selection. A platform operated by a small engineering team with limited experience managing GPU infrastructure may reasonably prioritize managed inference services despite reduced flexibility. Conversely, an organization with established cloud-native operations, platform engineering expertise, and dedicated infrastructure teams may accept greater operational responsibility in exchange for increased deployment control or regulatory compliance.</w:t>
      </w:r>
    </w:p>
    <w:p w14:paraId="71A92C2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Financial constraints likewise extend beyond direct infrastructure costs. Engineering effort, operational staffing, vendor contracts, migration complexity, support agreements, and long-term maintenance all contribute to the total cost of ownership. Although detailed cost engineering is deferred until Chapter 17, it is important to recognize that architectural decisions frequently determine the majority of long-term operational expenses.</w:t>
      </w:r>
    </w:p>
    <w:p w14:paraId="020FD6F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Requirements also interact with one another. Optimizing for minimum latency may require regional deployments that increase infrastructure cost. Maximizing deployment flexibility may increase operational complexity. Strengthening governance controls may introduce additional processing overhead. Architecture therefore becomes an exercise in balancing competing objectives rather than maximizing any single metric.</w:t>
      </w:r>
    </w:p>
    <w:p w14:paraId="34B7ADC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2-2. Requirement Categories Influencing AI Platform Architecture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3225"/>
        <w:gridCol w:w="4181"/>
      </w:tblGrid>
      <w:tr w:rsidR="009D5944" w:rsidRPr="008652E9" w14:paraId="0F3925DB" w14:textId="77777777" w:rsidTr="008652E9">
        <w:trPr>
          <w:tblHeader/>
          <w:tblCellSpacing w:w="15" w:type="dxa"/>
        </w:trPr>
        <w:tc>
          <w:tcPr>
            <w:tcW w:w="0" w:type="auto"/>
            <w:vAlign w:val="center"/>
            <w:hideMark/>
          </w:tcPr>
          <w:p w14:paraId="0593A862"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Requirement Category</w:t>
            </w:r>
          </w:p>
        </w:tc>
        <w:tc>
          <w:tcPr>
            <w:tcW w:w="0" w:type="auto"/>
            <w:vAlign w:val="center"/>
            <w:hideMark/>
          </w:tcPr>
          <w:p w14:paraId="0CAF7B57"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Typical Questions</w:t>
            </w:r>
          </w:p>
        </w:tc>
        <w:tc>
          <w:tcPr>
            <w:tcW w:w="0" w:type="auto"/>
            <w:vAlign w:val="center"/>
            <w:hideMark/>
          </w:tcPr>
          <w:p w14:paraId="431B73E0"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Primary Architectural Impact</w:t>
            </w:r>
          </w:p>
        </w:tc>
      </w:tr>
      <w:tr w:rsidR="009D5944" w:rsidRPr="008652E9" w14:paraId="55EF9ECA" w14:textId="77777777" w:rsidTr="008652E9">
        <w:trPr>
          <w:tblCellSpacing w:w="15" w:type="dxa"/>
        </w:trPr>
        <w:tc>
          <w:tcPr>
            <w:tcW w:w="0" w:type="auto"/>
            <w:vAlign w:val="center"/>
            <w:hideMark/>
          </w:tcPr>
          <w:p w14:paraId="1E6DEEF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Functional</w:t>
            </w:r>
          </w:p>
        </w:tc>
        <w:tc>
          <w:tcPr>
            <w:tcW w:w="0" w:type="auto"/>
            <w:vAlign w:val="center"/>
            <w:hideMark/>
          </w:tcPr>
          <w:p w14:paraId="7A765518"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What AI capabilities must the platform provide?</w:t>
            </w:r>
          </w:p>
        </w:tc>
        <w:tc>
          <w:tcPr>
            <w:tcW w:w="0" w:type="auto"/>
            <w:vAlign w:val="center"/>
            <w:hideMark/>
          </w:tcPr>
          <w:p w14:paraId="28AB7D38"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Influences model capabilities, orchestration patterns, and knowledge systems.</w:t>
            </w:r>
          </w:p>
        </w:tc>
      </w:tr>
      <w:tr w:rsidR="009D5944" w:rsidRPr="008652E9" w14:paraId="34417BBE" w14:textId="77777777" w:rsidTr="008652E9">
        <w:trPr>
          <w:tblCellSpacing w:w="15" w:type="dxa"/>
        </w:trPr>
        <w:tc>
          <w:tcPr>
            <w:tcW w:w="0" w:type="auto"/>
            <w:vAlign w:val="center"/>
            <w:hideMark/>
          </w:tcPr>
          <w:p w14:paraId="64AB963B"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Operational</w:t>
            </w:r>
          </w:p>
        </w:tc>
        <w:tc>
          <w:tcPr>
            <w:tcW w:w="0" w:type="auto"/>
            <w:vAlign w:val="center"/>
            <w:hideMark/>
          </w:tcPr>
          <w:p w14:paraId="25AF300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What latency, availability, and scalability objectives must be achieved?</w:t>
            </w:r>
          </w:p>
        </w:tc>
        <w:tc>
          <w:tcPr>
            <w:tcW w:w="0" w:type="auto"/>
            <w:vAlign w:val="center"/>
            <w:hideMark/>
          </w:tcPr>
          <w:p w14:paraId="4CD220CF"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Determines deployment topology, redundancy, and infrastructure sizing.</w:t>
            </w:r>
          </w:p>
        </w:tc>
      </w:tr>
      <w:tr w:rsidR="009D5944" w:rsidRPr="008652E9" w14:paraId="568507A0" w14:textId="77777777" w:rsidTr="008652E9">
        <w:trPr>
          <w:tblCellSpacing w:w="15" w:type="dxa"/>
        </w:trPr>
        <w:tc>
          <w:tcPr>
            <w:tcW w:w="0" w:type="auto"/>
            <w:vAlign w:val="center"/>
            <w:hideMark/>
          </w:tcPr>
          <w:p w14:paraId="4F34F9FF"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Security and Governance</w:t>
            </w:r>
          </w:p>
        </w:tc>
        <w:tc>
          <w:tcPr>
            <w:tcW w:w="0" w:type="auto"/>
            <w:vAlign w:val="center"/>
            <w:hideMark/>
          </w:tcPr>
          <w:p w14:paraId="3E677A89"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What policies regulate access, data handling, and auditing?</w:t>
            </w:r>
          </w:p>
        </w:tc>
        <w:tc>
          <w:tcPr>
            <w:tcW w:w="0" w:type="auto"/>
            <w:vAlign w:val="center"/>
            <w:hideMark/>
          </w:tcPr>
          <w:p w14:paraId="22D4BDE0"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Influences identity management, networking, deployment boundaries, and policy enforcement.</w:t>
            </w:r>
          </w:p>
        </w:tc>
      </w:tr>
      <w:tr w:rsidR="009D5944" w:rsidRPr="008652E9" w14:paraId="3EEE9A9C" w14:textId="77777777" w:rsidTr="008652E9">
        <w:trPr>
          <w:tblCellSpacing w:w="15" w:type="dxa"/>
        </w:trPr>
        <w:tc>
          <w:tcPr>
            <w:tcW w:w="0" w:type="auto"/>
            <w:vAlign w:val="center"/>
            <w:hideMark/>
          </w:tcPr>
          <w:p w14:paraId="4882696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Regulatory and Compliance</w:t>
            </w:r>
          </w:p>
        </w:tc>
        <w:tc>
          <w:tcPr>
            <w:tcW w:w="0" w:type="auto"/>
            <w:vAlign w:val="center"/>
            <w:hideMark/>
          </w:tcPr>
          <w:p w14:paraId="4E11896D"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Where may data be processed and stored? Which regulations apply?</w:t>
            </w:r>
          </w:p>
        </w:tc>
        <w:tc>
          <w:tcPr>
            <w:tcW w:w="0" w:type="auto"/>
            <w:vAlign w:val="center"/>
            <w:hideMark/>
          </w:tcPr>
          <w:p w14:paraId="11D1F69D"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Affects hosting strategy, regional deployment, and provider selection.</w:t>
            </w:r>
          </w:p>
        </w:tc>
      </w:tr>
      <w:tr w:rsidR="009D5944" w:rsidRPr="008652E9" w14:paraId="53F314FA" w14:textId="77777777" w:rsidTr="008652E9">
        <w:trPr>
          <w:tblCellSpacing w:w="15" w:type="dxa"/>
        </w:trPr>
        <w:tc>
          <w:tcPr>
            <w:tcW w:w="0" w:type="auto"/>
            <w:vAlign w:val="center"/>
            <w:hideMark/>
          </w:tcPr>
          <w:p w14:paraId="62AE27A4"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Organizational</w:t>
            </w:r>
          </w:p>
        </w:tc>
        <w:tc>
          <w:tcPr>
            <w:tcW w:w="0" w:type="auto"/>
            <w:vAlign w:val="center"/>
            <w:hideMark/>
          </w:tcPr>
          <w:p w14:paraId="4E3397AB"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What operational expertise and staffing are available?</w:t>
            </w:r>
          </w:p>
        </w:tc>
        <w:tc>
          <w:tcPr>
            <w:tcW w:w="0" w:type="auto"/>
            <w:vAlign w:val="center"/>
            <w:hideMark/>
          </w:tcPr>
          <w:p w14:paraId="2C4E53D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Determines the balance between managed services and self-operated infrastructure.</w:t>
            </w:r>
          </w:p>
        </w:tc>
      </w:tr>
      <w:tr w:rsidR="009D5944" w:rsidRPr="008652E9" w14:paraId="5F7B5926" w14:textId="77777777" w:rsidTr="008652E9">
        <w:trPr>
          <w:tblCellSpacing w:w="15" w:type="dxa"/>
        </w:trPr>
        <w:tc>
          <w:tcPr>
            <w:tcW w:w="0" w:type="auto"/>
            <w:vAlign w:val="center"/>
            <w:hideMark/>
          </w:tcPr>
          <w:p w14:paraId="2F78ABAA"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Financial</w:t>
            </w:r>
          </w:p>
        </w:tc>
        <w:tc>
          <w:tcPr>
            <w:tcW w:w="0" w:type="auto"/>
            <w:vAlign w:val="center"/>
            <w:hideMark/>
          </w:tcPr>
          <w:p w14:paraId="435E615D"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What budget constraints and long-term operating costs are acceptable?</w:t>
            </w:r>
          </w:p>
        </w:tc>
        <w:tc>
          <w:tcPr>
            <w:tcW w:w="0" w:type="auto"/>
            <w:vAlign w:val="center"/>
            <w:hideMark/>
          </w:tcPr>
          <w:p w14:paraId="16CA0700"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Shapes deployment models, provider choices, and infrastructure ownership.</w:t>
            </w:r>
          </w:p>
        </w:tc>
      </w:tr>
      <w:tr w:rsidR="009D5944" w:rsidRPr="008652E9" w14:paraId="5E00E5A9" w14:textId="77777777" w:rsidTr="008652E9">
        <w:trPr>
          <w:tblCellSpacing w:w="15" w:type="dxa"/>
        </w:trPr>
        <w:tc>
          <w:tcPr>
            <w:tcW w:w="0" w:type="auto"/>
            <w:vAlign w:val="center"/>
            <w:hideMark/>
          </w:tcPr>
          <w:p w14:paraId="1A17F1F4"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Technology Strategy</w:t>
            </w:r>
          </w:p>
        </w:tc>
        <w:tc>
          <w:tcPr>
            <w:tcW w:w="0" w:type="auto"/>
            <w:vAlign w:val="center"/>
            <w:hideMark/>
          </w:tcPr>
          <w:p w14:paraId="23A9EDB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How frequently should components be replaceable or upgraded?</w:t>
            </w:r>
          </w:p>
        </w:tc>
        <w:tc>
          <w:tcPr>
            <w:tcW w:w="0" w:type="auto"/>
            <w:vAlign w:val="center"/>
            <w:hideMark/>
          </w:tcPr>
          <w:p w14:paraId="49124C2B"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Encourages modular architectures and provider abstraction.</w:t>
            </w:r>
          </w:p>
        </w:tc>
      </w:tr>
    </w:tbl>
    <w:p w14:paraId="63776EA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An important consequence follows from this framework: identical applications deployed by different organizations may legitimately require different </w:t>
      </w:r>
      <w:r w:rsidRPr="009D5944">
        <w:rPr>
          <w:rFonts w:ascii="Times New Roman" w:eastAsia="Times New Roman" w:hAnsi="Times New Roman" w:cs="Times New Roman"/>
          <w:sz w:val="28"/>
          <w:szCs w:val="24"/>
        </w:rPr>
        <w:lastRenderedPageBreak/>
        <w:t>architectures. A startup prioritizing rapid feature delivery, a multinational enterprise operating across several regulatory jurisdictions, and a government agency managing classified information may all build conversational AI systems while arriving at fundamentally different platform designs. Their architectural decisions reflect different requirements rather than different levels of engineering competence.</w:t>
      </w:r>
    </w:p>
    <w:p w14:paraId="77DC792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For this reason, the remainder of the chapter avoids presenting any technology stack as universally preferable. Instead, subsequent sections examine the architectural dimensions that allow organizations to evaluate technologies according to their own operational requirements.</w:t>
      </w:r>
    </w:p>
    <w:p w14:paraId="60206C09" w14:textId="77777777" w:rsidR="009D5944" w:rsidRPr="009D5944" w:rsidRDefault="008652E9" w:rsidP="009D5944">
      <w:pPr>
        <w:rPr>
          <w:rFonts w:ascii="Calibri" w:eastAsia="Calibri" w:hAnsi="Calibri" w:cs="Times New Roman"/>
          <w:sz w:val="24"/>
        </w:rPr>
      </w:pPr>
      <w:r>
        <w:rPr>
          <w:rFonts w:ascii="Calibri" w:eastAsia="Calibri" w:hAnsi="Calibri" w:cs="Times New Roman"/>
          <w:sz w:val="24"/>
        </w:rPr>
        <w:pict w14:anchorId="68FF9199">
          <v:rect id="_x0000_i1026" style="width:0;height:1.5pt" o:hralign="center" o:hrstd="t" o:hr="t" fillcolor="#a0a0a0" stroked="f"/>
        </w:pict>
      </w:r>
    </w:p>
    <w:p w14:paraId="56DD8F2D"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2.3 Architectural Dimensions</w:t>
      </w:r>
    </w:p>
    <w:p w14:paraId="0CCA9F7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Once system requirements have been established, the next step is to determine the architectural dimensions along which design decisions must be made. These dimensions provide a structured framework for comparing alternative technology stacks. Rather than asking whether one product is superior to another, architects evaluate how different combinations of technologies satisfy the requirements introduced in the previous section.</w:t>
      </w:r>
    </w:p>
    <w:p w14:paraId="54557F1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An architectural dimension represents an area in which meaningful design choices exist. Different organizations may legitimately select different solutions while still producing well-engineered platforms. The objective is not uniformity but informed decision-making.</w:t>
      </w:r>
    </w:p>
    <w:p w14:paraId="6EF85DE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first dimension concerns </w:t>
      </w:r>
      <w:r w:rsidRPr="009D5944">
        <w:rPr>
          <w:rFonts w:ascii="Times New Roman" w:eastAsia="Times New Roman" w:hAnsi="Times New Roman" w:cs="Times New Roman"/>
          <w:b/>
          <w:bCs/>
          <w:sz w:val="28"/>
          <w:szCs w:val="24"/>
        </w:rPr>
        <w:t>model sourcing</w:t>
      </w:r>
      <w:r w:rsidRPr="009D5944">
        <w:rPr>
          <w:rFonts w:ascii="Times New Roman" w:eastAsia="Times New Roman" w:hAnsi="Times New Roman" w:cs="Times New Roman"/>
          <w:sz w:val="28"/>
          <w:szCs w:val="24"/>
        </w:rPr>
        <w:t>. Organizations may consume commercial AI services, deploy open-weight models, or combine both approaches. This decision influences operational responsibility, deployment flexibility, licensing considerations, and the pace at which new models can be adopted. Subsequent chapters examine these options in detail, but at the architectural level they represent alternative methods of providing inference capability.</w:t>
      </w:r>
    </w:p>
    <w:p w14:paraId="49385A7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second dimension is </w:t>
      </w:r>
      <w:r w:rsidRPr="009D5944">
        <w:rPr>
          <w:rFonts w:ascii="Times New Roman" w:eastAsia="Times New Roman" w:hAnsi="Times New Roman" w:cs="Times New Roman"/>
          <w:b/>
          <w:bCs/>
          <w:sz w:val="28"/>
          <w:szCs w:val="24"/>
        </w:rPr>
        <w:t>deployment topology</w:t>
      </w:r>
      <w:r w:rsidRPr="009D5944">
        <w:rPr>
          <w:rFonts w:ascii="Times New Roman" w:eastAsia="Times New Roman" w:hAnsi="Times New Roman" w:cs="Times New Roman"/>
          <w:sz w:val="28"/>
          <w:szCs w:val="24"/>
        </w:rPr>
        <w:t xml:space="preserve">. AI services may execute entirely within managed cloud environments, entirely within organizational infrastructure, or across hybrid deployments spanning multiple providers and regions. Recent reference architectures increasingly emphasize unified entry points that route requests across heterogeneous inference backends while preserving consistent security and operational policies. </w:t>
      </w:r>
    </w:p>
    <w:p w14:paraId="11F43DF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 third dimension involves the </w:t>
      </w:r>
      <w:r w:rsidRPr="009D5944">
        <w:rPr>
          <w:rFonts w:ascii="Times New Roman" w:eastAsia="Times New Roman" w:hAnsi="Times New Roman" w:cs="Times New Roman"/>
          <w:b/>
          <w:bCs/>
          <w:sz w:val="28"/>
          <w:szCs w:val="24"/>
        </w:rPr>
        <w:t>control plane</w:t>
      </w:r>
      <w:r w:rsidRPr="009D5944">
        <w:rPr>
          <w:rFonts w:ascii="Times New Roman" w:eastAsia="Times New Roman" w:hAnsi="Times New Roman" w:cs="Times New Roman"/>
          <w:sz w:val="28"/>
          <w:szCs w:val="24"/>
        </w:rPr>
        <w:t xml:space="preserve"> responsible for coordinating AI services. Modern platforms increasingly separate application logic from provider-specific APIs through gateways, routing layers, orchestration services, and policy </w:t>
      </w:r>
      <w:r w:rsidRPr="009D5944">
        <w:rPr>
          <w:rFonts w:ascii="Times New Roman" w:eastAsia="Times New Roman" w:hAnsi="Times New Roman" w:cs="Times New Roman"/>
          <w:sz w:val="28"/>
          <w:szCs w:val="24"/>
        </w:rPr>
        <w:lastRenderedPageBreak/>
        <w:t xml:space="preserve">engines. This separation reduces coupling between business applications and rapidly evolving model ecosystems while supporting multi-provider deployments and standardized governance. The emergence of AI-specific gateway initiatives within Kubernetes reflects broader industry recognition that AI traffic introduces requirements extending beyond traditional API management. </w:t>
      </w:r>
    </w:p>
    <w:p w14:paraId="61F9C3F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w:t>
      </w:r>
      <w:r w:rsidRPr="009D5944">
        <w:rPr>
          <w:rFonts w:ascii="Times New Roman" w:eastAsia="Times New Roman" w:hAnsi="Times New Roman" w:cs="Times New Roman"/>
          <w:b/>
          <w:bCs/>
          <w:sz w:val="28"/>
          <w:szCs w:val="24"/>
        </w:rPr>
        <w:t>knowledge layer</w:t>
      </w:r>
      <w:r w:rsidRPr="009D5944">
        <w:rPr>
          <w:rFonts w:ascii="Times New Roman" w:eastAsia="Times New Roman" w:hAnsi="Times New Roman" w:cs="Times New Roman"/>
          <w:sz w:val="28"/>
          <w:szCs w:val="24"/>
        </w:rPr>
        <w:t xml:space="preserve"> forms another architectural dimension. Few enterprise applications rely exclusively on model parameters. Most production systems integrate organizational knowledge through retrieval systems, structured databases, object storage, search platforms, or domain-specific information services. Decisions regarding information management influence application quality as much as model selection.</w:t>
      </w:r>
    </w:p>
    <w:p w14:paraId="45DF73A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Operational architecture constitutes an equally important dimension. Every production platform requires mechanisms for deployment, operational visibility, incident response, capacity management, governance, and lifecycle management. These concerns are intentionally introduced only at a conceptual level here. Their implementation—including telemetry design, deployment automation, GitOps workflows, and cost optimization—is discussed comprehensively in Chapters 15 through 17 rather than within this architectural overview.</w:t>
      </w:r>
    </w:p>
    <w:p w14:paraId="2865C6B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Finally, platform architecture must address </w:t>
      </w:r>
      <w:r w:rsidRPr="009D5944">
        <w:rPr>
          <w:rFonts w:ascii="Times New Roman" w:eastAsia="Times New Roman" w:hAnsi="Times New Roman" w:cs="Times New Roman"/>
          <w:b/>
          <w:bCs/>
          <w:sz w:val="28"/>
          <w:szCs w:val="24"/>
        </w:rPr>
        <w:t>evolution</w:t>
      </w:r>
      <w:r w:rsidRPr="009D5944">
        <w:rPr>
          <w:rFonts w:ascii="Times New Roman" w:eastAsia="Times New Roman" w:hAnsi="Times New Roman" w:cs="Times New Roman"/>
          <w:sz w:val="28"/>
          <w:szCs w:val="24"/>
        </w:rPr>
        <w:t>. AI technologies change more rapidly than most enterprise infrastructure, making replaceability an architectural objective in its own right. Interfaces, routing layers, deployment boundaries, and governance mechanisms should enable new models and services to be introduced incrementally without requiring wholesale redesign of surrounding systems.</w:t>
      </w:r>
    </w:p>
    <w:p w14:paraId="6384E83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2-3. Primary Architectural Dimensions of AI Platforms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2311"/>
        <w:gridCol w:w="2720"/>
        <w:gridCol w:w="2597"/>
      </w:tblGrid>
      <w:tr w:rsidR="009D5944" w:rsidRPr="008652E9" w14:paraId="4C427DDD" w14:textId="77777777" w:rsidTr="008652E9">
        <w:trPr>
          <w:tblHeader/>
          <w:tblCellSpacing w:w="15" w:type="dxa"/>
        </w:trPr>
        <w:tc>
          <w:tcPr>
            <w:tcW w:w="0" w:type="auto"/>
            <w:vAlign w:val="center"/>
            <w:hideMark/>
          </w:tcPr>
          <w:p w14:paraId="7CCC82DA"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Architectural Dimension</w:t>
            </w:r>
          </w:p>
        </w:tc>
        <w:tc>
          <w:tcPr>
            <w:tcW w:w="0" w:type="auto"/>
            <w:vAlign w:val="center"/>
            <w:hideMark/>
          </w:tcPr>
          <w:p w14:paraId="4CC4EA58"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Primary Decision</w:t>
            </w:r>
          </w:p>
        </w:tc>
        <w:tc>
          <w:tcPr>
            <w:tcW w:w="0" w:type="auto"/>
            <w:vAlign w:val="center"/>
            <w:hideMark/>
          </w:tcPr>
          <w:p w14:paraId="395F0344"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Representative Considerations</w:t>
            </w:r>
          </w:p>
        </w:tc>
        <w:tc>
          <w:tcPr>
            <w:tcW w:w="0" w:type="auto"/>
            <w:vAlign w:val="center"/>
            <w:hideMark/>
          </w:tcPr>
          <w:p w14:paraId="0D0D249E"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Detailed Coverage</w:t>
            </w:r>
          </w:p>
        </w:tc>
      </w:tr>
      <w:tr w:rsidR="009D5944" w:rsidRPr="008652E9" w14:paraId="04E60528" w14:textId="77777777" w:rsidTr="008652E9">
        <w:trPr>
          <w:tblCellSpacing w:w="15" w:type="dxa"/>
        </w:trPr>
        <w:tc>
          <w:tcPr>
            <w:tcW w:w="0" w:type="auto"/>
            <w:vAlign w:val="center"/>
            <w:hideMark/>
          </w:tcPr>
          <w:p w14:paraId="2DE3778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Model sourcing</w:t>
            </w:r>
          </w:p>
        </w:tc>
        <w:tc>
          <w:tcPr>
            <w:tcW w:w="0" w:type="auto"/>
            <w:vAlign w:val="center"/>
            <w:hideMark/>
          </w:tcPr>
          <w:p w14:paraId="0A6D53A2"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Commercial APIs, open-weight models, or hybrid</w:t>
            </w:r>
          </w:p>
        </w:tc>
        <w:tc>
          <w:tcPr>
            <w:tcW w:w="0" w:type="auto"/>
            <w:vAlign w:val="center"/>
            <w:hideMark/>
          </w:tcPr>
          <w:p w14:paraId="1F2E1C4F"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Operational responsibility, licensing, flexibility</w:t>
            </w:r>
          </w:p>
        </w:tc>
        <w:tc>
          <w:tcPr>
            <w:tcW w:w="0" w:type="auto"/>
            <w:vAlign w:val="center"/>
            <w:hideMark/>
          </w:tcPr>
          <w:p w14:paraId="4700CDDA"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Chapters 3–5</w:t>
            </w:r>
          </w:p>
        </w:tc>
      </w:tr>
      <w:tr w:rsidR="009D5944" w:rsidRPr="008652E9" w14:paraId="1DE79373" w14:textId="77777777" w:rsidTr="008652E9">
        <w:trPr>
          <w:tblCellSpacing w:w="15" w:type="dxa"/>
        </w:trPr>
        <w:tc>
          <w:tcPr>
            <w:tcW w:w="0" w:type="auto"/>
            <w:vAlign w:val="center"/>
            <w:hideMark/>
          </w:tcPr>
          <w:p w14:paraId="076084A9"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Deployment topology</w:t>
            </w:r>
          </w:p>
        </w:tc>
        <w:tc>
          <w:tcPr>
            <w:tcW w:w="0" w:type="auto"/>
            <w:vAlign w:val="center"/>
            <w:hideMark/>
          </w:tcPr>
          <w:p w14:paraId="1CCDF28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Cloud, on-premises, hybrid, edge, or multi-cloud</w:t>
            </w:r>
          </w:p>
        </w:tc>
        <w:tc>
          <w:tcPr>
            <w:tcW w:w="0" w:type="auto"/>
            <w:vAlign w:val="center"/>
            <w:hideMark/>
          </w:tcPr>
          <w:p w14:paraId="23DEFD0A"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Latency, compliance, resilience, infrastructure ownership</w:t>
            </w:r>
          </w:p>
        </w:tc>
        <w:tc>
          <w:tcPr>
            <w:tcW w:w="0" w:type="auto"/>
            <w:vAlign w:val="center"/>
            <w:hideMark/>
          </w:tcPr>
          <w:p w14:paraId="3C9E3F1A"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Sections 2.4–2.10; deployment implementation in Chapter 16</w:t>
            </w:r>
          </w:p>
        </w:tc>
      </w:tr>
      <w:tr w:rsidR="009D5944" w:rsidRPr="008652E9" w14:paraId="7F810F1C" w14:textId="77777777" w:rsidTr="008652E9">
        <w:trPr>
          <w:tblCellSpacing w:w="15" w:type="dxa"/>
        </w:trPr>
        <w:tc>
          <w:tcPr>
            <w:tcW w:w="0" w:type="auto"/>
            <w:vAlign w:val="center"/>
            <w:hideMark/>
          </w:tcPr>
          <w:p w14:paraId="581075CC"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Control plane</w:t>
            </w:r>
          </w:p>
        </w:tc>
        <w:tc>
          <w:tcPr>
            <w:tcW w:w="0" w:type="auto"/>
            <w:vAlign w:val="center"/>
            <w:hideMark/>
          </w:tcPr>
          <w:p w14:paraId="0A83F6D8"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Gateway, routing, orchestration, provider abstraction</w:t>
            </w:r>
          </w:p>
        </w:tc>
        <w:tc>
          <w:tcPr>
            <w:tcW w:w="0" w:type="auto"/>
            <w:vAlign w:val="center"/>
            <w:hideMark/>
          </w:tcPr>
          <w:p w14:paraId="03A166E2"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Interoperability, policy enforcement, resilience</w:t>
            </w:r>
          </w:p>
        </w:tc>
        <w:tc>
          <w:tcPr>
            <w:tcW w:w="0" w:type="auto"/>
            <w:vAlign w:val="center"/>
            <w:hideMark/>
          </w:tcPr>
          <w:p w14:paraId="61F4983C"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Chapters 6–9</w:t>
            </w:r>
          </w:p>
        </w:tc>
      </w:tr>
      <w:tr w:rsidR="009D5944" w:rsidRPr="008652E9" w14:paraId="3B9D9EC4" w14:textId="77777777" w:rsidTr="008652E9">
        <w:trPr>
          <w:tblCellSpacing w:w="15" w:type="dxa"/>
        </w:trPr>
        <w:tc>
          <w:tcPr>
            <w:tcW w:w="0" w:type="auto"/>
            <w:vAlign w:val="center"/>
            <w:hideMark/>
          </w:tcPr>
          <w:p w14:paraId="152D92CB"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lastRenderedPageBreak/>
              <w:t>Knowledge layer</w:t>
            </w:r>
          </w:p>
        </w:tc>
        <w:tc>
          <w:tcPr>
            <w:tcW w:w="0" w:type="auto"/>
            <w:vAlign w:val="center"/>
            <w:hideMark/>
          </w:tcPr>
          <w:p w14:paraId="106545B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Retrieval architecture and enterprise data integration</w:t>
            </w:r>
          </w:p>
        </w:tc>
        <w:tc>
          <w:tcPr>
            <w:tcW w:w="0" w:type="auto"/>
            <w:vAlign w:val="center"/>
            <w:hideMark/>
          </w:tcPr>
          <w:p w14:paraId="182F903D"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Data freshness, retrieval quality, storage strategy</w:t>
            </w:r>
          </w:p>
        </w:tc>
        <w:tc>
          <w:tcPr>
            <w:tcW w:w="0" w:type="auto"/>
            <w:vAlign w:val="center"/>
            <w:hideMark/>
          </w:tcPr>
          <w:p w14:paraId="73BD2E14"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Chapters 10–12</w:t>
            </w:r>
          </w:p>
        </w:tc>
      </w:tr>
      <w:tr w:rsidR="009D5944" w:rsidRPr="008652E9" w14:paraId="7E27E472" w14:textId="77777777" w:rsidTr="008652E9">
        <w:trPr>
          <w:tblCellSpacing w:w="15" w:type="dxa"/>
        </w:trPr>
        <w:tc>
          <w:tcPr>
            <w:tcW w:w="0" w:type="auto"/>
            <w:vAlign w:val="center"/>
            <w:hideMark/>
          </w:tcPr>
          <w:p w14:paraId="28E09574"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Governance</w:t>
            </w:r>
          </w:p>
        </w:tc>
        <w:tc>
          <w:tcPr>
            <w:tcW w:w="0" w:type="auto"/>
            <w:vAlign w:val="center"/>
            <w:hideMark/>
          </w:tcPr>
          <w:p w14:paraId="4AD24B39"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Evaluation, policy, security, compliance</w:t>
            </w:r>
          </w:p>
        </w:tc>
        <w:tc>
          <w:tcPr>
            <w:tcW w:w="0" w:type="auto"/>
            <w:vAlign w:val="center"/>
            <w:hideMark/>
          </w:tcPr>
          <w:p w14:paraId="009C998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Quality assurance, access control, regulatory obligations</w:t>
            </w:r>
          </w:p>
        </w:tc>
        <w:tc>
          <w:tcPr>
            <w:tcW w:w="0" w:type="auto"/>
            <w:vAlign w:val="center"/>
            <w:hideMark/>
          </w:tcPr>
          <w:p w14:paraId="12B9D4DD"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Chapters 13–14</w:t>
            </w:r>
          </w:p>
        </w:tc>
      </w:tr>
      <w:tr w:rsidR="009D5944" w:rsidRPr="008652E9" w14:paraId="6024936F" w14:textId="77777777" w:rsidTr="008652E9">
        <w:trPr>
          <w:tblCellSpacing w:w="15" w:type="dxa"/>
        </w:trPr>
        <w:tc>
          <w:tcPr>
            <w:tcW w:w="0" w:type="auto"/>
            <w:vAlign w:val="center"/>
            <w:hideMark/>
          </w:tcPr>
          <w:p w14:paraId="5B73DDAA"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Platform operations</w:t>
            </w:r>
          </w:p>
        </w:tc>
        <w:tc>
          <w:tcPr>
            <w:tcW w:w="0" w:type="auto"/>
            <w:vAlign w:val="center"/>
            <w:hideMark/>
          </w:tcPr>
          <w:p w14:paraId="070BA8BD"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Monitoring, deployment, scaling, lifecycle management</w:t>
            </w:r>
          </w:p>
        </w:tc>
        <w:tc>
          <w:tcPr>
            <w:tcW w:w="0" w:type="auto"/>
            <w:vAlign w:val="center"/>
            <w:hideMark/>
          </w:tcPr>
          <w:p w14:paraId="6555164D"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Reliability, maintainability, operational efficiency</w:t>
            </w:r>
          </w:p>
        </w:tc>
        <w:tc>
          <w:tcPr>
            <w:tcW w:w="0" w:type="auto"/>
            <w:vAlign w:val="center"/>
            <w:hideMark/>
          </w:tcPr>
          <w:p w14:paraId="0C45784B"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Chapters 15–17</w:t>
            </w:r>
          </w:p>
        </w:tc>
      </w:tr>
      <w:tr w:rsidR="009D5944" w:rsidRPr="008652E9" w14:paraId="0B73C40C" w14:textId="77777777" w:rsidTr="008652E9">
        <w:trPr>
          <w:tblCellSpacing w:w="15" w:type="dxa"/>
        </w:trPr>
        <w:tc>
          <w:tcPr>
            <w:tcW w:w="0" w:type="auto"/>
            <w:vAlign w:val="center"/>
            <w:hideMark/>
          </w:tcPr>
          <w:p w14:paraId="76390062"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Evolution strategy</w:t>
            </w:r>
          </w:p>
        </w:tc>
        <w:tc>
          <w:tcPr>
            <w:tcW w:w="0" w:type="auto"/>
            <w:vAlign w:val="center"/>
            <w:hideMark/>
          </w:tcPr>
          <w:p w14:paraId="03D0A17F"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Component replaceability and architectural modularity</w:t>
            </w:r>
          </w:p>
        </w:tc>
        <w:tc>
          <w:tcPr>
            <w:tcW w:w="0" w:type="auto"/>
            <w:vAlign w:val="center"/>
            <w:hideMark/>
          </w:tcPr>
          <w:p w14:paraId="75D03C35"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Long-term maintainability, migration effort, vendor independence</w:t>
            </w:r>
          </w:p>
        </w:tc>
        <w:tc>
          <w:tcPr>
            <w:tcW w:w="0" w:type="auto"/>
            <w:vAlign w:val="center"/>
            <w:hideMark/>
          </w:tcPr>
          <w:p w14:paraId="50A2AA80"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Throughout the book</w:t>
            </w:r>
          </w:p>
        </w:tc>
      </w:tr>
    </w:tbl>
    <w:p w14:paraId="7334C82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These dimensions provide the analytical framework for the remainder of the chapter. The following sections apply them to common deployment models and reference architectures, demonstrating how different combinations of architectural decisions produce platforms optimized for different organizational requirements rather than universally "best" technology stacks.</w:t>
      </w:r>
    </w:p>
    <w:p w14:paraId="4AEEE75E"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2.4 Deployment Models</w:t>
      </w:r>
    </w:p>
    <w:p w14:paraId="4A2ED65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After identifying architectural requirements and the primary dimensions along which AI platforms vary, the next major design decision concerns </w:t>
      </w:r>
      <w:r w:rsidRPr="009D5944">
        <w:rPr>
          <w:rFonts w:ascii="Times New Roman" w:eastAsia="Times New Roman" w:hAnsi="Times New Roman" w:cs="Times New Roman"/>
          <w:b/>
          <w:bCs/>
          <w:sz w:val="28"/>
          <w:szCs w:val="24"/>
        </w:rPr>
        <w:t>where inference capabilities are deployed and operated</w:t>
      </w:r>
      <w:r w:rsidRPr="009D5944">
        <w:rPr>
          <w:rFonts w:ascii="Times New Roman" w:eastAsia="Times New Roman" w:hAnsi="Times New Roman" w:cs="Times New Roman"/>
          <w:sz w:val="28"/>
          <w:szCs w:val="24"/>
        </w:rPr>
        <w:t>. Deployment topology influences nearly every aspect of an AI platform, including security boundaries, networking architecture, operational responsibility, compliance, latency, resilience, and long-term cost. Consequently, deployment models should be viewed as architectural strategies rather than infrastructure implementation details.</w:t>
      </w:r>
    </w:p>
    <w:p w14:paraId="01E1B59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Historically, enterprise software offered relatively limited deployment choices. Applications were commonly hosted within organizational data centers or, more recently, in public cloud environments. AI platforms have expanded this landscape considerably. Foundation models may execute within commercial provider infrastructure, enterprise-managed Kubernetes clusters, dedicated inference appliances, edge devices, or combinations of these environments operating simultaneously.</w:t>
      </w:r>
    </w:p>
    <w:p w14:paraId="4B00A14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increasing diversity of deployment options reflects the equally diverse requirements of organizations adopting AI. A software startup prioritizing rapid </w:t>
      </w:r>
      <w:r w:rsidRPr="009D5944">
        <w:rPr>
          <w:rFonts w:ascii="Times New Roman" w:eastAsia="Times New Roman" w:hAnsi="Times New Roman" w:cs="Times New Roman"/>
          <w:sz w:val="28"/>
          <w:szCs w:val="24"/>
        </w:rPr>
        <w:lastRenderedPageBreak/>
        <w:t>product development often values immediate access to state-of-the-art models without maintaining GPU infrastructure. A financial institution may prioritize data governance and regional deployment. A government agency may require complete operational isolation. A multinational enterprise may need different deployment strategies across business units due to varying regulatory obligations.</w:t>
      </w:r>
    </w:p>
    <w:p w14:paraId="7238BDF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No deployment model is inherently superior. Each represents a different balance among operational control, engineering investment, flexibility, and infrastructure ownership.</w:t>
      </w:r>
    </w:p>
    <w:p w14:paraId="05DCD061"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Cloud-Managed AI Services</w:t>
      </w:r>
    </w:p>
    <w:p w14:paraId="0332C15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simplest deployment model relies on commercially managed AI services accessed through network APIs. Model training, inference infrastructure, hardware lifecycle management, scaling, availability, and model updates remain the responsibility of the provider, while the customer integrates AI capabilities through documented service interfaces.</w:t>
      </w:r>
    </w:p>
    <w:p w14:paraId="4D2F6DC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approach significantly reduces operational complexity. Organizations can begin deploying AI capabilities without acquiring accelerators, designing inference infrastructure, or developing specialized operational expertise. Capacity planning becomes largely transparent, allowing engineering teams to focus on application development rather than infrastructure management.</w:t>
      </w:r>
    </w:p>
    <w:p w14:paraId="2F94842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Cloud-managed services also simplify experimentation. Multiple models can often be evaluated through a consistent API without deploying separate serving environments. As providers introduce improved model versions, organizations may adopt them with relatively limited operational effort.</w:t>
      </w:r>
    </w:p>
    <w:p w14:paraId="6F9FAB5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However, these advantages introduce corresponding trade-offs. Organizations relinquish direct control over inference infrastructure, model lifecycle, hardware configuration, upgrade timing, and certain aspects of operational visibility. Service capabilities remain bounded by provider interfaces, pricing models, supported regions, and contractual terms. Regulatory requirements concerning data residency or processing may further constrain adoption in some industries.</w:t>
      </w:r>
    </w:p>
    <w:p w14:paraId="5B7DA94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For many organizations, these limitations are acceptable because infrastructure complexity would otherwise outweigh the benefits of complete operational control.</w:t>
      </w:r>
    </w:p>
    <w:p w14:paraId="7ED52139"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Self-Hosted Deployment</w:t>
      </w:r>
    </w:p>
    <w:p w14:paraId="51688CA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At the opposite end of the spectrum are self-hosted AI platforms, in which organizations operate the complete inference stack within infrastructure under their administrative control. Models, serving systems, gateways, networking, storage, and supporting operational services become components of the organization's broader platform engineering responsibilities.</w:t>
      </w:r>
    </w:p>
    <w:p w14:paraId="32E7DF5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Self-hosting offers maximum flexibility. Organizations determine model versions, deployment schedules, hardware utilization strategies, networking architecture, and operational policies. Infrastructure can be optimized for specific workloads, integrated directly with internal security controls, and configured to satisfy strict regulatory or sovereignty requirements.</w:t>
      </w:r>
    </w:p>
    <w:p w14:paraId="046F16A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flexibility, however, requires substantially greater engineering investment. Teams become responsible for accelerator provisioning, inference optimization, capacity management, reliability engineering, security patching, software upgrades, and operational support. Maintaining high-performance inference environments often demands expertise extending beyond traditional cloud-native operations.</w:t>
      </w:r>
    </w:p>
    <w:p w14:paraId="34C57BB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Consequently, self-hosting should not be viewed simply as a means of reducing external service costs. It represents the transfer of operational responsibility from service providers to internal platform engineering teams.</w:t>
      </w:r>
    </w:p>
    <w:p w14:paraId="1727A393"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Hybrid Deployment</w:t>
      </w:r>
    </w:p>
    <w:p w14:paraId="66BB098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Increasingly, enterprises adopt hybrid deployment strategies that combine managed services and self-hosted infrastructure within a single logical platform. Rather than committing exclusively to one deployment model, organizations route different workloads according to business, technical, or regulatory requirements.</w:t>
      </w:r>
    </w:p>
    <w:p w14:paraId="306A6D8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For example, publicly available foundation models may handle general-purpose conversational tasks through commercial APIs, while sensitive document processing executes against internally hosted models. Specialized domain models may remain self-managed, whereas newly released commercial models can be evaluated without infrastructure changes. Certain geographic regions may require local deployment, while others continue using managed services.</w:t>
      </w:r>
    </w:p>
    <w:p w14:paraId="7DF948F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Recent reference architectures published by major cloud providers increasingly adopt this pattern. Rather than exposing individual model endpoints directly to applications, they present a unified entry point capable of routing requests across heterogeneous inference environments while maintaining consistent networking and security policies. This architecture separates application development from deployment topology, allowing infrastructure to evolve independently. (Google Cloud Architecture Center, </w:t>
      </w:r>
      <w:r w:rsidRPr="009D5944">
        <w:rPr>
          <w:rFonts w:ascii="Times New Roman" w:eastAsia="Times New Roman" w:hAnsi="Times New Roman" w:cs="Times New Roman"/>
          <w:i/>
          <w:iCs/>
          <w:sz w:val="28"/>
          <w:szCs w:val="24"/>
        </w:rPr>
        <w:t>Networking for AI Inference on All Backends</w:t>
      </w:r>
      <w:r w:rsidRPr="009D5944">
        <w:rPr>
          <w:rFonts w:ascii="Times New Roman" w:eastAsia="Times New Roman" w:hAnsi="Times New Roman" w:cs="Times New Roman"/>
          <w:sz w:val="28"/>
          <w:szCs w:val="24"/>
        </w:rPr>
        <w:t>, 2026.)</w:t>
      </w:r>
    </w:p>
    <w:p w14:paraId="5F71BD1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Hybrid deployment also reduces strategic risk. Organizations can introduce new providers, migrate workloads incrementally, or maintain fallback inference environments without redesigning applications. The additional architectural complexity is compensated by increased operational flexibility.</w:t>
      </w:r>
    </w:p>
    <w:p w14:paraId="296F26FE"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lastRenderedPageBreak/>
        <w:t>Multi-Cloud and Multi-Provider Deployments</w:t>
      </w:r>
    </w:p>
    <w:p w14:paraId="2837B4B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Hybrid deployment should not be confused with multi-provider architecture, although the two frequently overlap.</w:t>
      </w:r>
    </w:p>
    <w:p w14:paraId="7C1DA80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 hybrid platform combines different hosting environments. A multi-provider platform combines multiple inference providers, regardless of where those providers operate. An organization may simultaneously integrate commercial APIs from several vendors, internally hosted open-weight models, and specialized inference services exposed through a common control plane.</w:t>
      </w:r>
    </w:p>
    <w:p w14:paraId="18C3E79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motivations extend beyond redundancy. Different providers excel in different areas, including reasoning capability, multimodal processing, latency characteristics, pricing models, licensing terms, regional availability, or domain specialization. Multi-provider architectures allow organizations to select providers according to workload characteristics rather than standardizing on a single vendor.</w:t>
      </w:r>
    </w:p>
    <w:p w14:paraId="2E97630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approach also reduces dependence on individual providers by introducing architectural abstraction. Applications interact with platform services rather than provider-specific APIs, enabling providers to change over time without requiring application redesign.</w:t>
      </w:r>
    </w:p>
    <w:p w14:paraId="00BF6DC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routing mechanisms supporting these architectures are examined in detail in Chapter 6. At this stage it is sufficient to recognize that deployment topology and provider selection are distinct architectural decisions.</w:t>
      </w:r>
    </w:p>
    <w:p w14:paraId="4AE2F110"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Edge Deployment</w:t>
      </w:r>
    </w:p>
    <w:p w14:paraId="7F46CC2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Certain workloads require inference to occur close to the point of data generation rather than within centralized cloud infrastructure. Manufacturing systems, autonomous platforms, industrial monitoring, healthcare devices, and environments with intermittent connectivity may all benefit from edge deployment.</w:t>
      </w:r>
    </w:p>
    <w:p w14:paraId="5A11E0B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Edge inference reduces network latency and enables continued operation when external connectivity is unavailable. It may also simplify compliance by ensuring sensitive information remains within controlled environments.</w:t>
      </w:r>
    </w:p>
    <w:p w14:paraId="7AE66DF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These advantages are accompanied by substantial resource constraints. Edge environments typically provide less computational capacity, more restrictive memory budgets, limited operational visibility, and more complex software lifecycle management than centralized infrastructure. Consequently, edge deployments frequently employ smaller models or task-specific inference pipelines optimized for constrained hardware.</w:t>
      </w:r>
    </w:p>
    <w:p w14:paraId="7515CAB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Although edge AI receives considerable attention, it remains a specialized deployment model rather than the default architecture for enterprise AI platforms.</w:t>
      </w:r>
    </w:p>
    <w:p w14:paraId="600E9FA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lastRenderedPageBreak/>
        <w:t>Table 2-4. Comparison of Common AI Deployment Models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67"/>
        <w:gridCol w:w="2860"/>
        <w:gridCol w:w="2443"/>
        <w:gridCol w:w="2485"/>
      </w:tblGrid>
      <w:tr w:rsidR="009D5944" w:rsidRPr="008652E9" w14:paraId="00908725" w14:textId="77777777" w:rsidTr="008652E9">
        <w:trPr>
          <w:tblHeader/>
          <w:tblCellSpacing w:w="15" w:type="dxa"/>
        </w:trPr>
        <w:tc>
          <w:tcPr>
            <w:tcW w:w="0" w:type="auto"/>
            <w:vAlign w:val="center"/>
            <w:hideMark/>
          </w:tcPr>
          <w:p w14:paraId="2C0EB28A"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Deployment Model</w:t>
            </w:r>
          </w:p>
        </w:tc>
        <w:tc>
          <w:tcPr>
            <w:tcW w:w="0" w:type="auto"/>
            <w:vAlign w:val="center"/>
            <w:hideMark/>
          </w:tcPr>
          <w:p w14:paraId="4AE423CF"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Primary Advantages</w:t>
            </w:r>
          </w:p>
        </w:tc>
        <w:tc>
          <w:tcPr>
            <w:tcW w:w="0" w:type="auto"/>
            <w:vAlign w:val="center"/>
            <w:hideMark/>
          </w:tcPr>
          <w:p w14:paraId="2D3EA793"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Primary Limitations</w:t>
            </w:r>
          </w:p>
        </w:tc>
        <w:tc>
          <w:tcPr>
            <w:tcW w:w="0" w:type="auto"/>
            <w:vAlign w:val="center"/>
            <w:hideMark/>
          </w:tcPr>
          <w:p w14:paraId="57AF710B"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Typical Use Cases</w:t>
            </w:r>
          </w:p>
        </w:tc>
      </w:tr>
      <w:tr w:rsidR="009D5944" w:rsidRPr="008652E9" w14:paraId="03C8EB82" w14:textId="77777777" w:rsidTr="008652E9">
        <w:trPr>
          <w:tblCellSpacing w:w="15" w:type="dxa"/>
        </w:trPr>
        <w:tc>
          <w:tcPr>
            <w:tcW w:w="0" w:type="auto"/>
            <w:vAlign w:val="center"/>
            <w:hideMark/>
          </w:tcPr>
          <w:p w14:paraId="439D493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Cloud-managed services</w:t>
            </w:r>
          </w:p>
        </w:tc>
        <w:tc>
          <w:tcPr>
            <w:tcW w:w="0" w:type="auto"/>
            <w:vAlign w:val="center"/>
            <w:hideMark/>
          </w:tcPr>
          <w:p w14:paraId="040FAF3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Minimal operational overhead, rapid adoption, elastic scalability, immediate access to new models</w:t>
            </w:r>
          </w:p>
        </w:tc>
        <w:tc>
          <w:tcPr>
            <w:tcW w:w="0" w:type="auto"/>
            <w:vAlign w:val="center"/>
            <w:hideMark/>
          </w:tcPr>
          <w:p w14:paraId="68C167D5"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Limited infrastructure control, provider dependence, regulatory constraints</w:t>
            </w:r>
          </w:p>
        </w:tc>
        <w:tc>
          <w:tcPr>
            <w:tcW w:w="0" w:type="auto"/>
            <w:vAlign w:val="center"/>
            <w:hideMark/>
          </w:tcPr>
          <w:p w14:paraId="5EB93F94"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Product development, enterprise productivity, startups, general-purpose AI applications</w:t>
            </w:r>
          </w:p>
        </w:tc>
      </w:tr>
      <w:tr w:rsidR="009D5944" w:rsidRPr="008652E9" w14:paraId="1FCC1D61" w14:textId="77777777" w:rsidTr="008652E9">
        <w:trPr>
          <w:tblCellSpacing w:w="15" w:type="dxa"/>
        </w:trPr>
        <w:tc>
          <w:tcPr>
            <w:tcW w:w="0" w:type="auto"/>
            <w:vAlign w:val="center"/>
            <w:hideMark/>
          </w:tcPr>
          <w:p w14:paraId="4DFF8C6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Self-hosted infrastructure</w:t>
            </w:r>
          </w:p>
        </w:tc>
        <w:tc>
          <w:tcPr>
            <w:tcW w:w="0" w:type="auto"/>
            <w:vAlign w:val="center"/>
            <w:hideMark/>
          </w:tcPr>
          <w:p w14:paraId="5FBB2642"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Complete operational control, deployment flexibility, data sovereignty, infrastructure optimization</w:t>
            </w:r>
          </w:p>
        </w:tc>
        <w:tc>
          <w:tcPr>
            <w:tcW w:w="0" w:type="auto"/>
            <w:vAlign w:val="center"/>
            <w:hideMark/>
          </w:tcPr>
          <w:p w14:paraId="29B7AB10"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High operational complexity, specialized engineering expertise, infrastructure ownership</w:t>
            </w:r>
          </w:p>
        </w:tc>
        <w:tc>
          <w:tcPr>
            <w:tcW w:w="0" w:type="auto"/>
            <w:vAlign w:val="center"/>
            <w:hideMark/>
          </w:tcPr>
          <w:p w14:paraId="062A4CAC"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Regulated industries, government, large enterprises, high-volume inference</w:t>
            </w:r>
          </w:p>
        </w:tc>
      </w:tr>
      <w:tr w:rsidR="009D5944" w:rsidRPr="008652E9" w14:paraId="102CD17D" w14:textId="77777777" w:rsidTr="008652E9">
        <w:trPr>
          <w:tblCellSpacing w:w="15" w:type="dxa"/>
        </w:trPr>
        <w:tc>
          <w:tcPr>
            <w:tcW w:w="0" w:type="auto"/>
            <w:vAlign w:val="center"/>
            <w:hideMark/>
          </w:tcPr>
          <w:p w14:paraId="748FE33C"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Hybrid deployment</w:t>
            </w:r>
          </w:p>
        </w:tc>
        <w:tc>
          <w:tcPr>
            <w:tcW w:w="0" w:type="auto"/>
            <w:vAlign w:val="center"/>
            <w:hideMark/>
          </w:tcPr>
          <w:p w14:paraId="4F0D5C3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Combines operational flexibility with managed services, supports gradual migration and workload specialization</w:t>
            </w:r>
          </w:p>
        </w:tc>
        <w:tc>
          <w:tcPr>
            <w:tcW w:w="0" w:type="auto"/>
            <w:vAlign w:val="center"/>
            <w:hideMark/>
          </w:tcPr>
          <w:p w14:paraId="4E96DD7A"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More complex routing, governance, and operational coordination</w:t>
            </w:r>
          </w:p>
        </w:tc>
        <w:tc>
          <w:tcPr>
            <w:tcW w:w="0" w:type="auto"/>
            <w:vAlign w:val="center"/>
            <w:hideMark/>
          </w:tcPr>
          <w:p w14:paraId="0CBB801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Enterprises balancing innovation, compliance, and infrastructure control</w:t>
            </w:r>
          </w:p>
        </w:tc>
      </w:tr>
      <w:tr w:rsidR="009D5944" w:rsidRPr="008652E9" w14:paraId="2D1C3A6B" w14:textId="77777777" w:rsidTr="008652E9">
        <w:trPr>
          <w:tblCellSpacing w:w="15" w:type="dxa"/>
        </w:trPr>
        <w:tc>
          <w:tcPr>
            <w:tcW w:w="0" w:type="auto"/>
            <w:vAlign w:val="center"/>
            <w:hideMark/>
          </w:tcPr>
          <w:p w14:paraId="226D5C90"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Multi-provider architecture</w:t>
            </w:r>
          </w:p>
        </w:tc>
        <w:tc>
          <w:tcPr>
            <w:tcW w:w="0" w:type="auto"/>
            <w:vAlign w:val="center"/>
            <w:hideMark/>
          </w:tcPr>
          <w:p w14:paraId="5884C3F9"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Provider independence, workload optimization, improved resilience</w:t>
            </w:r>
          </w:p>
        </w:tc>
        <w:tc>
          <w:tcPr>
            <w:tcW w:w="0" w:type="auto"/>
            <w:vAlign w:val="center"/>
            <w:hideMark/>
          </w:tcPr>
          <w:p w14:paraId="785F021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Increased platform complexity and governance requirements</w:t>
            </w:r>
          </w:p>
        </w:tc>
        <w:tc>
          <w:tcPr>
            <w:tcW w:w="0" w:type="auto"/>
            <w:vAlign w:val="center"/>
            <w:hideMark/>
          </w:tcPr>
          <w:p w14:paraId="6FE130DB"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Organizations avoiding vendor lock-in or optimizing across provider capabilities</w:t>
            </w:r>
          </w:p>
        </w:tc>
      </w:tr>
      <w:tr w:rsidR="009D5944" w:rsidRPr="008652E9" w14:paraId="65D54511" w14:textId="77777777" w:rsidTr="008652E9">
        <w:trPr>
          <w:tblCellSpacing w:w="15" w:type="dxa"/>
        </w:trPr>
        <w:tc>
          <w:tcPr>
            <w:tcW w:w="0" w:type="auto"/>
            <w:vAlign w:val="center"/>
            <w:hideMark/>
          </w:tcPr>
          <w:p w14:paraId="2EF9F44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Edge deployment</w:t>
            </w:r>
          </w:p>
        </w:tc>
        <w:tc>
          <w:tcPr>
            <w:tcW w:w="0" w:type="auto"/>
            <w:vAlign w:val="center"/>
            <w:hideMark/>
          </w:tcPr>
          <w:p w14:paraId="461C7C9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Low latency, local processing, resilience to network disruption</w:t>
            </w:r>
          </w:p>
        </w:tc>
        <w:tc>
          <w:tcPr>
            <w:tcW w:w="0" w:type="auto"/>
            <w:vAlign w:val="center"/>
            <w:hideMark/>
          </w:tcPr>
          <w:p w14:paraId="4DE3926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Resource constraints, operational complexity, limited hardware capacity</w:t>
            </w:r>
          </w:p>
        </w:tc>
        <w:tc>
          <w:tcPr>
            <w:tcW w:w="0" w:type="auto"/>
            <w:vAlign w:val="center"/>
            <w:hideMark/>
          </w:tcPr>
          <w:p w14:paraId="2E7551F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Industrial systems, healthcare devices, autonomous platforms, remote environments</w:t>
            </w:r>
          </w:p>
        </w:tc>
      </w:tr>
    </w:tbl>
    <w:p w14:paraId="41C7980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deployment model establishes the operational boundaries within which an AI platform will evolve. However, it does not determine the technologies used within those boundaries. The next architectural decision concerns the broader question of whether organizations should build platform capabilities internally, adopt managed solutions, or compose platforms from multiple independently managed components.</w:t>
      </w:r>
    </w:p>
    <w:p w14:paraId="21214D18" w14:textId="77777777" w:rsidR="009D5944" w:rsidRPr="009D5944" w:rsidRDefault="008652E9" w:rsidP="009D5944">
      <w:pPr>
        <w:rPr>
          <w:rFonts w:ascii="Calibri" w:eastAsia="Calibri" w:hAnsi="Calibri" w:cs="Times New Roman"/>
          <w:sz w:val="24"/>
        </w:rPr>
      </w:pPr>
      <w:r>
        <w:rPr>
          <w:rFonts w:ascii="Calibri" w:eastAsia="Calibri" w:hAnsi="Calibri" w:cs="Times New Roman"/>
          <w:sz w:val="24"/>
        </w:rPr>
        <w:pict w14:anchorId="2F8181AF">
          <v:rect id="_x0000_i1027" style="width:0;height:1.5pt" o:hralign="center" o:hrstd="t" o:hr="t" fillcolor="#a0a0a0" stroked="f"/>
        </w:pict>
      </w:r>
    </w:p>
    <w:p w14:paraId="15975CCD"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2.5 Build, Buy, or Compose</w:t>
      </w:r>
    </w:p>
    <w:p w14:paraId="6ACFD81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Technology selection is often described as a choice between building software internally or purchasing commercial products. While this distinction remains useful, AI platforms increasingly require a third strategy: </w:t>
      </w:r>
      <w:r w:rsidRPr="009D5944">
        <w:rPr>
          <w:rFonts w:ascii="Times New Roman" w:eastAsia="Times New Roman" w:hAnsi="Times New Roman" w:cs="Times New Roman"/>
          <w:b/>
          <w:bCs/>
          <w:sz w:val="28"/>
          <w:szCs w:val="24"/>
        </w:rPr>
        <w:t>composition</w:t>
      </w:r>
      <w:r w:rsidRPr="009D5944">
        <w:rPr>
          <w:rFonts w:ascii="Times New Roman" w:eastAsia="Times New Roman" w:hAnsi="Times New Roman" w:cs="Times New Roman"/>
          <w:sz w:val="28"/>
          <w:szCs w:val="24"/>
        </w:rPr>
        <w:t xml:space="preserve">. Rather than relying exclusively on internally developed systems or complete commercial </w:t>
      </w:r>
      <w:r w:rsidRPr="009D5944">
        <w:rPr>
          <w:rFonts w:ascii="Times New Roman" w:eastAsia="Times New Roman" w:hAnsi="Times New Roman" w:cs="Times New Roman"/>
          <w:sz w:val="28"/>
          <w:szCs w:val="24"/>
        </w:rPr>
        <w:lastRenderedPageBreak/>
        <w:t>platforms, organizations assemble architectures from multiple specialized components connected through standardized interfaces.</w:t>
      </w:r>
    </w:p>
    <w:p w14:paraId="42A216B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As a result, the traditional "build versus buy" decision has evolved into a broader architectural question concerning </w:t>
      </w:r>
      <w:r w:rsidRPr="009D5944">
        <w:rPr>
          <w:rFonts w:ascii="Times New Roman" w:eastAsia="Times New Roman" w:hAnsi="Times New Roman" w:cs="Times New Roman"/>
          <w:b/>
          <w:bCs/>
          <w:sz w:val="28"/>
          <w:szCs w:val="24"/>
        </w:rPr>
        <w:t>where operational responsibility should reside</w:t>
      </w:r>
      <w:r w:rsidRPr="009D5944">
        <w:rPr>
          <w:rFonts w:ascii="Times New Roman" w:eastAsia="Times New Roman" w:hAnsi="Times New Roman" w:cs="Times New Roman"/>
          <w:sz w:val="28"/>
          <w:szCs w:val="24"/>
        </w:rPr>
        <w:t>.</w:t>
      </w:r>
    </w:p>
    <w:p w14:paraId="5F4D557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Every platform component—including inference, gateways, retrieval systems, orchestration, monitoring, evaluation, deployment, and governance—can generally be obtained in one of three ways:</w:t>
      </w:r>
    </w:p>
    <w:p w14:paraId="34D3EBC1" w14:textId="77777777" w:rsidR="009D5944" w:rsidRPr="008652E9" w:rsidRDefault="009D5944" w:rsidP="009D5944">
      <w:pPr>
        <w:numPr>
          <w:ilvl w:val="0"/>
          <w:numId w:val="2"/>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consumed as a managed service, </w:t>
      </w:r>
    </w:p>
    <w:p w14:paraId="41080FD3" w14:textId="77777777" w:rsidR="009D5944" w:rsidRPr="008652E9" w:rsidRDefault="009D5944" w:rsidP="009D5944">
      <w:pPr>
        <w:numPr>
          <w:ilvl w:val="0"/>
          <w:numId w:val="2"/>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developed internally, </w:t>
      </w:r>
    </w:p>
    <w:p w14:paraId="6D53DAC8" w14:textId="77777777" w:rsidR="009D5944" w:rsidRPr="008652E9" w:rsidRDefault="009D5944" w:rsidP="009D5944">
      <w:pPr>
        <w:numPr>
          <w:ilvl w:val="0"/>
          <w:numId w:val="2"/>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or integrated from independently maintained components. </w:t>
      </w:r>
    </w:p>
    <w:p w14:paraId="44FD0F4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These strategies are not mutually exclusive. Mature AI platforms frequently combine all three.</w:t>
      </w:r>
    </w:p>
    <w:p w14:paraId="3B403B43"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Buying Managed Capabilities</w:t>
      </w:r>
    </w:p>
    <w:p w14:paraId="2A2E47B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Purchasing managed AI services transfers significant operational responsibility to external providers. Organizations benefit from established infrastructure, continuous updates, operational expertise, and support agreements while avoiding much of the engineering effort associated with operating complex distributed systems.</w:t>
      </w:r>
    </w:p>
    <w:p w14:paraId="4C82112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Managed services often accelerate delivery because engineering teams concentrate on business applications instead of platform implementation. This advantage is particularly significant for organizations whose competitive differentiation depends on domain expertise rather than infrastructure engineering.</w:t>
      </w:r>
    </w:p>
    <w:p w14:paraId="34D988B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However, purchasing capabilities also introduces dependency on provider roadmaps, pricing models, release schedules, regional availability, and contractual relationships. Architectural flexibility may become constrained if applications depend directly upon provider-specific interfaces.</w:t>
      </w:r>
    </w:p>
    <w:p w14:paraId="185EDC7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Consequently, managed services should be evaluated not only according to technical capability but also according to the degree of architectural coupling they introduce.</w:t>
      </w:r>
    </w:p>
    <w:p w14:paraId="0A3D01CD"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Building Platform Components</w:t>
      </w:r>
    </w:p>
    <w:p w14:paraId="617AC1E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Developing platform capabilities internally provides maximum control over architecture, deployment, and operational behavior. Organizations determine interfaces, implementation details, release schedules, and integration strategies according to their own priorities.</w:t>
      </w:r>
    </w:p>
    <w:p w14:paraId="3D6DB01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Building internal capabilities becomes attractive when existing products cannot satisfy specialized requirements or when infrastructure itself constitutes a source of competitive advantage. Organizations operating at very large scale may also justify internal development because platform optimization can produce substantial operational savings over time.</w:t>
      </w:r>
    </w:p>
    <w:p w14:paraId="3409D8F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Nevertheless, internal development carries long-term obligations extending well beyond initial implementation. Every internally developed component requires documentation, testing, security maintenance, operational support, compatibility management, and ongoing engineering investment. These responsibilities frequently persist for many years.</w:t>
      </w:r>
    </w:p>
    <w:p w14:paraId="78D48D4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question is therefore not simply whether an organization can build a platform component, but whether it should assume responsibility for maintaining that component throughout its operational lifecycle.</w:t>
      </w:r>
    </w:p>
    <w:p w14:paraId="0D3D0D67"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Composing Platforms</w:t>
      </w:r>
    </w:p>
    <w:p w14:paraId="7A37E0D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Increasingly, organizations adopt composition rather than pursuing either extreme.</w:t>
      </w:r>
    </w:p>
    <w:p w14:paraId="4CB9695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Composable architectures assemble specialized components through stable interfaces while avoiding unnecessary reimplementation of existing capabilities. For example, a platform might combine commercial inference APIs, an open-source gateway, self-hosted retrieval infrastructure, managed object storage, enterprise identity services, and internally developed business workflows.</w:t>
      </w:r>
    </w:p>
    <w:p w14:paraId="000A917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Each component remains independently replaceable provided interfaces remain stable.</w:t>
      </w:r>
    </w:p>
    <w:p w14:paraId="307B1C7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strategy reflects broader developments within cloud-native engineering. Kubernetes itself does not attempt to provide every operational capability. Instead, it offers extensible interfaces allowing networking, storage, observability, security, and deployment systems to evolve independently. Modern AI platforms increasingly follow the same architectural philosophy.</w:t>
      </w:r>
    </w:p>
    <w:p w14:paraId="7DFF7E0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Composition also reduces technological risk. Individual components can mature independently, providers can be replaced gradually, and architectural improvements can be introduced incrementally rather than through disruptive platform migrations.</w:t>
      </w:r>
    </w:p>
    <w:p w14:paraId="4D920178"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Selecting the Appropriate Strategy</w:t>
      </w:r>
    </w:p>
    <w:p w14:paraId="754F446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No universal decision matrix determines whether organizations should build, buy, or compose. The appropriate balance depends upon organizational objectives, engineering capacity, regulatory requirements, and expected platform lifespan.</w:t>
      </w:r>
    </w:p>
    <w:p w14:paraId="7D007EF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Organizations whose primary objective is rapid application delivery frequently emphasize managed services. Platform engineering organizations supporting multiple business units often prioritize composable architectures. Highly regulated industries or organizations operating specialized workloads may justify greater investment in internally managed infrastructure.</w:t>
      </w:r>
    </w:p>
    <w:p w14:paraId="17135EF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An important observation follows from this analysis.</w:t>
      </w:r>
    </w:p>
    <w:p w14:paraId="5D2DE03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Successful platform engineering rarely attempts to maximize internal development. Instead, it seeks to maximize engineering effort devoted to capabilities that create organizational value while minimizing effort spent reproducing commodity infrastructure already available elsewhere.</w:t>
      </w:r>
    </w:p>
    <w:p w14:paraId="4400C08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2-5. Comparing Build, Buy, and Compose Strategies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82"/>
        <w:gridCol w:w="2944"/>
        <w:gridCol w:w="2602"/>
        <w:gridCol w:w="2827"/>
      </w:tblGrid>
      <w:tr w:rsidR="009D5944" w:rsidRPr="008652E9" w14:paraId="6004A8F9" w14:textId="77777777" w:rsidTr="008652E9">
        <w:trPr>
          <w:tblHeader/>
          <w:tblCellSpacing w:w="15" w:type="dxa"/>
        </w:trPr>
        <w:tc>
          <w:tcPr>
            <w:tcW w:w="0" w:type="auto"/>
            <w:vAlign w:val="center"/>
            <w:hideMark/>
          </w:tcPr>
          <w:p w14:paraId="6BE6ED9B"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Strategy</w:t>
            </w:r>
          </w:p>
        </w:tc>
        <w:tc>
          <w:tcPr>
            <w:tcW w:w="0" w:type="auto"/>
            <w:vAlign w:val="center"/>
            <w:hideMark/>
          </w:tcPr>
          <w:p w14:paraId="15364919"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Primary Benefits</w:t>
            </w:r>
          </w:p>
        </w:tc>
        <w:tc>
          <w:tcPr>
            <w:tcW w:w="0" w:type="auto"/>
            <w:vAlign w:val="center"/>
            <w:hideMark/>
          </w:tcPr>
          <w:p w14:paraId="5E9F0C3D"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Primary Challenges</w:t>
            </w:r>
          </w:p>
        </w:tc>
        <w:tc>
          <w:tcPr>
            <w:tcW w:w="0" w:type="auto"/>
            <w:vAlign w:val="center"/>
            <w:hideMark/>
          </w:tcPr>
          <w:p w14:paraId="16A556EE"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Most Appropriate When</w:t>
            </w:r>
          </w:p>
        </w:tc>
      </w:tr>
      <w:tr w:rsidR="009D5944" w:rsidRPr="008652E9" w14:paraId="46C60BEA" w14:textId="77777777" w:rsidTr="008652E9">
        <w:trPr>
          <w:tblCellSpacing w:w="15" w:type="dxa"/>
        </w:trPr>
        <w:tc>
          <w:tcPr>
            <w:tcW w:w="0" w:type="auto"/>
            <w:vAlign w:val="center"/>
            <w:hideMark/>
          </w:tcPr>
          <w:p w14:paraId="2DD3415C"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Buy</w:t>
            </w:r>
          </w:p>
        </w:tc>
        <w:tc>
          <w:tcPr>
            <w:tcW w:w="0" w:type="auto"/>
            <w:vAlign w:val="center"/>
            <w:hideMark/>
          </w:tcPr>
          <w:p w14:paraId="1C7F254A"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Rapid implementation, reduced operational responsibility, predictable support</w:t>
            </w:r>
          </w:p>
        </w:tc>
        <w:tc>
          <w:tcPr>
            <w:tcW w:w="0" w:type="auto"/>
            <w:vAlign w:val="center"/>
            <w:hideMark/>
          </w:tcPr>
          <w:p w14:paraId="54C64A9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Provider dependence, limited customization, contractual constraints</w:t>
            </w:r>
          </w:p>
        </w:tc>
        <w:tc>
          <w:tcPr>
            <w:tcW w:w="0" w:type="auto"/>
            <w:vAlign w:val="center"/>
            <w:hideMark/>
          </w:tcPr>
          <w:p w14:paraId="56278FD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Business value depends primarily on applications rather than infrastructure</w:t>
            </w:r>
          </w:p>
        </w:tc>
      </w:tr>
      <w:tr w:rsidR="009D5944" w:rsidRPr="008652E9" w14:paraId="69F28F57" w14:textId="77777777" w:rsidTr="008652E9">
        <w:trPr>
          <w:tblCellSpacing w:w="15" w:type="dxa"/>
        </w:trPr>
        <w:tc>
          <w:tcPr>
            <w:tcW w:w="0" w:type="auto"/>
            <w:vAlign w:val="center"/>
            <w:hideMark/>
          </w:tcPr>
          <w:p w14:paraId="36C3DD8F"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Build</w:t>
            </w:r>
          </w:p>
        </w:tc>
        <w:tc>
          <w:tcPr>
            <w:tcW w:w="0" w:type="auto"/>
            <w:vAlign w:val="center"/>
            <w:hideMark/>
          </w:tcPr>
          <w:p w14:paraId="131790B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Complete architectural control, customization, infrastructure optimization</w:t>
            </w:r>
          </w:p>
        </w:tc>
        <w:tc>
          <w:tcPr>
            <w:tcW w:w="0" w:type="auto"/>
            <w:vAlign w:val="center"/>
            <w:hideMark/>
          </w:tcPr>
          <w:p w14:paraId="0A178730"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Significant long-term maintenance, staffing, operational ownership</w:t>
            </w:r>
          </w:p>
        </w:tc>
        <w:tc>
          <w:tcPr>
            <w:tcW w:w="0" w:type="auto"/>
            <w:vAlign w:val="center"/>
            <w:hideMark/>
          </w:tcPr>
          <w:p w14:paraId="43A9F39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Platform capabilities provide strategic advantage or satisfy unique requirements</w:t>
            </w:r>
          </w:p>
        </w:tc>
      </w:tr>
      <w:tr w:rsidR="009D5944" w:rsidRPr="008652E9" w14:paraId="05E45DAB" w14:textId="77777777" w:rsidTr="008652E9">
        <w:trPr>
          <w:tblCellSpacing w:w="15" w:type="dxa"/>
        </w:trPr>
        <w:tc>
          <w:tcPr>
            <w:tcW w:w="0" w:type="auto"/>
            <w:vAlign w:val="center"/>
            <w:hideMark/>
          </w:tcPr>
          <w:p w14:paraId="1971F23F"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Compose</w:t>
            </w:r>
          </w:p>
        </w:tc>
        <w:tc>
          <w:tcPr>
            <w:tcW w:w="0" w:type="auto"/>
            <w:vAlign w:val="center"/>
            <w:hideMark/>
          </w:tcPr>
          <w:p w14:paraId="4367151B"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Flexibility, replaceability, incremental evolution, interoperability</w:t>
            </w:r>
          </w:p>
        </w:tc>
        <w:tc>
          <w:tcPr>
            <w:tcW w:w="0" w:type="auto"/>
            <w:vAlign w:val="center"/>
            <w:hideMark/>
          </w:tcPr>
          <w:p w14:paraId="64A18BD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Greater architectural design effort, integration complexity</w:t>
            </w:r>
          </w:p>
        </w:tc>
        <w:tc>
          <w:tcPr>
            <w:tcW w:w="0" w:type="auto"/>
            <w:vAlign w:val="center"/>
            <w:hideMark/>
          </w:tcPr>
          <w:p w14:paraId="247DB70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Organizations seeking long-term adaptability across evolving technologies</w:t>
            </w:r>
          </w:p>
        </w:tc>
      </w:tr>
    </w:tbl>
    <w:p w14:paraId="24EA2AD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remainder of this chapter adopts the composable perspective because it best reflects current industry practice. Modern AI platforms are increasingly assembled from interoperable components rather than delivered as monolithic products.</w:t>
      </w:r>
    </w:p>
    <w:p w14:paraId="467A12AF" w14:textId="77777777" w:rsidR="009D5944" w:rsidRPr="009D5944" w:rsidRDefault="008652E9" w:rsidP="009D5944">
      <w:pPr>
        <w:rPr>
          <w:rFonts w:ascii="Calibri" w:eastAsia="Calibri" w:hAnsi="Calibri" w:cs="Times New Roman"/>
          <w:sz w:val="24"/>
        </w:rPr>
      </w:pPr>
      <w:r>
        <w:rPr>
          <w:rFonts w:ascii="Calibri" w:eastAsia="Calibri" w:hAnsi="Calibri" w:cs="Times New Roman"/>
          <w:sz w:val="24"/>
        </w:rPr>
        <w:pict w14:anchorId="1658EE05">
          <v:rect id="_x0000_i1028" style="width:0;height:1.5pt" o:hralign="center" o:hrstd="t" o:hr="t" fillcolor="#a0a0a0" stroked="f"/>
        </w:pict>
      </w:r>
    </w:p>
    <w:p w14:paraId="542B8D3A"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2.6 Reference Architecture Philosophy</w:t>
      </w:r>
    </w:p>
    <w:p w14:paraId="25D5D91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Reference architectures occupy a central role in engineering disciplines because they provide reusable solutions to recurring design problems without prescribing specific implementations. They capture architectural experience accumulated across multiple organizations and projects, enabling engineers to begin from proven structural patterns rather than designing every system from first principles.</w:t>
      </w:r>
    </w:p>
    <w:p w14:paraId="17F70EB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Within AI Platform Engineering, reference architectures are particularly valuable because the underlying technologies evolve rapidly while many architectural principles remain comparatively stable.</w:t>
      </w:r>
    </w:p>
    <w:p w14:paraId="7BFC72D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It is important, however, to understand what a reference architecture is—and what it is not.</w:t>
      </w:r>
    </w:p>
    <w:p w14:paraId="1ECFC08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 reference architecture is </w:t>
      </w:r>
      <w:r w:rsidRPr="009D5944">
        <w:rPr>
          <w:rFonts w:ascii="Times New Roman" w:eastAsia="Times New Roman" w:hAnsi="Times New Roman" w:cs="Times New Roman"/>
          <w:b/>
          <w:bCs/>
          <w:sz w:val="28"/>
          <w:szCs w:val="24"/>
        </w:rPr>
        <w:t>not</w:t>
      </w:r>
      <w:r w:rsidRPr="009D5944">
        <w:rPr>
          <w:rFonts w:ascii="Times New Roman" w:eastAsia="Times New Roman" w:hAnsi="Times New Roman" w:cs="Times New Roman"/>
          <w:sz w:val="28"/>
          <w:szCs w:val="24"/>
        </w:rPr>
        <w:t xml:space="preserve"> a deployment template.</w:t>
      </w:r>
    </w:p>
    <w:p w14:paraId="231A146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It is </w:t>
      </w:r>
      <w:r w:rsidRPr="009D5944">
        <w:rPr>
          <w:rFonts w:ascii="Times New Roman" w:eastAsia="Times New Roman" w:hAnsi="Times New Roman" w:cs="Times New Roman"/>
          <w:b/>
          <w:bCs/>
          <w:sz w:val="28"/>
          <w:szCs w:val="24"/>
        </w:rPr>
        <w:t>not</w:t>
      </w:r>
      <w:r w:rsidRPr="009D5944">
        <w:rPr>
          <w:rFonts w:ascii="Times New Roman" w:eastAsia="Times New Roman" w:hAnsi="Times New Roman" w:cs="Times New Roman"/>
          <w:sz w:val="28"/>
          <w:szCs w:val="24"/>
        </w:rPr>
        <w:t xml:space="preserve"> a product recommendation.</w:t>
      </w:r>
    </w:p>
    <w:p w14:paraId="3A8E461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It is </w:t>
      </w:r>
      <w:r w:rsidRPr="009D5944">
        <w:rPr>
          <w:rFonts w:ascii="Times New Roman" w:eastAsia="Times New Roman" w:hAnsi="Times New Roman" w:cs="Times New Roman"/>
          <w:b/>
          <w:bCs/>
          <w:sz w:val="28"/>
          <w:szCs w:val="24"/>
        </w:rPr>
        <w:t>not</w:t>
      </w:r>
      <w:r w:rsidRPr="009D5944">
        <w:rPr>
          <w:rFonts w:ascii="Times New Roman" w:eastAsia="Times New Roman" w:hAnsi="Times New Roman" w:cs="Times New Roman"/>
          <w:sz w:val="28"/>
          <w:szCs w:val="24"/>
        </w:rPr>
        <w:t xml:space="preserve"> a vendor certification.</w:t>
      </w:r>
    </w:p>
    <w:p w14:paraId="7F244F9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Nor is it a guarantee that a particular architecture represents industry best practice for every organization.</w:t>
      </w:r>
    </w:p>
    <w:p w14:paraId="2F0E9FF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Instead, a reference architecture describes a logical arrangement of responsibilities and interactions that has proven broadly useful across multiple environments. Individual implementations remain free to substitute different technologies while preserving the same architectural relationships.</w:t>
      </w:r>
    </w:p>
    <w:p w14:paraId="5F1B721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For example, a reference architecture may include an AI gateway positioned between applications and inference services. Whether that gateway is implemented using a commercial platform, an open-source project, or internally developed software does not alter the architectural role it performs. Likewise, the retrieval layer may be implemented using different databases, search systems, or storage technologies while maintaining the same conceptual responsibility within the overall platform.</w:t>
      </w:r>
    </w:p>
    <w:p w14:paraId="3AF5A2E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distinction allows architectural discussions to remain relevant even as individual products evolve.</w:t>
      </w:r>
    </w:p>
    <w:p w14:paraId="7C76F54B"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Logical, Physical, and Deployment Architectures</w:t>
      </w:r>
    </w:p>
    <w:p w14:paraId="7AAD30B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Architectural discussions often become confusing because several different types of architecture are described using similar terminology.</w:t>
      </w:r>
    </w:p>
    <w:p w14:paraId="61338B1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 </w:t>
      </w:r>
      <w:r w:rsidRPr="009D5944">
        <w:rPr>
          <w:rFonts w:ascii="Times New Roman" w:eastAsia="Times New Roman" w:hAnsi="Times New Roman" w:cs="Times New Roman"/>
          <w:b/>
          <w:bCs/>
          <w:sz w:val="28"/>
          <w:szCs w:val="24"/>
        </w:rPr>
        <w:t>logical architecture</w:t>
      </w:r>
      <w:r w:rsidRPr="009D5944">
        <w:rPr>
          <w:rFonts w:ascii="Times New Roman" w:eastAsia="Times New Roman" w:hAnsi="Times New Roman" w:cs="Times New Roman"/>
          <w:sz w:val="28"/>
          <w:szCs w:val="24"/>
        </w:rPr>
        <w:t xml:space="preserve"> defines responsibilities and interactions among major system components. It explains what functions exist and how information flows between them without specifying implementation technologies.</w:t>
      </w:r>
    </w:p>
    <w:p w14:paraId="116CCA4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 </w:t>
      </w:r>
      <w:r w:rsidRPr="009D5944">
        <w:rPr>
          <w:rFonts w:ascii="Times New Roman" w:eastAsia="Times New Roman" w:hAnsi="Times New Roman" w:cs="Times New Roman"/>
          <w:b/>
          <w:bCs/>
          <w:sz w:val="28"/>
          <w:szCs w:val="24"/>
        </w:rPr>
        <w:t>physical architecture</w:t>
      </w:r>
      <w:r w:rsidRPr="009D5944">
        <w:rPr>
          <w:rFonts w:ascii="Times New Roman" w:eastAsia="Times New Roman" w:hAnsi="Times New Roman" w:cs="Times New Roman"/>
          <w:sz w:val="28"/>
          <w:szCs w:val="24"/>
        </w:rPr>
        <w:t xml:space="preserve"> maps those logical components onto infrastructure resources such as clusters, networks, storage systems, accelerators, and cloud services. Physical architectures introduce operational concerns including scalability, resilience, and infrastructure ownership.</w:t>
      </w:r>
    </w:p>
    <w:p w14:paraId="1597D69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 xml:space="preserve">A </w:t>
      </w:r>
      <w:r w:rsidRPr="009D5944">
        <w:rPr>
          <w:rFonts w:ascii="Times New Roman" w:eastAsia="Times New Roman" w:hAnsi="Times New Roman" w:cs="Times New Roman"/>
          <w:b/>
          <w:bCs/>
          <w:sz w:val="28"/>
          <w:szCs w:val="24"/>
        </w:rPr>
        <w:t>deployment architecture</w:t>
      </w:r>
      <w:r w:rsidRPr="009D5944">
        <w:rPr>
          <w:rFonts w:ascii="Times New Roman" w:eastAsia="Times New Roman" w:hAnsi="Times New Roman" w:cs="Times New Roman"/>
          <w:sz w:val="28"/>
          <w:szCs w:val="24"/>
        </w:rPr>
        <w:t xml:space="preserve"> describes how software components are packaged, released, upgraded, and operated throughout their lifecycle. Topics such as container orchestration, GitOps workflows, deployment pipelines, progressive delivery, and infrastructure automation belong primarily to deployment architecture rather than logical system design.</w:t>
      </w:r>
    </w:p>
    <w:p w14:paraId="7D1104F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distinction explains why deployment mechanics are intentionally deferred to Chapter 16. At this stage, the focus remains on understanding the structural relationships among platform components rather than their operational implementation.</w:t>
      </w:r>
    </w:p>
    <w:p w14:paraId="10F7B5CC"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Architectural Stability Through Abstraction</w:t>
      </w:r>
    </w:p>
    <w:p w14:paraId="0A060C9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One of the principal objectives of a reference architecture is to isolate stable architectural concepts from rapidly changing technologies.</w:t>
      </w:r>
    </w:p>
    <w:p w14:paraId="251D6FD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Models change.</w:t>
      </w:r>
    </w:p>
    <w:p w14:paraId="75578DE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Inference engines evolve.</w:t>
      </w:r>
    </w:p>
    <w:p w14:paraId="3AEB9CC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Frameworks appear and disappear.</w:t>
      </w:r>
    </w:p>
    <w:p w14:paraId="7BE956A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Benchmark leaders change regularly.</w:t>
      </w:r>
    </w:p>
    <w:p w14:paraId="41AF1E6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Yet enterprise applications continue to require authentication, governance, routing, knowledge integration, operational visibility, and deployment automation.</w:t>
      </w:r>
    </w:p>
    <w:p w14:paraId="762D996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Reference architectures therefore organize systems around enduring responsibilities rather than transient products.</w:t>
      </w:r>
    </w:p>
    <w:p w14:paraId="4E62CB4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Recent industry guidance reflects this direction. Cloud providers increasingly publish architectures centered on common ingress layers, policy enforcement, routing services, and independent inference backends rather than tightly coupling applications to individual model providers. Similarly, emerging Kubernetes AI initiatives extend existing networking abstractions instead of replacing them with AI-specific infrastructure, demonstrating that AI platforms increasingly build upon mature cloud-native foundations rather than establishing entirely separate operational ecosystems. (Google Cloud Architecture Center, </w:t>
      </w:r>
      <w:r w:rsidRPr="009D5944">
        <w:rPr>
          <w:rFonts w:ascii="Times New Roman" w:eastAsia="Times New Roman" w:hAnsi="Times New Roman" w:cs="Times New Roman"/>
          <w:i/>
          <w:iCs/>
          <w:sz w:val="28"/>
          <w:szCs w:val="24"/>
        </w:rPr>
        <w:t>Networking for AI Inference on All Backends</w:t>
      </w:r>
      <w:r w:rsidRPr="009D5944">
        <w:rPr>
          <w:rFonts w:ascii="Times New Roman" w:eastAsia="Times New Roman" w:hAnsi="Times New Roman" w:cs="Times New Roman"/>
          <w:sz w:val="28"/>
          <w:szCs w:val="24"/>
        </w:rPr>
        <w:t>, 2026; Kubernetes AI Gateway Working Group, 2026.)</w:t>
      </w:r>
    </w:p>
    <w:p w14:paraId="3F1E1C85" w14:textId="77777777" w:rsidR="009D5944" w:rsidRPr="009D5944" w:rsidRDefault="009D5944" w:rsidP="009D5944">
      <w:pPr>
        <w:keepNext/>
        <w:keepLines/>
        <w:spacing w:before="40" w:after="0"/>
        <w:outlineLvl w:val="1"/>
        <w:rPr>
          <w:rFonts w:ascii="Calibri Light" w:eastAsia="Times New Roman" w:hAnsi="Calibri Light" w:cs="Times New Roman"/>
          <w:color w:val="2F5496"/>
          <w:sz w:val="28"/>
          <w:szCs w:val="26"/>
        </w:rPr>
      </w:pPr>
      <w:r w:rsidRPr="009D5944">
        <w:rPr>
          <w:rFonts w:ascii="Calibri Light" w:eastAsia="Times New Roman" w:hAnsi="Calibri Light" w:cs="Times New Roman"/>
          <w:color w:val="2F5496"/>
          <w:sz w:val="28"/>
          <w:szCs w:val="26"/>
        </w:rPr>
        <w:t>Using Reference Architectures Effectively</w:t>
      </w:r>
    </w:p>
    <w:p w14:paraId="0138E21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reference architectures presented throughout the remainder of this chapter should therefore be interpreted as analytical tools rather than implementation blueprints.</w:t>
      </w:r>
    </w:p>
    <w:p w14:paraId="7E46B35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Each architecture emphasizes different engineering priorities.</w:t>
      </w:r>
    </w:p>
    <w:p w14:paraId="795C18A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Some prioritize rapid adoption through managed services.</w:t>
      </w:r>
    </w:p>
    <w:p w14:paraId="5D29CB0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Others maximize deployment control and regulatory compliance.</w:t>
      </w:r>
    </w:p>
    <w:p w14:paraId="275FA79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Some optimize organizational flexibility through provider abstraction.</w:t>
      </w:r>
    </w:p>
    <w:p w14:paraId="1BACF49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Others reduce operational complexity by minimizing infrastructure ownership.</w:t>
      </w:r>
    </w:p>
    <w:p w14:paraId="5531240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None should be considered universally superior.</w:t>
      </w:r>
    </w:p>
    <w:p w14:paraId="5940A13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Instead, readers should evaluate how well each architecture satisfies the requirement categories introduced earlier in this chapter. The objective is not to copy an architecture directly, but to understand the engineering rationale underlying each design so that similar reasoning can be applied to new organizational contexts.</w:t>
      </w:r>
    </w:p>
    <w:p w14:paraId="1F76D34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following sections present several representative AI platform architectures that illustrate how these principles are applied in practice. Although they differ significantly in deployment strategy and operational responsibilities, each is derived from the same architectural dimensions established earlier in the chapter.</w:t>
      </w:r>
    </w:p>
    <w:p w14:paraId="2C93A854"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2.7 Reference Architecture A — API-Centric Enterprise Platform</w:t>
      </w:r>
    </w:p>
    <w:p w14:paraId="37AD631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For many organizations beginning production AI adoption, the most appropriate architecture is also the simplest. Rather than operating inference infrastructure internally, applications consume foundation models through commercially managed APIs while the organization focuses its engineering effort on application development, business integration, governance, and operational reliability.</w:t>
      </w:r>
    </w:p>
    <w:p w14:paraId="11BEB17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architecture should not be viewed as a temporary prototype. Many mature enterprises successfully operate production AI systems using commercial model providers because the architecture aligns well with their operational priorities. The objective is not to maximize infrastructure ownership but to maximize business value while minimizing unnecessary operational complexity.</w:t>
      </w:r>
    </w:p>
    <w:p w14:paraId="5BAAC26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At a logical level, the architecture consists of several distinct layers.</w:t>
      </w:r>
    </w:p>
    <w:p w14:paraId="40EFB3C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Business applications interact with an internal AI access layer rather than communicating directly with external providers. This access layer performs authentication, request validation, provider abstraction, policy enforcement, logging, and routing. Requests are then forwarded to one or more commercial AI services. Enterprise data remains within organizational systems and is incorporated </w:t>
      </w:r>
      <w:r w:rsidRPr="009D5944">
        <w:rPr>
          <w:rFonts w:ascii="Times New Roman" w:eastAsia="Times New Roman" w:hAnsi="Times New Roman" w:cs="Times New Roman"/>
          <w:sz w:val="28"/>
          <w:szCs w:val="24"/>
        </w:rPr>
        <w:lastRenderedPageBreak/>
        <w:t>through application logic or retrieval mechanisms before requests reach the external model.</w:t>
      </w:r>
    </w:p>
    <w:p w14:paraId="46D1413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Although Chapter 6 discusses AI gateways in detail, it is useful to introduce their architectural role here. Even organizations using a single provider benefit from a centralized integration layer because it isolates applications from provider-specific APIs. If a provider changes authentication mechanisms, introduces new API versions, or is later replaced, only the gateway layer requires modification rather than every application within the organization.</w:t>
      </w:r>
    </w:p>
    <w:p w14:paraId="64BEFBD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architecture also separates business systems from AI infrastructure. Enterprise applications continue to interact with internal databases, document repositories, identity providers, and business services exactly as they would in conventional distributed systems. AI capabilities become another platform service rather than replacing established enterprise architecture.</w:t>
      </w:r>
    </w:p>
    <w:p w14:paraId="0DCF8D4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separation provides an important operational advantage. AI adoption becomes incremental rather than disruptive. Existing applications incorporate AI functionality while preserving their established deployment models, security controls, and operational processes.</w:t>
      </w:r>
    </w:p>
    <w:p w14:paraId="6E6B4BB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From an engineering perspective, the primary responsibility of the platform shifts away from infrastructure management toward service integration. Engineering effort is concentrated on prompt engineering, retrieval pipelines, application logic, governance, testing, and user experience rather than GPU scheduling or inference optimization.</w:t>
      </w:r>
    </w:p>
    <w:p w14:paraId="25444F1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architecture is particularly well suited to organizations with the following characteristics:</w:t>
      </w:r>
    </w:p>
    <w:p w14:paraId="489A4A2B" w14:textId="77777777" w:rsidR="009D5944" w:rsidRPr="008652E9" w:rsidRDefault="009D5944" w:rsidP="009D5944">
      <w:pPr>
        <w:numPr>
          <w:ilvl w:val="0"/>
          <w:numId w:val="3"/>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relatively small platform engineering teams, </w:t>
      </w:r>
    </w:p>
    <w:p w14:paraId="621C2B49" w14:textId="77777777" w:rsidR="009D5944" w:rsidRPr="008652E9" w:rsidRDefault="009D5944" w:rsidP="009D5944">
      <w:pPr>
        <w:numPr>
          <w:ilvl w:val="0"/>
          <w:numId w:val="3"/>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rapidly evolving business requirements, </w:t>
      </w:r>
    </w:p>
    <w:p w14:paraId="6DB57D49" w14:textId="77777777" w:rsidR="009D5944" w:rsidRPr="008652E9" w:rsidRDefault="009D5944" w:rsidP="009D5944">
      <w:pPr>
        <w:numPr>
          <w:ilvl w:val="0"/>
          <w:numId w:val="3"/>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limited experience operating accelerator infrastructure, </w:t>
      </w:r>
    </w:p>
    <w:p w14:paraId="66945DB1" w14:textId="77777777" w:rsidR="009D5944" w:rsidRPr="008652E9" w:rsidRDefault="009D5944" w:rsidP="009D5944">
      <w:pPr>
        <w:numPr>
          <w:ilvl w:val="0"/>
          <w:numId w:val="3"/>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moderate inference volumes, </w:t>
      </w:r>
    </w:p>
    <w:p w14:paraId="64DB3906" w14:textId="77777777" w:rsidR="009D5944" w:rsidRPr="008652E9" w:rsidRDefault="009D5944" w:rsidP="009D5944">
      <w:pPr>
        <w:numPr>
          <w:ilvl w:val="0"/>
          <w:numId w:val="3"/>
        </w:numPr>
        <w:spacing w:before="100" w:beforeAutospacing="1" w:after="100" w:afterAutospacing="1" w:line="240" w:lineRule="auto"/>
        <w:rPr>
          <w:rFonts w:ascii="Times New Roman" w:eastAsia="Calibri" w:hAnsi="Times New Roman" w:cs="Times New Roman"/>
          <w:sz w:val="28"/>
          <w:szCs w:val="24"/>
        </w:rPr>
      </w:pPr>
      <w:r w:rsidRPr="008652E9">
        <w:rPr>
          <w:rFonts w:ascii="Times New Roman" w:eastAsia="Calibri" w:hAnsi="Times New Roman" w:cs="Times New Roman"/>
          <w:sz w:val="28"/>
          <w:szCs w:val="24"/>
        </w:rPr>
        <w:t xml:space="preserve">preference for predictable operational responsibilities. </w:t>
      </w:r>
    </w:p>
    <w:p w14:paraId="4927805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These characteristics describe a surprisingly large portion of enterprise AI deployments.</w:t>
      </w:r>
    </w:p>
    <w:p w14:paraId="0B731EF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However, API-centric architectures also introduce important limitations.</w:t>
      </w:r>
    </w:p>
    <w:p w14:paraId="5A77944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Applications ultimately depend upon provider availability, supported regions, pricing structures, release schedules, and contractual agreements. Infrastructure optimization opportunities remain limited because hardware, serving strategies, batching algorithms, and scheduling policies are controlled by the provider. </w:t>
      </w:r>
      <w:r w:rsidRPr="009D5944">
        <w:rPr>
          <w:rFonts w:ascii="Times New Roman" w:eastAsia="Times New Roman" w:hAnsi="Times New Roman" w:cs="Times New Roman"/>
          <w:sz w:val="28"/>
          <w:szCs w:val="24"/>
        </w:rPr>
        <w:lastRenderedPageBreak/>
        <w:t>Organizations requiring complete deployment control or strict data sovereignty may therefore find this architecture unsuitable.</w:t>
      </w:r>
    </w:p>
    <w:p w14:paraId="3880BB5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It is also important to distinguish between </w:t>
      </w:r>
      <w:r w:rsidRPr="009D5944">
        <w:rPr>
          <w:rFonts w:ascii="Times New Roman" w:eastAsia="Times New Roman" w:hAnsi="Times New Roman" w:cs="Times New Roman"/>
          <w:b/>
          <w:bCs/>
          <w:sz w:val="28"/>
          <w:szCs w:val="24"/>
        </w:rPr>
        <w:t>logical simplicity</w:t>
      </w:r>
      <w:r w:rsidRPr="009D5944">
        <w:rPr>
          <w:rFonts w:ascii="Times New Roman" w:eastAsia="Times New Roman" w:hAnsi="Times New Roman" w:cs="Times New Roman"/>
          <w:sz w:val="28"/>
          <w:szCs w:val="24"/>
        </w:rPr>
        <w:t xml:space="preserve"> and </w:t>
      </w:r>
      <w:r w:rsidRPr="009D5944">
        <w:rPr>
          <w:rFonts w:ascii="Times New Roman" w:eastAsia="Times New Roman" w:hAnsi="Times New Roman" w:cs="Times New Roman"/>
          <w:b/>
          <w:bCs/>
          <w:sz w:val="28"/>
          <w:szCs w:val="24"/>
        </w:rPr>
        <w:t>architectural immaturity</w:t>
      </w:r>
      <w:r w:rsidRPr="009D5944">
        <w:rPr>
          <w:rFonts w:ascii="Times New Roman" w:eastAsia="Times New Roman" w:hAnsi="Times New Roman" w:cs="Times New Roman"/>
          <w:sz w:val="28"/>
          <w:szCs w:val="24"/>
        </w:rPr>
        <w:t>. Although this reference architecture minimizes infrastructure ownership, it still requires robust authentication, evaluation pipelines, governance controls, operational monitoring, deployment automation, and security practices. Those responsibilities do not disappear simply because inference is externally managed.</w:t>
      </w:r>
    </w:p>
    <w:p w14:paraId="3D9EE38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2-6. Characteristics of an API-Centric Enterprise Platform</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906"/>
        <w:gridCol w:w="6449"/>
      </w:tblGrid>
      <w:tr w:rsidR="009D5944" w:rsidRPr="008652E9" w14:paraId="1D085135" w14:textId="77777777" w:rsidTr="008652E9">
        <w:trPr>
          <w:tblHeader/>
          <w:tblCellSpacing w:w="15" w:type="dxa"/>
        </w:trPr>
        <w:tc>
          <w:tcPr>
            <w:tcW w:w="0" w:type="auto"/>
            <w:vAlign w:val="center"/>
            <w:hideMark/>
          </w:tcPr>
          <w:p w14:paraId="138A6D82"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Characteristic</w:t>
            </w:r>
          </w:p>
        </w:tc>
        <w:tc>
          <w:tcPr>
            <w:tcW w:w="0" w:type="auto"/>
            <w:vAlign w:val="center"/>
            <w:hideMark/>
          </w:tcPr>
          <w:p w14:paraId="4097DD0F"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Architectural Implication</w:t>
            </w:r>
          </w:p>
        </w:tc>
      </w:tr>
      <w:tr w:rsidR="009D5944" w:rsidRPr="008652E9" w14:paraId="7F2788D0" w14:textId="77777777" w:rsidTr="008652E9">
        <w:trPr>
          <w:tblCellSpacing w:w="15" w:type="dxa"/>
        </w:trPr>
        <w:tc>
          <w:tcPr>
            <w:tcW w:w="0" w:type="auto"/>
            <w:vAlign w:val="center"/>
            <w:hideMark/>
          </w:tcPr>
          <w:p w14:paraId="6320200A"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Models provided through commercial APIs</w:t>
            </w:r>
          </w:p>
        </w:tc>
        <w:tc>
          <w:tcPr>
            <w:tcW w:w="0" w:type="auto"/>
            <w:vAlign w:val="center"/>
            <w:hideMark/>
          </w:tcPr>
          <w:p w14:paraId="627A0BE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Infrastructure complexity is transferred to the provider while applications remain focused on business functionality.</w:t>
            </w:r>
          </w:p>
        </w:tc>
      </w:tr>
      <w:tr w:rsidR="009D5944" w:rsidRPr="008652E9" w14:paraId="3B7A7E21" w14:textId="77777777" w:rsidTr="008652E9">
        <w:trPr>
          <w:tblCellSpacing w:w="15" w:type="dxa"/>
        </w:trPr>
        <w:tc>
          <w:tcPr>
            <w:tcW w:w="0" w:type="auto"/>
            <w:vAlign w:val="center"/>
            <w:hideMark/>
          </w:tcPr>
          <w:p w14:paraId="2AB882FC"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Internal AI access layer</w:t>
            </w:r>
          </w:p>
        </w:tc>
        <w:tc>
          <w:tcPr>
            <w:tcW w:w="0" w:type="auto"/>
            <w:vAlign w:val="center"/>
            <w:hideMark/>
          </w:tcPr>
          <w:p w14:paraId="0385B4EC"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Provides abstraction, authentication, policy enforcement, and future provider flexibility.</w:t>
            </w:r>
          </w:p>
        </w:tc>
      </w:tr>
      <w:tr w:rsidR="009D5944" w:rsidRPr="008652E9" w14:paraId="571EFDC8" w14:textId="77777777" w:rsidTr="008652E9">
        <w:trPr>
          <w:tblCellSpacing w:w="15" w:type="dxa"/>
        </w:trPr>
        <w:tc>
          <w:tcPr>
            <w:tcW w:w="0" w:type="auto"/>
            <w:vAlign w:val="center"/>
            <w:hideMark/>
          </w:tcPr>
          <w:p w14:paraId="65457AE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Enterprise data remains internal</w:t>
            </w:r>
          </w:p>
        </w:tc>
        <w:tc>
          <w:tcPr>
            <w:tcW w:w="0" w:type="auto"/>
            <w:vAlign w:val="center"/>
            <w:hideMark/>
          </w:tcPr>
          <w:p w14:paraId="3588AB4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Sensitive information is managed according to organizational policies before interacting with external services.</w:t>
            </w:r>
          </w:p>
        </w:tc>
      </w:tr>
      <w:tr w:rsidR="009D5944" w:rsidRPr="008652E9" w14:paraId="1DB7ACE7" w14:textId="77777777" w:rsidTr="008652E9">
        <w:trPr>
          <w:tblCellSpacing w:w="15" w:type="dxa"/>
        </w:trPr>
        <w:tc>
          <w:tcPr>
            <w:tcW w:w="0" w:type="auto"/>
            <w:vAlign w:val="center"/>
            <w:hideMark/>
          </w:tcPr>
          <w:p w14:paraId="5AFAD6B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Minimal infrastructure ownership</w:t>
            </w:r>
          </w:p>
        </w:tc>
        <w:tc>
          <w:tcPr>
            <w:tcW w:w="0" w:type="auto"/>
            <w:vAlign w:val="center"/>
            <w:hideMark/>
          </w:tcPr>
          <w:p w14:paraId="640B39DD"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Platform engineering focuses on integration rather than inference operations.</w:t>
            </w:r>
          </w:p>
        </w:tc>
      </w:tr>
      <w:tr w:rsidR="009D5944" w:rsidRPr="008652E9" w14:paraId="117FAC9F" w14:textId="77777777" w:rsidTr="008652E9">
        <w:trPr>
          <w:tblCellSpacing w:w="15" w:type="dxa"/>
        </w:trPr>
        <w:tc>
          <w:tcPr>
            <w:tcW w:w="0" w:type="auto"/>
            <w:vAlign w:val="center"/>
            <w:hideMark/>
          </w:tcPr>
          <w:p w14:paraId="2A70D6B0"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Fast adoption of new models</w:t>
            </w:r>
          </w:p>
        </w:tc>
        <w:tc>
          <w:tcPr>
            <w:tcW w:w="0" w:type="auto"/>
            <w:vAlign w:val="center"/>
            <w:hideMark/>
          </w:tcPr>
          <w:p w14:paraId="45E8DD54"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Provider upgrades become available without infrastructure migrations.</w:t>
            </w:r>
          </w:p>
        </w:tc>
      </w:tr>
      <w:tr w:rsidR="009D5944" w:rsidRPr="008652E9" w14:paraId="4FCEAFE8" w14:textId="77777777" w:rsidTr="008652E9">
        <w:trPr>
          <w:tblCellSpacing w:w="15" w:type="dxa"/>
        </w:trPr>
        <w:tc>
          <w:tcPr>
            <w:tcW w:w="0" w:type="auto"/>
            <w:vAlign w:val="center"/>
            <w:hideMark/>
          </w:tcPr>
          <w:p w14:paraId="6A0DFFB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Limited deployment control</w:t>
            </w:r>
          </w:p>
        </w:tc>
        <w:tc>
          <w:tcPr>
            <w:tcW w:w="0" w:type="auto"/>
            <w:vAlign w:val="center"/>
            <w:hideMark/>
          </w:tcPr>
          <w:p w14:paraId="3617F2E9"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Hardware configuration, serving implementation, and upgrade timing remain provider responsibilities.</w:t>
            </w:r>
          </w:p>
        </w:tc>
      </w:tr>
    </w:tbl>
    <w:p w14:paraId="473F3A4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API-centric architectures represent the lowest operational barrier to production AI adoption. They establish many of the architectural patterns explored throughout the remainder of this book while avoiding much of the infrastructure complexity associated with self-managed inference.</w:t>
      </w:r>
    </w:p>
    <w:p w14:paraId="5FAAF427" w14:textId="77777777" w:rsidR="009D5944" w:rsidRPr="009D5944" w:rsidRDefault="008652E9" w:rsidP="009D5944">
      <w:pPr>
        <w:rPr>
          <w:rFonts w:ascii="Calibri" w:eastAsia="Calibri" w:hAnsi="Calibri" w:cs="Times New Roman"/>
          <w:sz w:val="24"/>
        </w:rPr>
      </w:pPr>
      <w:r>
        <w:rPr>
          <w:rFonts w:ascii="Calibri" w:eastAsia="Calibri" w:hAnsi="Calibri" w:cs="Times New Roman"/>
          <w:sz w:val="24"/>
        </w:rPr>
        <w:pict w14:anchorId="6CAFE851">
          <v:rect id="_x0000_i1029" style="width:0;height:1.5pt" o:hralign="center" o:hrstd="t" o:hr="t" fillcolor="#a0a0a0" stroked="f"/>
        </w:pict>
      </w:r>
    </w:p>
    <w:p w14:paraId="3C6577E0"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2.8 Reference Architecture B — Hybrid Enterprise Platform</w:t>
      </w:r>
    </w:p>
    <w:p w14:paraId="1BB4A1F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As organizations gain operational experience with AI systems, requirements frequently expand beyond what a purely API-centric architecture can comfortably support. Some workloads demand greater control over deployment, while others continue to benefit from managed services. Certain datasets may require internal </w:t>
      </w:r>
      <w:r w:rsidRPr="009D5944">
        <w:rPr>
          <w:rFonts w:ascii="Times New Roman" w:eastAsia="Times New Roman" w:hAnsi="Times New Roman" w:cs="Times New Roman"/>
          <w:sz w:val="28"/>
          <w:szCs w:val="24"/>
        </w:rPr>
        <w:lastRenderedPageBreak/>
        <w:t>processing due to regulatory constraints, whereas publicly available information can be processed through commercial providers without concern.</w:t>
      </w:r>
    </w:p>
    <w:p w14:paraId="7BB5850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These evolving requirements naturally lead toward a </w:t>
      </w:r>
      <w:r w:rsidRPr="009D5944">
        <w:rPr>
          <w:rFonts w:ascii="Times New Roman" w:eastAsia="Times New Roman" w:hAnsi="Times New Roman" w:cs="Times New Roman"/>
          <w:b/>
          <w:bCs/>
          <w:sz w:val="28"/>
          <w:szCs w:val="24"/>
        </w:rPr>
        <w:t>hybrid architecture</w:t>
      </w:r>
      <w:r w:rsidRPr="009D5944">
        <w:rPr>
          <w:rFonts w:ascii="Times New Roman" w:eastAsia="Times New Roman" w:hAnsi="Times New Roman" w:cs="Times New Roman"/>
          <w:sz w:val="28"/>
          <w:szCs w:val="24"/>
        </w:rPr>
        <w:t>.</w:t>
      </w:r>
    </w:p>
    <w:p w14:paraId="7DBD154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 hybrid platform combines managed inference services with self-hosted AI infrastructure behind a unified architectural interface. Applications remain unaware of where inference occurs. Instead, platform services determine the appropriate execution environment according to organizational policies, workload characteristics, or operational requirements.</w:t>
      </w:r>
    </w:p>
    <w:p w14:paraId="59E6971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defining characteristic of a hybrid architecture is not the number of deployment environments but the separation between </w:t>
      </w:r>
      <w:r w:rsidRPr="009D5944">
        <w:rPr>
          <w:rFonts w:ascii="Times New Roman" w:eastAsia="Times New Roman" w:hAnsi="Times New Roman" w:cs="Times New Roman"/>
          <w:b/>
          <w:bCs/>
          <w:sz w:val="28"/>
          <w:szCs w:val="24"/>
        </w:rPr>
        <w:t>application logic</w:t>
      </w:r>
      <w:r w:rsidRPr="009D5944">
        <w:rPr>
          <w:rFonts w:ascii="Times New Roman" w:eastAsia="Times New Roman" w:hAnsi="Times New Roman" w:cs="Times New Roman"/>
          <w:sz w:val="28"/>
          <w:szCs w:val="24"/>
        </w:rPr>
        <w:t xml:space="preserve"> and </w:t>
      </w:r>
      <w:r w:rsidRPr="009D5944">
        <w:rPr>
          <w:rFonts w:ascii="Times New Roman" w:eastAsia="Times New Roman" w:hAnsi="Times New Roman" w:cs="Times New Roman"/>
          <w:b/>
          <w:bCs/>
          <w:sz w:val="28"/>
          <w:szCs w:val="24"/>
        </w:rPr>
        <w:t>inference location</w:t>
      </w:r>
      <w:r w:rsidRPr="009D5944">
        <w:rPr>
          <w:rFonts w:ascii="Times New Roman" w:eastAsia="Times New Roman" w:hAnsi="Times New Roman" w:cs="Times New Roman"/>
          <w:sz w:val="28"/>
          <w:szCs w:val="24"/>
        </w:rPr>
        <w:t>.</w:t>
      </w:r>
    </w:p>
    <w:p w14:paraId="7E402EA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For example, a document summarization service may route publicly available documents to a commercial foundation model while directing confidential internal reports toward an open-weight model hosted within organizational infrastructure. A software engineering assistant might rely on commercial reasoning models for complex analysis while executing lightweight completion models locally to minimize latency.</w:t>
      </w:r>
    </w:p>
    <w:p w14:paraId="7F4A341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Applications invoke the same logical platform interface in both cases.</w:t>
      </w:r>
    </w:p>
    <w:p w14:paraId="5CBE94D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separation produces several important engineering benefits.</w:t>
      </w:r>
    </w:p>
    <w:p w14:paraId="1661585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First, organizations avoid committing permanently to a single deployment strategy. New commercial models can be evaluated rapidly without deploying additional infrastructure. Conversely, workloads demonstrating predictable usage patterns may later migrate to internally hosted inference environments if operational or regulatory considerations justify the additional engineering investment.</w:t>
      </w:r>
    </w:p>
    <w:p w14:paraId="2F86158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Second, hybrid architectures allow infrastructure ownership to evolve gradually.</w:t>
      </w:r>
    </w:p>
    <w:p w14:paraId="45F5EBA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Rather than replacing commercial APIs entirely, organizations incrementally internalize those capabilities where operational advantages outweigh increased maintenance responsibility. The platform therefore evolves continuously instead of through disruptive architectural redesign.</w:t>
      </w:r>
    </w:p>
    <w:p w14:paraId="065D9A2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Third, workload specialization becomes possible.</w:t>
      </w:r>
    </w:p>
    <w:p w14:paraId="4FEF2D5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Different inference environments excel under different conditions. Commercial providers frequently deliver rapid access to frontier models and continuously updated capabilities. Self-hosted deployments provide tighter integration with internal infrastructure, deterministic deployment schedules, and greater operational </w:t>
      </w:r>
      <w:r w:rsidRPr="009D5944">
        <w:rPr>
          <w:rFonts w:ascii="Times New Roman" w:eastAsia="Times New Roman" w:hAnsi="Times New Roman" w:cs="Times New Roman"/>
          <w:sz w:val="28"/>
          <w:szCs w:val="24"/>
        </w:rPr>
        <w:lastRenderedPageBreak/>
        <w:t>control. Hybrid architectures enable organizations to exploit the strengths of both approaches simultaneously.</w:t>
      </w:r>
    </w:p>
    <w:p w14:paraId="25AA7F4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These advantages, however, require additional architectural components.</w:t>
      </w:r>
    </w:p>
    <w:p w14:paraId="18E099A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Requests must be routed intelligently between inference environments.</w:t>
      </w:r>
    </w:p>
    <w:p w14:paraId="7B72BE7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Authentication mechanisms must remain consistent.</w:t>
      </w:r>
    </w:p>
    <w:p w14:paraId="7C0169D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Governance policies must apply uniformly regardless of deployment location.</w:t>
      </w:r>
    </w:p>
    <w:p w14:paraId="5D46472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Operational telemetry should present a unified view of platform behavior despite heterogeneous infrastructure.</w:t>
      </w:r>
    </w:p>
    <w:p w14:paraId="6C2397B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Although these responsibilities significantly influence platform design, their implementation belongs to later chapters. Routing strategies are examined in Chapter 6, deployment automation in Chapter 16, observability in Chapter 15, and capacity planning in Chapter 17.</w:t>
      </w:r>
    </w:p>
    <w:p w14:paraId="2C80932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An important engineering principle emerges from hybrid architectures: </w:t>
      </w:r>
      <w:r w:rsidRPr="009D5944">
        <w:rPr>
          <w:rFonts w:ascii="Times New Roman" w:eastAsia="Times New Roman" w:hAnsi="Times New Roman" w:cs="Times New Roman"/>
          <w:b/>
          <w:bCs/>
          <w:sz w:val="28"/>
          <w:szCs w:val="24"/>
        </w:rPr>
        <w:t>heterogeneity should exist within the platform rather than within applications</w:t>
      </w:r>
      <w:r w:rsidRPr="009D5944">
        <w:rPr>
          <w:rFonts w:ascii="Times New Roman" w:eastAsia="Times New Roman" w:hAnsi="Times New Roman" w:cs="Times New Roman"/>
          <w:sz w:val="28"/>
          <w:szCs w:val="24"/>
        </w:rPr>
        <w:t>.</w:t>
      </w:r>
    </w:p>
    <w:p w14:paraId="5B99742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Applications should not contain provider-specific routing logic or deployment-specific business rules. Those responsibilities belong to shared platform services that evolve independently from application software.</w:t>
      </w:r>
    </w:p>
    <w:p w14:paraId="290A4FE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2-7. Advantages and Challenges of Hybrid AI Platforms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11"/>
        <w:gridCol w:w="4142"/>
        <w:gridCol w:w="3502"/>
      </w:tblGrid>
      <w:tr w:rsidR="009D5944" w:rsidRPr="008652E9" w14:paraId="27EF99B0" w14:textId="77777777" w:rsidTr="008652E9">
        <w:trPr>
          <w:tblHeader/>
          <w:tblCellSpacing w:w="15" w:type="dxa"/>
        </w:trPr>
        <w:tc>
          <w:tcPr>
            <w:tcW w:w="0" w:type="auto"/>
            <w:vAlign w:val="center"/>
            <w:hideMark/>
          </w:tcPr>
          <w:p w14:paraId="0BA8A9FD"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Aspect</w:t>
            </w:r>
          </w:p>
        </w:tc>
        <w:tc>
          <w:tcPr>
            <w:tcW w:w="0" w:type="auto"/>
            <w:vAlign w:val="center"/>
            <w:hideMark/>
          </w:tcPr>
          <w:p w14:paraId="608E0A8D"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Advantages</w:t>
            </w:r>
          </w:p>
        </w:tc>
        <w:tc>
          <w:tcPr>
            <w:tcW w:w="0" w:type="auto"/>
            <w:vAlign w:val="center"/>
            <w:hideMark/>
          </w:tcPr>
          <w:p w14:paraId="4437B38A"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Engineering Challenges</w:t>
            </w:r>
          </w:p>
        </w:tc>
      </w:tr>
      <w:tr w:rsidR="009D5944" w:rsidRPr="008652E9" w14:paraId="04E684C1" w14:textId="77777777" w:rsidTr="008652E9">
        <w:trPr>
          <w:tblCellSpacing w:w="15" w:type="dxa"/>
        </w:trPr>
        <w:tc>
          <w:tcPr>
            <w:tcW w:w="0" w:type="auto"/>
            <w:vAlign w:val="center"/>
            <w:hideMark/>
          </w:tcPr>
          <w:p w14:paraId="2DE7C5A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Deployment flexibility</w:t>
            </w:r>
          </w:p>
        </w:tc>
        <w:tc>
          <w:tcPr>
            <w:tcW w:w="0" w:type="auto"/>
            <w:vAlign w:val="center"/>
            <w:hideMark/>
          </w:tcPr>
          <w:p w14:paraId="2F95C9B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Workloads execute in environments appropriate to their technical and regulatory requirements.</w:t>
            </w:r>
          </w:p>
        </w:tc>
        <w:tc>
          <w:tcPr>
            <w:tcW w:w="0" w:type="auto"/>
            <w:vAlign w:val="center"/>
            <w:hideMark/>
          </w:tcPr>
          <w:p w14:paraId="20695B7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Routing policies become more sophisticated.</w:t>
            </w:r>
          </w:p>
        </w:tc>
      </w:tr>
      <w:tr w:rsidR="009D5944" w:rsidRPr="008652E9" w14:paraId="23CB241D" w14:textId="77777777" w:rsidTr="008652E9">
        <w:trPr>
          <w:tblCellSpacing w:w="15" w:type="dxa"/>
        </w:trPr>
        <w:tc>
          <w:tcPr>
            <w:tcW w:w="0" w:type="auto"/>
            <w:vAlign w:val="center"/>
            <w:hideMark/>
          </w:tcPr>
          <w:p w14:paraId="1A7F8D2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Incremental migration</w:t>
            </w:r>
          </w:p>
        </w:tc>
        <w:tc>
          <w:tcPr>
            <w:tcW w:w="0" w:type="auto"/>
            <w:vAlign w:val="center"/>
            <w:hideMark/>
          </w:tcPr>
          <w:p w14:paraId="2A56A4A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Commercial and self-hosted services coexist during platform evolution.</w:t>
            </w:r>
          </w:p>
        </w:tc>
        <w:tc>
          <w:tcPr>
            <w:tcW w:w="0" w:type="auto"/>
            <w:vAlign w:val="center"/>
            <w:hideMark/>
          </w:tcPr>
          <w:p w14:paraId="58F756D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Maintaining compatibility across providers requires architectural discipline.</w:t>
            </w:r>
          </w:p>
        </w:tc>
      </w:tr>
      <w:tr w:rsidR="009D5944" w:rsidRPr="008652E9" w14:paraId="282ECA7B" w14:textId="77777777" w:rsidTr="008652E9">
        <w:trPr>
          <w:tblCellSpacing w:w="15" w:type="dxa"/>
        </w:trPr>
        <w:tc>
          <w:tcPr>
            <w:tcW w:w="0" w:type="auto"/>
            <w:vAlign w:val="center"/>
            <w:hideMark/>
          </w:tcPr>
          <w:p w14:paraId="4335343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Regulatory compliance</w:t>
            </w:r>
          </w:p>
        </w:tc>
        <w:tc>
          <w:tcPr>
            <w:tcW w:w="0" w:type="auto"/>
            <w:vAlign w:val="center"/>
            <w:hideMark/>
          </w:tcPr>
          <w:p w14:paraId="6B2201D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Sensitive workloads remain under organizational control while other workloads use managed services.</w:t>
            </w:r>
          </w:p>
        </w:tc>
        <w:tc>
          <w:tcPr>
            <w:tcW w:w="0" w:type="auto"/>
            <w:vAlign w:val="center"/>
            <w:hideMark/>
          </w:tcPr>
          <w:p w14:paraId="12AD94B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Governance policies must remain consistent across heterogeneous environments.</w:t>
            </w:r>
          </w:p>
        </w:tc>
      </w:tr>
      <w:tr w:rsidR="009D5944" w:rsidRPr="008652E9" w14:paraId="6FD5F342" w14:textId="77777777" w:rsidTr="008652E9">
        <w:trPr>
          <w:tblCellSpacing w:w="15" w:type="dxa"/>
        </w:trPr>
        <w:tc>
          <w:tcPr>
            <w:tcW w:w="0" w:type="auto"/>
            <w:vAlign w:val="center"/>
            <w:hideMark/>
          </w:tcPr>
          <w:p w14:paraId="261AABA6"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Infrastructure utilization</w:t>
            </w:r>
          </w:p>
        </w:tc>
        <w:tc>
          <w:tcPr>
            <w:tcW w:w="0" w:type="auto"/>
            <w:vAlign w:val="center"/>
            <w:hideMark/>
          </w:tcPr>
          <w:p w14:paraId="6837C669"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Internal infrastructure can be reserved for workloads that benefit most from local execution.</w:t>
            </w:r>
          </w:p>
        </w:tc>
        <w:tc>
          <w:tcPr>
            <w:tcW w:w="0" w:type="auto"/>
            <w:vAlign w:val="center"/>
            <w:hideMark/>
          </w:tcPr>
          <w:p w14:paraId="3EC39272"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Operational visibility must span multiple deployment environments.</w:t>
            </w:r>
          </w:p>
        </w:tc>
      </w:tr>
      <w:tr w:rsidR="009D5944" w:rsidRPr="008652E9" w14:paraId="303A59E6" w14:textId="77777777" w:rsidTr="008652E9">
        <w:trPr>
          <w:tblCellSpacing w:w="15" w:type="dxa"/>
        </w:trPr>
        <w:tc>
          <w:tcPr>
            <w:tcW w:w="0" w:type="auto"/>
            <w:vAlign w:val="center"/>
            <w:hideMark/>
          </w:tcPr>
          <w:p w14:paraId="7DE20EA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lastRenderedPageBreak/>
              <w:t>Technology adoption</w:t>
            </w:r>
          </w:p>
        </w:tc>
        <w:tc>
          <w:tcPr>
            <w:tcW w:w="0" w:type="auto"/>
            <w:vAlign w:val="center"/>
            <w:hideMark/>
          </w:tcPr>
          <w:p w14:paraId="645826C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New providers and models can be evaluated without replacing existing infrastructure.</w:t>
            </w:r>
          </w:p>
        </w:tc>
        <w:tc>
          <w:tcPr>
            <w:tcW w:w="0" w:type="auto"/>
            <w:vAlign w:val="center"/>
            <w:hideMark/>
          </w:tcPr>
          <w:p w14:paraId="24D5917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Platform abstraction becomes increasingly important.</w:t>
            </w:r>
          </w:p>
        </w:tc>
      </w:tr>
    </w:tbl>
    <w:p w14:paraId="499793F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Hybrid architectures have become increasingly common because they align well with enterprise technology evolution. Few organizations transition directly from managed services to complete self-hosting. Instead, they gradually expand platform capabilities while preserving existing applications and operational processes.</w:t>
      </w:r>
    </w:p>
    <w:p w14:paraId="5714222D" w14:textId="77777777" w:rsidR="009D5944" w:rsidRPr="009D5944" w:rsidRDefault="008652E9" w:rsidP="009D5944">
      <w:pPr>
        <w:rPr>
          <w:rFonts w:ascii="Calibri" w:eastAsia="Calibri" w:hAnsi="Calibri" w:cs="Times New Roman"/>
          <w:sz w:val="24"/>
        </w:rPr>
      </w:pPr>
      <w:r>
        <w:rPr>
          <w:rFonts w:ascii="Calibri" w:eastAsia="Calibri" w:hAnsi="Calibri" w:cs="Times New Roman"/>
          <w:sz w:val="24"/>
        </w:rPr>
        <w:pict w14:anchorId="3370559A">
          <v:rect id="_x0000_i1030" style="width:0;height:1.5pt" o:hralign="center" o:hrstd="t" o:hr="t" fillcolor="#a0a0a0" stroked="f"/>
        </w:pict>
      </w:r>
    </w:p>
    <w:p w14:paraId="3A700212"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2.9 Reference Architecture C — Self-Hosted AI Platform</w:t>
      </w:r>
    </w:p>
    <w:p w14:paraId="760C51B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At the opposite end of the deployment spectrum lies the </w:t>
      </w:r>
      <w:r w:rsidRPr="009D5944">
        <w:rPr>
          <w:rFonts w:ascii="Times New Roman" w:eastAsia="Times New Roman" w:hAnsi="Times New Roman" w:cs="Times New Roman"/>
          <w:b/>
          <w:bCs/>
          <w:sz w:val="28"/>
          <w:szCs w:val="24"/>
        </w:rPr>
        <w:t>self-hosted AI platform</w:t>
      </w:r>
      <w:r w:rsidRPr="009D5944">
        <w:rPr>
          <w:rFonts w:ascii="Times New Roman" w:eastAsia="Times New Roman" w:hAnsi="Times New Roman" w:cs="Times New Roman"/>
          <w:sz w:val="28"/>
          <w:szCs w:val="24"/>
        </w:rPr>
        <w:t>, in which the organization assumes responsibility for operating the complete AI infrastructure stack. Models execute entirely within infrastructure under organizational control, and every major platform component—from inference services to networking, storage, gateways, orchestration, and operational tooling—is managed internally.</w:t>
      </w:r>
    </w:p>
    <w:p w14:paraId="51A6D56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architecture represents the highest degree of operational ownership presented in this chapter.</w:t>
      </w:r>
    </w:p>
    <w:p w14:paraId="0854E19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It is also the most frequently misunderstood.</w:t>
      </w:r>
    </w:p>
    <w:p w14:paraId="3B5F91F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Organizations sometimes assume that self-hosting is primarily a mechanism for reducing inference costs or avoiding commercial API pricing. While cost considerations may contribute to the decision, mature organizations rarely adopt self-hosting for that reason alone. Instead, the primary motivations typically include regulatory compliance, deployment control, predictable governance, infrastructure optimization, strategic independence, or sustained high-volume workloads that justify dedicated operational investment.</w:t>
      </w:r>
    </w:p>
    <w:p w14:paraId="5C703D7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 a self-hosted architecture, inference services become part of the organization's cloud-native infrastructure.</w:t>
      </w:r>
    </w:p>
    <w:p w14:paraId="58F41FE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Foundation models are deployed using internally managed serving systems.</w:t>
      </w:r>
    </w:p>
    <w:p w14:paraId="2877E66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Accelerator resources are provisioned and scheduled by organizational infrastructure.</w:t>
      </w:r>
    </w:p>
    <w:p w14:paraId="1ACF24A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Networking policies, identity management, storage systems, monitoring, and deployment pipelines integrate directly with existing enterprise platform engineering practices.</w:t>
      </w:r>
    </w:p>
    <w:p w14:paraId="17BE2B0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integration provides substantial architectural flexibility.</w:t>
      </w:r>
    </w:p>
    <w:p w14:paraId="758692B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Model versions can be upgraded according to internal validation procedures rather than provider schedules.</w:t>
      </w:r>
    </w:p>
    <w:p w14:paraId="46B8A15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Inference infrastructure can be optimized for organizational workloads.</w:t>
      </w:r>
    </w:p>
    <w:p w14:paraId="3412A5D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Security controls become consistent with broader enterprise infrastructure.</w:t>
      </w:r>
    </w:p>
    <w:p w14:paraId="4A708F5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Sensitive information remains within organizational administrative boundaries throughout processing.</w:t>
      </w:r>
    </w:p>
    <w:p w14:paraId="5B37772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At the same time, operational responsibilities increase dramatically.</w:t>
      </w:r>
    </w:p>
    <w:p w14:paraId="79E2499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organization becomes responsible for hardware lifecycle management, capacity planning, inference optimization, reliability engineering, software upgrades, compatibility testing, vulnerability management, disaster recovery, and operational support.</w:t>
      </w:r>
    </w:p>
    <w:p w14:paraId="792DF17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Many of these responsibilities extend beyond traditional software engineering.</w:t>
      </w:r>
    </w:p>
    <w:p w14:paraId="7294F9F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Serving large language models efficiently requires expertise in accelerator hardware, distributed inference, memory optimization, scheduling algorithms, networking, storage performance, and workload management. Consequently, self-hosted AI platforms typically emerge within organizations possessing mature platform engineering capabilities rather than isolated application teams.</w:t>
      </w:r>
    </w:p>
    <w:p w14:paraId="5847025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Another important characteristic of self-hosted platforms is the increasing separation between logical architecture and infrastructure implementation.</w:t>
      </w:r>
    </w:p>
    <w:p w14:paraId="37320D6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Applications should remain independent of specific inference engines or deployment technologies. Whether inference is provided by vLLM, TensorRT-LLM, SGLang, llama.cpp, or future serving systems should remain an infrastructure concern rather than an application dependency. This architectural abstraction preserves flexibility as serving technologies continue to evolve.</w:t>
      </w:r>
    </w:p>
    <w:p w14:paraId="16386EE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Self-hosted platforms also encourage standardization.</w:t>
      </w:r>
    </w:p>
    <w:p w14:paraId="0E024E0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Rather than allowing individual business units to deploy independent inference environments, organizations increasingly establish shared AI platform services supporting multiple applications through common gateways, governance mechanisms, identity providers, and operational tooling. This model resembles </w:t>
      </w:r>
      <w:r w:rsidRPr="009D5944">
        <w:rPr>
          <w:rFonts w:ascii="Times New Roman" w:eastAsia="Times New Roman" w:hAnsi="Times New Roman" w:cs="Times New Roman"/>
          <w:sz w:val="28"/>
          <w:szCs w:val="24"/>
        </w:rPr>
        <w:lastRenderedPageBreak/>
        <w:t>internal platform engineering practices already common within cloud-native organizations.</w:t>
      </w:r>
    </w:p>
    <w:p w14:paraId="09786DC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result is an internal AI platform functioning as shared organizational infrastructure rather than a collection of independent machine learning deployments.</w:t>
      </w:r>
    </w:p>
    <w:p w14:paraId="6C17980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2-8. Characteristics of a Self-Hosted AI Platform</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072"/>
        <w:gridCol w:w="6283"/>
      </w:tblGrid>
      <w:tr w:rsidR="009D5944" w:rsidRPr="008652E9" w14:paraId="391370E0" w14:textId="77777777" w:rsidTr="008652E9">
        <w:trPr>
          <w:tblHeader/>
          <w:tblCellSpacing w:w="15" w:type="dxa"/>
        </w:trPr>
        <w:tc>
          <w:tcPr>
            <w:tcW w:w="0" w:type="auto"/>
            <w:vAlign w:val="center"/>
            <w:hideMark/>
          </w:tcPr>
          <w:p w14:paraId="6030E5C4"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Characteristic</w:t>
            </w:r>
          </w:p>
        </w:tc>
        <w:tc>
          <w:tcPr>
            <w:tcW w:w="0" w:type="auto"/>
            <w:vAlign w:val="center"/>
            <w:hideMark/>
          </w:tcPr>
          <w:p w14:paraId="4EEB6F23" w14:textId="77777777" w:rsidR="009D5944" w:rsidRPr="008652E9" w:rsidRDefault="009D5944" w:rsidP="009D5944">
            <w:pPr>
              <w:jc w:val="center"/>
              <w:rPr>
                <w:rFonts w:ascii="Times New Roman" w:eastAsia="Calibri" w:hAnsi="Times New Roman" w:cs="Times New Roman"/>
                <w:b/>
                <w:bCs/>
                <w:sz w:val="24"/>
              </w:rPr>
            </w:pPr>
            <w:r w:rsidRPr="008652E9">
              <w:rPr>
                <w:rFonts w:ascii="Times New Roman" w:eastAsia="Calibri" w:hAnsi="Times New Roman" w:cs="Times New Roman"/>
                <w:b/>
                <w:bCs/>
                <w:sz w:val="24"/>
              </w:rPr>
              <w:t>Architectural Consequence</w:t>
            </w:r>
          </w:p>
        </w:tc>
      </w:tr>
      <w:tr w:rsidR="009D5944" w:rsidRPr="008652E9" w14:paraId="57C983C5" w14:textId="77777777" w:rsidTr="008652E9">
        <w:trPr>
          <w:tblCellSpacing w:w="15" w:type="dxa"/>
        </w:trPr>
        <w:tc>
          <w:tcPr>
            <w:tcW w:w="0" w:type="auto"/>
            <w:vAlign w:val="center"/>
            <w:hideMark/>
          </w:tcPr>
          <w:p w14:paraId="39DE0F14"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Organization operates complete inference stack</w:t>
            </w:r>
          </w:p>
        </w:tc>
        <w:tc>
          <w:tcPr>
            <w:tcW w:w="0" w:type="auto"/>
            <w:vAlign w:val="center"/>
            <w:hideMark/>
          </w:tcPr>
          <w:p w14:paraId="16F5339B"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Maximum deployment flexibility and infrastructure ownership.</w:t>
            </w:r>
          </w:p>
        </w:tc>
      </w:tr>
      <w:tr w:rsidR="009D5944" w:rsidRPr="008652E9" w14:paraId="31A33415" w14:textId="77777777" w:rsidTr="008652E9">
        <w:trPr>
          <w:tblCellSpacing w:w="15" w:type="dxa"/>
        </w:trPr>
        <w:tc>
          <w:tcPr>
            <w:tcW w:w="0" w:type="auto"/>
            <w:vAlign w:val="center"/>
            <w:hideMark/>
          </w:tcPr>
          <w:p w14:paraId="68D0FAD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Models execute within enterprise infrastructure</w:t>
            </w:r>
          </w:p>
        </w:tc>
        <w:tc>
          <w:tcPr>
            <w:tcW w:w="0" w:type="auto"/>
            <w:vAlign w:val="center"/>
            <w:hideMark/>
          </w:tcPr>
          <w:p w14:paraId="34335DD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Strong support for regulatory compliance, sovereignty, and internal governance.</w:t>
            </w:r>
          </w:p>
        </w:tc>
      </w:tr>
      <w:tr w:rsidR="009D5944" w:rsidRPr="008652E9" w14:paraId="6E05DEC3" w14:textId="77777777" w:rsidTr="008652E9">
        <w:trPr>
          <w:tblCellSpacing w:w="15" w:type="dxa"/>
        </w:trPr>
        <w:tc>
          <w:tcPr>
            <w:tcW w:w="0" w:type="auto"/>
            <w:vAlign w:val="center"/>
            <w:hideMark/>
          </w:tcPr>
          <w:p w14:paraId="5D11C798"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Shared platform services</w:t>
            </w:r>
          </w:p>
        </w:tc>
        <w:tc>
          <w:tcPr>
            <w:tcW w:w="0" w:type="auto"/>
            <w:vAlign w:val="center"/>
            <w:hideMark/>
          </w:tcPr>
          <w:p w14:paraId="0E22F46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Multiple applications consume common AI infrastructure rather than maintaining independent deployments.</w:t>
            </w:r>
          </w:p>
        </w:tc>
      </w:tr>
      <w:tr w:rsidR="009D5944" w:rsidRPr="008652E9" w14:paraId="08EE71FB" w14:textId="77777777" w:rsidTr="008652E9">
        <w:trPr>
          <w:tblCellSpacing w:w="15" w:type="dxa"/>
        </w:trPr>
        <w:tc>
          <w:tcPr>
            <w:tcW w:w="0" w:type="auto"/>
            <w:vAlign w:val="center"/>
            <w:hideMark/>
          </w:tcPr>
          <w:p w14:paraId="723FE183"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Internal lifecycle management</w:t>
            </w:r>
          </w:p>
        </w:tc>
        <w:tc>
          <w:tcPr>
            <w:tcW w:w="0" w:type="auto"/>
            <w:vAlign w:val="center"/>
            <w:hideMark/>
          </w:tcPr>
          <w:p w14:paraId="17BB5667"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Organizations control upgrades, validation, rollback, and release timing.</w:t>
            </w:r>
          </w:p>
        </w:tc>
      </w:tr>
      <w:tr w:rsidR="009D5944" w:rsidRPr="008652E9" w14:paraId="473E764E" w14:textId="77777777" w:rsidTr="008652E9">
        <w:trPr>
          <w:tblCellSpacing w:w="15" w:type="dxa"/>
        </w:trPr>
        <w:tc>
          <w:tcPr>
            <w:tcW w:w="0" w:type="auto"/>
            <w:vAlign w:val="center"/>
            <w:hideMark/>
          </w:tcPr>
          <w:p w14:paraId="3E976561"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Specialized operational expertise required</w:t>
            </w:r>
          </w:p>
        </w:tc>
        <w:tc>
          <w:tcPr>
            <w:tcW w:w="0" w:type="auto"/>
            <w:vAlign w:val="center"/>
            <w:hideMark/>
          </w:tcPr>
          <w:p w14:paraId="511900BF"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Platform engineering extends into accelerator infrastructure, serving optimization, and distributed systems.</w:t>
            </w:r>
          </w:p>
        </w:tc>
      </w:tr>
      <w:tr w:rsidR="009D5944" w:rsidRPr="008652E9" w14:paraId="2B48B1D4" w14:textId="77777777" w:rsidTr="008652E9">
        <w:trPr>
          <w:tblCellSpacing w:w="15" w:type="dxa"/>
        </w:trPr>
        <w:tc>
          <w:tcPr>
            <w:tcW w:w="0" w:type="auto"/>
            <w:vAlign w:val="center"/>
            <w:hideMark/>
          </w:tcPr>
          <w:p w14:paraId="424D5CC9"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High architectural flexibility</w:t>
            </w:r>
          </w:p>
        </w:tc>
        <w:tc>
          <w:tcPr>
            <w:tcW w:w="0" w:type="auto"/>
            <w:vAlign w:val="center"/>
            <w:hideMark/>
          </w:tcPr>
          <w:p w14:paraId="2CED6BAE" w14:textId="77777777" w:rsidR="009D5944" w:rsidRPr="008652E9" w:rsidRDefault="009D5944" w:rsidP="009D5944">
            <w:pPr>
              <w:rPr>
                <w:rFonts w:ascii="Times New Roman" w:eastAsia="Calibri" w:hAnsi="Times New Roman" w:cs="Times New Roman"/>
                <w:sz w:val="24"/>
              </w:rPr>
            </w:pPr>
            <w:r w:rsidRPr="008652E9">
              <w:rPr>
                <w:rFonts w:ascii="Times New Roman" w:eastAsia="Calibri" w:hAnsi="Times New Roman" w:cs="Times New Roman"/>
                <w:sz w:val="24"/>
              </w:rPr>
              <w:t>Components can be optimized and integrated according to organizational priorities rather than provider capabilities.</w:t>
            </w:r>
          </w:p>
        </w:tc>
      </w:tr>
    </w:tbl>
    <w:p w14:paraId="1EDACDA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It is important to emphasize that self-hosting should not be interpreted as the inevitable destination for every AI platform. For many organizations, managed or hybrid deployments remain more appropriate throughout the lifetime of the platform. Self-hosting becomes advantageous only when its additional operational responsibilities are justified by corresponding business, regulatory, or technical requirements.</w:t>
      </w:r>
    </w:p>
    <w:p w14:paraId="4B10965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next section expands this progression by examining architectures that intentionally span multiple AI providers, enabling organizations to optimize workloads across heterogeneous model ecosystems while reducing dependence on any single vendor.</w:t>
      </w:r>
    </w:p>
    <w:p w14:paraId="5664B8E2"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2.10 Reference Architecture D — Multi-Provider AI Platform</w:t>
      </w:r>
    </w:p>
    <w:p w14:paraId="7115AD2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One of the most significant architectural trends in enterprise AI over the past several years has been the movement away from exclusive dependence on a single </w:t>
      </w:r>
      <w:r w:rsidRPr="009D5944">
        <w:rPr>
          <w:rFonts w:ascii="Times New Roman" w:eastAsia="Times New Roman" w:hAnsi="Times New Roman" w:cs="Times New Roman"/>
          <w:sz w:val="28"/>
          <w:szCs w:val="24"/>
        </w:rPr>
        <w:lastRenderedPageBreak/>
        <w:t>model provider. Early generative AI applications were often tightly coupled to one commercial API because only a small number of frontier models were widely available. As the ecosystem matured, organizations increasingly recognized that no individual provider consistently offers the best solution across every workload, geographic region, pricing model, or regulatory environment.</w:t>
      </w:r>
    </w:p>
    <w:p w14:paraId="67A0EFC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Consequently, many production AI platforms now adopt </w:t>
      </w:r>
      <w:r w:rsidRPr="009D5944">
        <w:rPr>
          <w:rFonts w:ascii="Times New Roman" w:eastAsia="Times New Roman" w:hAnsi="Times New Roman" w:cs="Times New Roman"/>
          <w:b/>
          <w:bCs/>
          <w:sz w:val="28"/>
          <w:szCs w:val="24"/>
        </w:rPr>
        <w:t>multi-provider architectures</w:t>
      </w:r>
      <w:r w:rsidRPr="009D5944">
        <w:rPr>
          <w:rFonts w:ascii="Times New Roman" w:eastAsia="Times New Roman" w:hAnsi="Times New Roman" w:cs="Times New Roman"/>
          <w:sz w:val="28"/>
          <w:szCs w:val="24"/>
        </w:rPr>
        <w:t>.</w:t>
      </w:r>
    </w:p>
    <w:p w14:paraId="241BCF7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 a multi-provider platform, applications communicate with an internal platform interface rather than directly with individual model providers. The platform determines which inference backend should process each request according to organizational policies and technical requirements.</w:t>
      </w:r>
    </w:p>
    <w:p w14:paraId="59F2826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Unlike the hybrid architecture discussed previously, the defining characteristic here is </w:t>
      </w:r>
      <w:r w:rsidRPr="009D5944">
        <w:rPr>
          <w:rFonts w:ascii="Times New Roman" w:eastAsia="Times New Roman" w:hAnsi="Times New Roman" w:cs="Times New Roman"/>
          <w:b/>
          <w:bCs/>
          <w:sz w:val="28"/>
          <w:szCs w:val="24"/>
        </w:rPr>
        <w:t>provider diversity rather than deployment diversity</w:t>
      </w:r>
      <w:r w:rsidRPr="009D5944">
        <w:rPr>
          <w:rFonts w:ascii="Times New Roman" w:eastAsia="Times New Roman" w:hAnsi="Times New Roman" w:cs="Times New Roman"/>
          <w:sz w:val="28"/>
          <w:szCs w:val="24"/>
        </w:rPr>
        <w:t>. A multi-provider platform may use only commercial APIs, only self-hosted models, or a combination of both. What distinguishes the architecture is that provider selection becomes an internal platform concern rather than an application responsibility.</w:t>
      </w:r>
    </w:p>
    <w:p w14:paraId="4780E35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Several factors motivate this architectural approach.</w:t>
      </w:r>
    </w:p>
    <w:p w14:paraId="369F20A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first is </w:t>
      </w:r>
      <w:r w:rsidRPr="009D5944">
        <w:rPr>
          <w:rFonts w:ascii="Times New Roman" w:eastAsia="Times New Roman" w:hAnsi="Times New Roman" w:cs="Times New Roman"/>
          <w:b/>
          <w:bCs/>
          <w:sz w:val="28"/>
          <w:szCs w:val="24"/>
        </w:rPr>
        <w:t>capability specialization</w:t>
      </w:r>
      <w:r w:rsidRPr="009D5944">
        <w:rPr>
          <w:rFonts w:ascii="Times New Roman" w:eastAsia="Times New Roman" w:hAnsi="Times New Roman" w:cs="Times New Roman"/>
          <w:sz w:val="28"/>
          <w:szCs w:val="24"/>
        </w:rPr>
        <w:t>. Foundation models increasingly exhibit different strengths. Some perform exceptionally well on complex reasoning tasks, others are optimized for software engineering, multimodal understanding, structured output generation, long-context processing, or low-latency interactive applications. Selecting the most appropriate model for each workload frequently produces better overall platform performance than standardizing on a single provider.</w:t>
      </w:r>
    </w:p>
    <w:p w14:paraId="11B3A30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 second motivation is </w:t>
      </w:r>
      <w:r w:rsidRPr="009D5944">
        <w:rPr>
          <w:rFonts w:ascii="Times New Roman" w:eastAsia="Times New Roman" w:hAnsi="Times New Roman" w:cs="Times New Roman"/>
          <w:b/>
          <w:bCs/>
          <w:sz w:val="28"/>
          <w:szCs w:val="24"/>
        </w:rPr>
        <w:t>operational resilience</w:t>
      </w:r>
      <w:r w:rsidRPr="009D5944">
        <w:rPr>
          <w:rFonts w:ascii="Times New Roman" w:eastAsia="Times New Roman" w:hAnsi="Times New Roman" w:cs="Times New Roman"/>
          <w:sz w:val="28"/>
          <w:szCs w:val="24"/>
        </w:rPr>
        <w:t>.</w:t>
      </w:r>
    </w:p>
    <w:p w14:paraId="3381CB3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Like any distributed service, AI providers may experience regional outages, degraded performance, temporary capacity constraints, or API changes. Architectures capable of routing requests to alternative providers reduce operational risk by avoiding single-provider dependencies. Such redundancy should not be viewed merely as disaster recovery; it also supports planned migrations, provider maintenance, and incremental platform evolution.</w:t>
      </w:r>
    </w:p>
    <w:p w14:paraId="155CB82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Commercial considerations likewise encourage provider diversity. Pricing structures differ considerably across providers and evolve continuously. Organizations operating large-scale AI workloads may periodically adjust routing strategies in response to changing economic conditions, contractual agreements, or infrastructure investments.</w:t>
      </w:r>
    </w:p>
    <w:p w14:paraId="211136C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Regulatory requirements provide another motivation. Certain providers may offer regional deployments satisfying specific jurisdictional requirements, while others may not. Multi-provider architectures allow organizations to satisfy regional policies without requiring independent application implementations.</w:t>
      </w:r>
    </w:p>
    <w:p w14:paraId="2C6EB01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These benefits are accompanied by increased architectural complexity.</w:t>
      </w:r>
    </w:p>
    <w:p w14:paraId="2D65D5E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Provider abstraction requires careful interface design because models expose different capabilities, context limits, streaming mechanisms, structured output formats, safety controls, and authentication models. A platform that simply exposes the lowest common denominator sacrifices useful functionality. Conversely, exposing every provider-specific capability directly to applications undermines the objective of abstraction.</w:t>
      </w:r>
    </w:p>
    <w:p w14:paraId="36CC6C5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Successful platforms therefore distinguish between </w:t>
      </w:r>
      <w:r w:rsidRPr="009D5944">
        <w:rPr>
          <w:rFonts w:ascii="Times New Roman" w:eastAsia="Times New Roman" w:hAnsi="Times New Roman" w:cs="Times New Roman"/>
          <w:b/>
          <w:bCs/>
          <w:sz w:val="28"/>
          <w:szCs w:val="24"/>
        </w:rPr>
        <w:t>standard platform capabilities</w:t>
      </w:r>
      <w:r w:rsidRPr="009D5944">
        <w:rPr>
          <w:rFonts w:ascii="Times New Roman" w:eastAsia="Times New Roman" w:hAnsi="Times New Roman" w:cs="Times New Roman"/>
          <w:sz w:val="28"/>
          <w:szCs w:val="24"/>
        </w:rPr>
        <w:t xml:space="preserve">, which remain provider-independent, and </w:t>
      </w:r>
      <w:r w:rsidRPr="009D5944">
        <w:rPr>
          <w:rFonts w:ascii="Times New Roman" w:eastAsia="Times New Roman" w:hAnsi="Times New Roman" w:cs="Times New Roman"/>
          <w:b/>
          <w:bCs/>
          <w:sz w:val="28"/>
          <w:szCs w:val="24"/>
        </w:rPr>
        <w:t>provider-specific extensions</w:t>
      </w:r>
      <w:r w:rsidRPr="009D5944">
        <w:rPr>
          <w:rFonts w:ascii="Times New Roman" w:eastAsia="Times New Roman" w:hAnsi="Times New Roman" w:cs="Times New Roman"/>
          <w:sz w:val="28"/>
          <w:szCs w:val="24"/>
        </w:rPr>
        <w:t>, which are deliberately isolated.</w:t>
      </w:r>
    </w:p>
    <w:p w14:paraId="5B661D6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Routing decisions likewise become more sophisticated. Requests may be directed according to latency objectives, model capability, regulatory policies, regional availability, or service health. In many organizations these routing policies evolve independently of application software, allowing infrastructure teams to optimize platform behavior without modifying business applications.</w:t>
      </w:r>
    </w:p>
    <w:p w14:paraId="7781D3C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implementation of routing mechanisms, policy engines, retries, traffic shaping, and failover strategies is intentionally deferred until Chapter 6. At the architectural level, the important principle is that </w:t>
      </w:r>
      <w:r w:rsidRPr="009D5944">
        <w:rPr>
          <w:rFonts w:ascii="Times New Roman" w:eastAsia="Times New Roman" w:hAnsi="Times New Roman" w:cs="Times New Roman"/>
          <w:b/>
          <w:bCs/>
          <w:sz w:val="28"/>
          <w:szCs w:val="24"/>
        </w:rPr>
        <w:t>provider diversity becomes a platform capability rather than an application concern</w:t>
      </w:r>
      <w:r w:rsidRPr="009D5944">
        <w:rPr>
          <w:rFonts w:ascii="Times New Roman" w:eastAsia="Times New Roman" w:hAnsi="Times New Roman" w:cs="Times New Roman"/>
          <w:sz w:val="28"/>
          <w:szCs w:val="24"/>
        </w:rPr>
        <w:t>.</w:t>
      </w:r>
    </w:p>
    <w:p w14:paraId="4AA736D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2-9. Typical Motivations for Multi-Provider AI Platforms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111"/>
        <w:gridCol w:w="3720"/>
        <w:gridCol w:w="3524"/>
      </w:tblGrid>
      <w:tr w:rsidR="009D5944" w:rsidRPr="008652E9" w14:paraId="58C6263D" w14:textId="77777777" w:rsidTr="008652E9">
        <w:trPr>
          <w:tblHeader/>
          <w:tblCellSpacing w:w="15" w:type="dxa"/>
        </w:trPr>
        <w:tc>
          <w:tcPr>
            <w:tcW w:w="0" w:type="auto"/>
            <w:vAlign w:val="center"/>
            <w:hideMark/>
          </w:tcPr>
          <w:p w14:paraId="0BEFA828"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Motivation</w:t>
            </w:r>
          </w:p>
        </w:tc>
        <w:tc>
          <w:tcPr>
            <w:tcW w:w="0" w:type="auto"/>
            <w:vAlign w:val="center"/>
            <w:hideMark/>
          </w:tcPr>
          <w:p w14:paraId="0412B60A"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Architectural Benefit</w:t>
            </w:r>
          </w:p>
        </w:tc>
        <w:tc>
          <w:tcPr>
            <w:tcW w:w="0" w:type="auto"/>
            <w:vAlign w:val="center"/>
            <w:hideMark/>
          </w:tcPr>
          <w:p w14:paraId="5CDE5740"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Operational Considerations</w:t>
            </w:r>
          </w:p>
        </w:tc>
      </w:tr>
      <w:tr w:rsidR="009D5944" w:rsidRPr="008652E9" w14:paraId="08870A42" w14:textId="77777777" w:rsidTr="008652E9">
        <w:trPr>
          <w:tblCellSpacing w:w="15" w:type="dxa"/>
        </w:trPr>
        <w:tc>
          <w:tcPr>
            <w:tcW w:w="0" w:type="auto"/>
            <w:vAlign w:val="center"/>
            <w:hideMark/>
          </w:tcPr>
          <w:p w14:paraId="44B5D2E5"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Capability specialization</w:t>
            </w:r>
          </w:p>
        </w:tc>
        <w:tc>
          <w:tcPr>
            <w:tcW w:w="0" w:type="auto"/>
            <w:vAlign w:val="center"/>
            <w:hideMark/>
          </w:tcPr>
          <w:p w14:paraId="0E6861C7"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Different workloads use providers best suited to their characteristics.</w:t>
            </w:r>
          </w:p>
        </w:tc>
        <w:tc>
          <w:tcPr>
            <w:tcW w:w="0" w:type="auto"/>
            <w:vAlign w:val="center"/>
            <w:hideMark/>
          </w:tcPr>
          <w:p w14:paraId="557BC6D0"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Requires consistent evaluation methodology across providers.</w:t>
            </w:r>
          </w:p>
        </w:tc>
      </w:tr>
      <w:tr w:rsidR="009D5944" w:rsidRPr="008652E9" w14:paraId="10700E56" w14:textId="77777777" w:rsidTr="008652E9">
        <w:trPr>
          <w:tblCellSpacing w:w="15" w:type="dxa"/>
        </w:trPr>
        <w:tc>
          <w:tcPr>
            <w:tcW w:w="0" w:type="auto"/>
            <w:vAlign w:val="center"/>
            <w:hideMark/>
          </w:tcPr>
          <w:p w14:paraId="3FA140A5"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Operational resilience</w:t>
            </w:r>
          </w:p>
        </w:tc>
        <w:tc>
          <w:tcPr>
            <w:tcW w:w="0" w:type="auto"/>
            <w:vAlign w:val="center"/>
            <w:hideMark/>
          </w:tcPr>
          <w:p w14:paraId="2839DC66"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Reduces dependence on individual provider availability.</w:t>
            </w:r>
          </w:p>
        </w:tc>
        <w:tc>
          <w:tcPr>
            <w:tcW w:w="0" w:type="auto"/>
            <w:vAlign w:val="center"/>
            <w:hideMark/>
          </w:tcPr>
          <w:p w14:paraId="4EC90274"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Routing and failover mechanisms increase platform complexity.</w:t>
            </w:r>
          </w:p>
        </w:tc>
      </w:tr>
      <w:tr w:rsidR="009D5944" w:rsidRPr="008652E9" w14:paraId="46C5888A" w14:textId="77777777" w:rsidTr="008652E9">
        <w:trPr>
          <w:tblCellSpacing w:w="15" w:type="dxa"/>
        </w:trPr>
        <w:tc>
          <w:tcPr>
            <w:tcW w:w="0" w:type="auto"/>
            <w:vAlign w:val="center"/>
            <w:hideMark/>
          </w:tcPr>
          <w:p w14:paraId="35E2A5D3"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Commercial flexibility</w:t>
            </w:r>
          </w:p>
        </w:tc>
        <w:tc>
          <w:tcPr>
            <w:tcW w:w="0" w:type="auto"/>
            <w:vAlign w:val="center"/>
            <w:hideMark/>
          </w:tcPr>
          <w:p w14:paraId="53006C6A"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Organizations can adapt to changing pricing and contractual arrangements.</w:t>
            </w:r>
          </w:p>
        </w:tc>
        <w:tc>
          <w:tcPr>
            <w:tcW w:w="0" w:type="auto"/>
            <w:vAlign w:val="center"/>
            <w:hideMark/>
          </w:tcPr>
          <w:p w14:paraId="524BF367"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Governance policies should prevent uncontrolled routing behavior.</w:t>
            </w:r>
          </w:p>
        </w:tc>
      </w:tr>
      <w:tr w:rsidR="009D5944" w:rsidRPr="008652E9" w14:paraId="1332FB94" w14:textId="77777777" w:rsidTr="008652E9">
        <w:trPr>
          <w:tblCellSpacing w:w="15" w:type="dxa"/>
        </w:trPr>
        <w:tc>
          <w:tcPr>
            <w:tcW w:w="0" w:type="auto"/>
            <w:vAlign w:val="center"/>
            <w:hideMark/>
          </w:tcPr>
          <w:p w14:paraId="2313F2F9"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Regulatory compliance</w:t>
            </w:r>
          </w:p>
        </w:tc>
        <w:tc>
          <w:tcPr>
            <w:tcW w:w="0" w:type="auto"/>
            <w:vAlign w:val="center"/>
            <w:hideMark/>
          </w:tcPr>
          <w:p w14:paraId="4F5CEFF5"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Workloads may be directed to providers satisfying regional requirements.</w:t>
            </w:r>
          </w:p>
        </w:tc>
        <w:tc>
          <w:tcPr>
            <w:tcW w:w="0" w:type="auto"/>
            <w:vAlign w:val="center"/>
            <w:hideMark/>
          </w:tcPr>
          <w:p w14:paraId="3B6E5801"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Geographic routing policies must remain transparent and auditable.</w:t>
            </w:r>
          </w:p>
        </w:tc>
      </w:tr>
      <w:tr w:rsidR="009D5944" w:rsidRPr="008652E9" w14:paraId="7993B8C1" w14:textId="77777777" w:rsidTr="008652E9">
        <w:trPr>
          <w:tblCellSpacing w:w="15" w:type="dxa"/>
        </w:trPr>
        <w:tc>
          <w:tcPr>
            <w:tcW w:w="0" w:type="auto"/>
            <w:vAlign w:val="center"/>
            <w:hideMark/>
          </w:tcPr>
          <w:p w14:paraId="25EA0EBF"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Incremental technology adoption</w:t>
            </w:r>
          </w:p>
        </w:tc>
        <w:tc>
          <w:tcPr>
            <w:tcW w:w="0" w:type="auto"/>
            <w:vAlign w:val="center"/>
            <w:hideMark/>
          </w:tcPr>
          <w:p w14:paraId="1F446EC9"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New providers can be introduced without application redesign.</w:t>
            </w:r>
          </w:p>
        </w:tc>
        <w:tc>
          <w:tcPr>
            <w:tcW w:w="0" w:type="auto"/>
            <w:vAlign w:val="center"/>
            <w:hideMark/>
          </w:tcPr>
          <w:p w14:paraId="1F5ACDBE"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Provider abstraction layers require continuous maintenance.</w:t>
            </w:r>
          </w:p>
        </w:tc>
      </w:tr>
    </w:tbl>
    <w:p w14:paraId="3323AFF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 multi-provider architecture illustrates one of the central themes of this book: modern AI platforms increasingly resemble mature distributed systems. Their </w:t>
      </w:r>
      <w:r w:rsidRPr="009D5944">
        <w:rPr>
          <w:rFonts w:ascii="Times New Roman" w:eastAsia="Times New Roman" w:hAnsi="Times New Roman" w:cs="Times New Roman"/>
          <w:sz w:val="28"/>
          <w:szCs w:val="24"/>
        </w:rPr>
        <w:lastRenderedPageBreak/>
        <w:t>value derives not from exclusive dependence on a particular technology but from the ability to integrate, govern, and evolve multiple technologies over time.</w:t>
      </w:r>
    </w:p>
    <w:p w14:paraId="7B214C59" w14:textId="77777777" w:rsidR="009D5944" w:rsidRPr="009D5944" w:rsidRDefault="008652E9" w:rsidP="009D5944">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7790B741">
          <v:rect id="_x0000_i1031" style="width:0;height:1.5pt" o:hralign="center" o:hrstd="t" o:hr="t" fillcolor="#a0a0a0" stroked="f"/>
        </w:pict>
      </w:r>
    </w:p>
    <w:p w14:paraId="477ADB15"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2.11 Architectural Trade-offs</w:t>
      </w:r>
    </w:p>
    <w:p w14:paraId="4F338C1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reference architectures presented in the preceding sections demonstrate that AI platform design rarely involves choosing between "correct" and "incorrect" solutions. Instead, architects continually balance competing objectives whose relative importance varies across organizations.</w:t>
      </w:r>
    </w:p>
    <w:p w14:paraId="0791676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Every architectural decision improves some characteristics while constraining others.</w:t>
      </w:r>
    </w:p>
    <w:p w14:paraId="7038C49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Understanding these trade-offs is considerably more valuable than memorizing preferred technology stacks because the underlying engineering principles remain applicable even as individual products evolve.</w:t>
      </w:r>
    </w:p>
    <w:p w14:paraId="4CDABD7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One of the most visible trade-offs concerns </w:t>
      </w:r>
      <w:r w:rsidRPr="009D5944">
        <w:rPr>
          <w:rFonts w:ascii="Times New Roman" w:eastAsia="Times New Roman" w:hAnsi="Times New Roman" w:cs="Times New Roman"/>
          <w:b/>
          <w:bCs/>
          <w:sz w:val="28"/>
          <w:szCs w:val="24"/>
        </w:rPr>
        <w:t>operational control versus operational responsibility</w:t>
      </w:r>
      <w:r w:rsidRPr="009D5944">
        <w:rPr>
          <w:rFonts w:ascii="Times New Roman" w:eastAsia="Times New Roman" w:hAnsi="Times New Roman" w:cs="Times New Roman"/>
          <w:sz w:val="28"/>
          <w:szCs w:val="24"/>
        </w:rPr>
        <w:t>.</w:t>
      </w:r>
    </w:p>
    <w:p w14:paraId="7EA2FADB"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Managed AI services reduce infrastructure complexity by transferring responsibility for inference, scaling, hardware lifecycle management, and model deployment to external providers. Self-hosted platforms provide substantially greater flexibility but require corresponding investment in platform engineering, operational expertise, and infrastructure management. Neither approach is universally preferable because the optimal balance depends upon organizational priorities.</w:t>
      </w:r>
    </w:p>
    <w:p w14:paraId="4D7E9D1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Another recurring trade-off involves </w:t>
      </w:r>
      <w:r w:rsidRPr="009D5944">
        <w:rPr>
          <w:rFonts w:ascii="Times New Roman" w:eastAsia="Times New Roman" w:hAnsi="Times New Roman" w:cs="Times New Roman"/>
          <w:b/>
          <w:bCs/>
          <w:sz w:val="28"/>
          <w:szCs w:val="24"/>
        </w:rPr>
        <w:t>architectural flexibility versus implementation simplicity</w:t>
      </w:r>
      <w:r w:rsidRPr="009D5944">
        <w:rPr>
          <w:rFonts w:ascii="Times New Roman" w:eastAsia="Times New Roman" w:hAnsi="Times New Roman" w:cs="Times New Roman"/>
          <w:sz w:val="28"/>
          <w:szCs w:val="24"/>
        </w:rPr>
        <w:t>.</w:t>
      </w:r>
    </w:p>
    <w:p w14:paraId="0D5D6D2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Supporting multiple providers, deployment environments, or inference engines increases long-term adaptability while introducing additional abstraction layers and operational coordination. Organizations expecting rapid technological evolution often benefit from this flexibility, whereas narrowly scoped applications may reasonably prioritize simpler architectures.</w:t>
      </w:r>
    </w:p>
    <w:p w14:paraId="5432077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Performance introduces additional considerations.</w:t>
      </w:r>
    </w:p>
    <w:p w14:paraId="1E54B82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Direct integration with a single inference provider may minimize latency by reducing intermediate platform layers. Conversely, centralized gateways and routing services simplify governance, provider abstraction, and policy enforcement while introducing modest additional processing overhead. In most enterprise </w:t>
      </w:r>
      <w:r w:rsidRPr="009D5944">
        <w:rPr>
          <w:rFonts w:ascii="Times New Roman" w:eastAsia="Times New Roman" w:hAnsi="Times New Roman" w:cs="Times New Roman"/>
          <w:sz w:val="28"/>
          <w:szCs w:val="24"/>
        </w:rPr>
        <w:lastRenderedPageBreak/>
        <w:t>environments, the resulting architectural consistency outweighs the relatively small increase in request latency.</w:t>
      </w:r>
    </w:p>
    <w:p w14:paraId="3329367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Security and governance frequently interact with deployment flexibility.</w:t>
      </w:r>
    </w:p>
    <w:p w14:paraId="4F1B309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Keeping inference within organizational infrastructure simplifies certain regulatory requirements while increasing operational responsibilities. Managed services may accelerate adoption but require careful evaluation of data handling practices, contractual obligations, regional availability, and compliance controls.</w:t>
      </w:r>
    </w:p>
    <w:p w14:paraId="61242E5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Organizational capability should also be viewed as an architectural constraint.</w:t>
      </w:r>
    </w:p>
    <w:p w14:paraId="44132B8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 technically sophisticated platform requiring continuous GPU optimization, distributed inference expertise, and advanced operational engineering may perform exceptionally well in one organization while proving unsustainable in another with different staffing or operational priorities. Successful architecture reflects organizational capability as much as technological possibility.</w:t>
      </w:r>
    </w:p>
    <w:p w14:paraId="2E7ABFE7"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An equally important trade-off concerns </w:t>
      </w:r>
      <w:r w:rsidRPr="009D5944">
        <w:rPr>
          <w:rFonts w:ascii="Times New Roman" w:eastAsia="Times New Roman" w:hAnsi="Times New Roman" w:cs="Times New Roman"/>
          <w:b/>
          <w:bCs/>
          <w:sz w:val="28"/>
          <w:szCs w:val="24"/>
        </w:rPr>
        <w:t>present optimization versus future adaptability</w:t>
      </w:r>
      <w:r w:rsidRPr="009D5944">
        <w:rPr>
          <w:rFonts w:ascii="Times New Roman" w:eastAsia="Times New Roman" w:hAnsi="Times New Roman" w:cs="Times New Roman"/>
          <w:sz w:val="28"/>
          <w:szCs w:val="24"/>
        </w:rPr>
        <w:t>.</w:t>
      </w:r>
    </w:p>
    <w:p w14:paraId="3620C82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Architectures tightly optimized for current technologies often become difficult to evolve. Conversely, excessive abstraction may introduce unnecessary complexity before it becomes justified. Platform engineers must therefore anticipate technological change without designing speculative infrastructure for hypothetical future requirements.</w:t>
      </w:r>
    </w:p>
    <w:p w14:paraId="22AC363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objective is not maximal abstraction but </w:t>
      </w:r>
      <w:r w:rsidRPr="009D5944">
        <w:rPr>
          <w:rFonts w:ascii="Times New Roman" w:eastAsia="Times New Roman" w:hAnsi="Times New Roman" w:cs="Times New Roman"/>
          <w:b/>
          <w:bCs/>
          <w:sz w:val="28"/>
          <w:szCs w:val="24"/>
        </w:rPr>
        <w:t>appropriate abstraction</w:t>
      </w:r>
      <w:r w:rsidRPr="009D5944">
        <w:rPr>
          <w:rFonts w:ascii="Times New Roman" w:eastAsia="Times New Roman" w:hAnsi="Times New Roman" w:cs="Times New Roman"/>
          <w:sz w:val="28"/>
          <w:szCs w:val="24"/>
        </w:rPr>
        <w:t>.</w:t>
      </w:r>
    </w:p>
    <w:p w14:paraId="43A8F44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2-10. Common Architectural Trade-offs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09"/>
        <w:gridCol w:w="2860"/>
        <w:gridCol w:w="2371"/>
        <w:gridCol w:w="2415"/>
      </w:tblGrid>
      <w:tr w:rsidR="009D5944" w:rsidRPr="008652E9" w14:paraId="29F47864" w14:textId="77777777" w:rsidTr="008652E9">
        <w:trPr>
          <w:tblHeader/>
          <w:tblCellSpacing w:w="15" w:type="dxa"/>
        </w:trPr>
        <w:tc>
          <w:tcPr>
            <w:tcW w:w="0" w:type="auto"/>
            <w:vAlign w:val="center"/>
            <w:hideMark/>
          </w:tcPr>
          <w:p w14:paraId="43B15F1A"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Engineering Objective</w:t>
            </w:r>
          </w:p>
        </w:tc>
        <w:tc>
          <w:tcPr>
            <w:tcW w:w="0" w:type="auto"/>
            <w:vAlign w:val="center"/>
            <w:hideMark/>
          </w:tcPr>
          <w:p w14:paraId="069A5193"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Benefits</w:t>
            </w:r>
          </w:p>
        </w:tc>
        <w:tc>
          <w:tcPr>
            <w:tcW w:w="0" w:type="auto"/>
            <w:vAlign w:val="center"/>
            <w:hideMark/>
          </w:tcPr>
          <w:p w14:paraId="693821CF"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Potential Costs</w:t>
            </w:r>
          </w:p>
        </w:tc>
        <w:tc>
          <w:tcPr>
            <w:tcW w:w="0" w:type="auto"/>
            <w:vAlign w:val="center"/>
            <w:hideMark/>
          </w:tcPr>
          <w:p w14:paraId="2975DEE3"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Typical Architectural Response</w:t>
            </w:r>
          </w:p>
        </w:tc>
      </w:tr>
      <w:tr w:rsidR="009D5944" w:rsidRPr="008652E9" w14:paraId="09642B18" w14:textId="77777777" w:rsidTr="008652E9">
        <w:trPr>
          <w:tblCellSpacing w:w="15" w:type="dxa"/>
        </w:trPr>
        <w:tc>
          <w:tcPr>
            <w:tcW w:w="0" w:type="auto"/>
            <w:vAlign w:val="center"/>
            <w:hideMark/>
          </w:tcPr>
          <w:p w14:paraId="22BB6A93"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Maximum operational control</w:t>
            </w:r>
          </w:p>
        </w:tc>
        <w:tc>
          <w:tcPr>
            <w:tcW w:w="0" w:type="auto"/>
            <w:vAlign w:val="center"/>
            <w:hideMark/>
          </w:tcPr>
          <w:p w14:paraId="0AF43F81"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Full deployment flexibility, infrastructure optimization, regulatory independence</w:t>
            </w:r>
          </w:p>
        </w:tc>
        <w:tc>
          <w:tcPr>
            <w:tcW w:w="0" w:type="auto"/>
            <w:vAlign w:val="center"/>
            <w:hideMark/>
          </w:tcPr>
          <w:p w14:paraId="5734F0E2"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Greater engineering investment and operational complexity</w:t>
            </w:r>
          </w:p>
        </w:tc>
        <w:tc>
          <w:tcPr>
            <w:tcW w:w="0" w:type="auto"/>
            <w:vAlign w:val="center"/>
            <w:hideMark/>
          </w:tcPr>
          <w:p w14:paraId="2509F0B6"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Self-hosted or hybrid architectures</w:t>
            </w:r>
          </w:p>
        </w:tc>
      </w:tr>
      <w:tr w:rsidR="009D5944" w:rsidRPr="008652E9" w14:paraId="22EF50EE" w14:textId="77777777" w:rsidTr="008652E9">
        <w:trPr>
          <w:tblCellSpacing w:w="15" w:type="dxa"/>
        </w:trPr>
        <w:tc>
          <w:tcPr>
            <w:tcW w:w="0" w:type="auto"/>
            <w:vAlign w:val="center"/>
            <w:hideMark/>
          </w:tcPr>
          <w:p w14:paraId="62D5FB4D"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Minimal operational overhead</w:t>
            </w:r>
          </w:p>
        </w:tc>
        <w:tc>
          <w:tcPr>
            <w:tcW w:w="0" w:type="auto"/>
            <w:vAlign w:val="center"/>
            <w:hideMark/>
          </w:tcPr>
          <w:p w14:paraId="4616B308"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Rapid adoption, simplified operations, reduced infrastructure ownership</w:t>
            </w:r>
          </w:p>
        </w:tc>
        <w:tc>
          <w:tcPr>
            <w:tcW w:w="0" w:type="auto"/>
            <w:vAlign w:val="center"/>
            <w:hideMark/>
          </w:tcPr>
          <w:p w14:paraId="6FDF0F9F"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Provider dependence and reduced deployment flexibility</w:t>
            </w:r>
          </w:p>
        </w:tc>
        <w:tc>
          <w:tcPr>
            <w:tcW w:w="0" w:type="auto"/>
            <w:vAlign w:val="center"/>
            <w:hideMark/>
          </w:tcPr>
          <w:p w14:paraId="5B673F2C"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Managed AI services</w:t>
            </w:r>
          </w:p>
        </w:tc>
      </w:tr>
      <w:tr w:rsidR="009D5944" w:rsidRPr="008652E9" w14:paraId="7CDCD935" w14:textId="77777777" w:rsidTr="008652E9">
        <w:trPr>
          <w:tblCellSpacing w:w="15" w:type="dxa"/>
        </w:trPr>
        <w:tc>
          <w:tcPr>
            <w:tcW w:w="0" w:type="auto"/>
            <w:vAlign w:val="center"/>
            <w:hideMark/>
          </w:tcPr>
          <w:p w14:paraId="52007B0C"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Multi-provider flexibility</w:t>
            </w:r>
          </w:p>
        </w:tc>
        <w:tc>
          <w:tcPr>
            <w:tcW w:w="0" w:type="auto"/>
            <w:vAlign w:val="center"/>
            <w:hideMark/>
          </w:tcPr>
          <w:p w14:paraId="777D6B39"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Improved resilience and provider independence</w:t>
            </w:r>
          </w:p>
        </w:tc>
        <w:tc>
          <w:tcPr>
            <w:tcW w:w="0" w:type="auto"/>
            <w:vAlign w:val="center"/>
            <w:hideMark/>
          </w:tcPr>
          <w:p w14:paraId="2187712E"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Increased abstraction and governance complexity</w:t>
            </w:r>
          </w:p>
        </w:tc>
        <w:tc>
          <w:tcPr>
            <w:tcW w:w="0" w:type="auto"/>
            <w:vAlign w:val="center"/>
            <w:hideMark/>
          </w:tcPr>
          <w:p w14:paraId="640DB4C5"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Centralized AI gateway and routing layer</w:t>
            </w:r>
          </w:p>
        </w:tc>
      </w:tr>
      <w:tr w:rsidR="009D5944" w:rsidRPr="008652E9" w14:paraId="1D779A57" w14:textId="77777777" w:rsidTr="008652E9">
        <w:trPr>
          <w:tblCellSpacing w:w="15" w:type="dxa"/>
        </w:trPr>
        <w:tc>
          <w:tcPr>
            <w:tcW w:w="0" w:type="auto"/>
            <w:vAlign w:val="center"/>
            <w:hideMark/>
          </w:tcPr>
          <w:p w14:paraId="3F85B8D2"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Lowest possible latency</w:t>
            </w:r>
          </w:p>
        </w:tc>
        <w:tc>
          <w:tcPr>
            <w:tcW w:w="0" w:type="auto"/>
            <w:vAlign w:val="center"/>
            <w:hideMark/>
          </w:tcPr>
          <w:p w14:paraId="08101FCB"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Reduced response time for interactive applications</w:t>
            </w:r>
          </w:p>
        </w:tc>
        <w:tc>
          <w:tcPr>
            <w:tcW w:w="0" w:type="auto"/>
            <w:vAlign w:val="center"/>
            <w:hideMark/>
          </w:tcPr>
          <w:p w14:paraId="6DA05781"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Less architectural flexibility and fewer governance layers</w:t>
            </w:r>
          </w:p>
        </w:tc>
        <w:tc>
          <w:tcPr>
            <w:tcW w:w="0" w:type="auto"/>
            <w:vAlign w:val="center"/>
            <w:hideMark/>
          </w:tcPr>
          <w:p w14:paraId="3B49E8E0"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Regional deployment and workload-specific optimization</w:t>
            </w:r>
          </w:p>
        </w:tc>
      </w:tr>
      <w:tr w:rsidR="009D5944" w:rsidRPr="008652E9" w14:paraId="6E8C7E0F" w14:textId="77777777" w:rsidTr="008652E9">
        <w:trPr>
          <w:tblCellSpacing w:w="15" w:type="dxa"/>
        </w:trPr>
        <w:tc>
          <w:tcPr>
            <w:tcW w:w="0" w:type="auto"/>
            <w:vAlign w:val="center"/>
            <w:hideMark/>
          </w:tcPr>
          <w:p w14:paraId="1068C197"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lastRenderedPageBreak/>
              <w:t>Strong governance</w:t>
            </w:r>
          </w:p>
        </w:tc>
        <w:tc>
          <w:tcPr>
            <w:tcW w:w="0" w:type="auto"/>
            <w:vAlign w:val="center"/>
            <w:hideMark/>
          </w:tcPr>
          <w:p w14:paraId="1DD78A5C"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Consistent policy enforcement and auditability</w:t>
            </w:r>
          </w:p>
        </w:tc>
        <w:tc>
          <w:tcPr>
            <w:tcW w:w="0" w:type="auto"/>
            <w:vAlign w:val="center"/>
            <w:hideMark/>
          </w:tcPr>
          <w:p w14:paraId="70E3B05A"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Additional architectural components and operational processes</w:t>
            </w:r>
          </w:p>
        </w:tc>
        <w:tc>
          <w:tcPr>
            <w:tcW w:w="0" w:type="auto"/>
            <w:vAlign w:val="center"/>
            <w:hideMark/>
          </w:tcPr>
          <w:p w14:paraId="69F17117"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Shared platform services with centralized control</w:t>
            </w:r>
          </w:p>
        </w:tc>
      </w:tr>
      <w:tr w:rsidR="009D5944" w:rsidRPr="008652E9" w14:paraId="43E876AB" w14:textId="77777777" w:rsidTr="008652E9">
        <w:trPr>
          <w:tblCellSpacing w:w="15" w:type="dxa"/>
        </w:trPr>
        <w:tc>
          <w:tcPr>
            <w:tcW w:w="0" w:type="auto"/>
            <w:vAlign w:val="center"/>
            <w:hideMark/>
          </w:tcPr>
          <w:p w14:paraId="1ECCE536"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Rapid technology adoption</w:t>
            </w:r>
          </w:p>
        </w:tc>
        <w:tc>
          <w:tcPr>
            <w:tcW w:w="0" w:type="auto"/>
            <w:vAlign w:val="center"/>
            <w:hideMark/>
          </w:tcPr>
          <w:p w14:paraId="3582017D"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Access to new capabilities with minimal disruption</w:t>
            </w:r>
          </w:p>
        </w:tc>
        <w:tc>
          <w:tcPr>
            <w:tcW w:w="0" w:type="auto"/>
            <w:vAlign w:val="center"/>
            <w:hideMark/>
          </w:tcPr>
          <w:p w14:paraId="577FED14"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Continuous evaluation and integration effort</w:t>
            </w:r>
          </w:p>
        </w:tc>
        <w:tc>
          <w:tcPr>
            <w:tcW w:w="0" w:type="auto"/>
            <w:vAlign w:val="center"/>
            <w:hideMark/>
          </w:tcPr>
          <w:p w14:paraId="61B6FBD8"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Modular architecture with stable interfaces</w:t>
            </w:r>
          </w:p>
        </w:tc>
      </w:tr>
    </w:tbl>
    <w:p w14:paraId="481D58D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An important observation emerges from these comparisons.</w:t>
      </w:r>
    </w:p>
    <w:p w14:paraId="28E6C87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trade-offs themselves remain remarkably stable even though individual technologies continue to evolve. Organizations have always balanced flexibility against complexity, operational responsibility against convenience, and performance against maintainability. AI introduces new technologies but not entirely new architectural principles.</w:t>
      </w:r>
    </w:p>
    <w:p w14:paraId="38A631B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For this reason, platform engineers should resist evaluating technologies in isolation. Architectural quality depends upon how well multiple design decisions reinforce one another within the context of organizational requirements.</w:t>
      </w:r>
    </w:p>
    <w:p w14:paraId="5ACDE5D6" w14:textId="77777777" w:rsidR="009D5944" w:rsidRPr="009D5944" w:rsidRDefault="008652E9" w:rsidP="009D5944">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05D32F4E">
          <v:rect id="_x0000_i1032" style="width:0;height:1.5pt" o:hralign="center" o:hrstd="t" o:hr="t" fillcolor="#a0a0a0" stroked="f"/>
        </w:pict>
      </w:r>
    </w:p>
    <w:p w14:paraId="27F730F7"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2.12 Common Architectural Anti-Patterns</w:t>
      </w:r>
    </w:p>
    <w:p w14:paraId="511E2EA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Reference architectures describe proven design approaches, but understanding common failure modes is equally valuable. Many difficulties encountered during AI platform adoption arise not from limitations of foundation models but from architectural decisions that unnecessarily increase operational complexity, reduce flexibility, or couple applications to rapidly evolving technologies.</w:t>
      </w:r>
    </w:p>
    <w:p w14:paraId="0DEF812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One recurring anti-pattern is </w:t>
      </w:r>
      <w:r w:rsidRPr="009D5944">
        <w:rPr>
          <w:rFonts w:ascii="Times New Roman" w:eastAsia="Times New Roman" w:hAnsi="Times New Roman" w:cs="Times New Roman"/>
          <w:b/>
          <w:bCs/>
          <w:sz w:val="28"/>
          <w:szCs w:val="24"/>
        </w:rPr>
        <w:t>selecting technologies before defining architectural requirements</w:t>
      </w:r>
      <w:r w:rsidRPr="009D5944">
        <w:rPr>
          <w:rFonts w:ascii="Times New Roman" w:eastAsia="Times New Roman" w:hAnsi="Times New Roman" w:cs="Times New Roman"/>
          <w:sz w:val="28"/>
          <w:szCs w:val="24"/>
        </w:rPr>
        <w:t>.</w:t>
      </w:r>
    </w:p>
    <w:p w14:paraId="383969A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Organizations sometimes begin projects by evaluating model leaderboards, orchestration frameworks, or vector databases before understanding business objectives, operational constraints, or governance requirements. As discussed earlier in this chapter, this sequence frequently produces architectures optimized around product capabilities rather than organizational needs.</w:t>
      </w:r>
    </w:p>
    <w:p w14:paraId="0D976BB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 second anti-pattern involves </w:t>
      </w:r>
      <w:r w:rsidRPr="009D5944">
        <w:rPr>
          <w:rFonts w:ascii="Times New Roman" w:eastAsia="Times New Roman" w:hAnsi="Times New Roman" w:cs="Times New Roman"/>
          <w:b/>
          <w:bCs/>
          <w:sz w:val="28"/>
          <w:szCs w:val="24"/>
        </w:rPr>
        <w:t>coupling applications directly to provider APIs</w:t>
      </w:r>
      <w:r w:rsidRPr="009D5944">
        <w:rPr>
          <w:rFonts w:ascii="Times New Roman" w:eastAsia="Times New Roman" w:hAnsi="Times New Roman" w:cs="Times New Roman"/>
          <w:sz w:val="28"/>
          <w:szCs w:val="24"/>
        </w:rPr>
        <w:t>.</w:t>
      </w:r>
    </w:p>
    <w:p w14:paraId="050BED80"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While direct integration may accelerate initial development, it often complicates future migration, governance, authentication, and provider replacement. Even organizations using a single provider generally benefit from an internal platform interface that isolates business applications from external implementation details.</w:t>
      </w:r>
    </w:p>
    <w:p w14:paraId="35A30CC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 xml:space="preserve">Another common mistake is </w:t>
      </w:r>
      <w:r w:rsidRPr="009D5944">
        <w:rPr>
          <w:rFonts w:ascii="Times New Roman" w:eastAsia="Times New Roman" w:hAnsi="Times New Roman" w:cs="Times New Roman"/>
          <w:b/>
          <w:bCs/>
          <w:sz w:val="28"/>
          <w:szCs w:val="24"/>
        </w:rPr>
        <w:t>premature self-hosting</w:t>
      </w:r>
      <w:r w:rsidRPr="009D5944">
        <w:rPr>
          <w:rFonts w:ascii="Times New Roman" w:eastAsia="Times New Roman" w:hAnsi="Times New Roman" w:cs="Times New Roman"/>
          <w:sz w:val="28"/>
          <w:szCs w:val="24"/>
        </w:rPr>
        <w:t>.</w:t>
      </w:r>
    </w:p>
    <w:p w14:paraId="4B2F3BB6"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Operating inference infrastructure introduces responsibilities extending well beyond software deployment. Accelerator management, serving optimization, infrastructure monitoring, capacity planning, and hardware lifecycle management require specialized operational expertise. Organizations sometimes underestimate these requirements by comparing only infrastructure costs while overlooking long-term engineering investment.</w:t>
      </w:r>
    </w:p>
    <w:p w14:paraId="6E129F2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opposite mistake also occurs.</w:t>
      </w:r>
    </w:p>
    <w:p w14:paraId="5B7002B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Some organizations remain permanently dependent upon provider-specific capabilities despite growing regulatory, operational, or commercial requirements that would justify greater architectural flexibility. Mature platforms evolve as organizational needs evolve rather than remaining permanently committed to initial implementation choices.</w:t>
      </w:r>
    </w:p>
    <w:p w14:paraId="732604C4"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A further anti-pattern is </w:t>
      </w:r>
      <w:r w:rsidRPr="009D5944">
        <w:rPr>
          <w:rFonts w:ascii="Times New Roman" w:eastAsia="Times New Roman" w:hAnsi="Times New Roman" w:cs="Times New Roman"/>
          <w:b/>
          <w:bCs/>
          <w:sz w:val="28"/>
          <w:szCs w:val="24"/>
        </w:rPr>
        <w:t>framework-driven architecture</w:t>
      </w:r>
      <w:r w:rsidRPr="009D5944">
        <w:rPr>
          <w:rFonts w:ascii="Times New Roman" w:eastAsia="Times New Roman" w:hAnsi="Times New Roman" w:cs="Times New Roman"/>
          <w:sz w:val="28"/>
          <w:szCs w:val="24"/>
        </w:rPr>
        <w:t>.</w:t>
      </w:r>
    </w:p>
    <w:p w14:paraId="1491D9E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Rapidly evolving orchestration frameworks, agent runtimes, and application libraries often encourage developers to organize systems according to framework abstractions rather than business responsibilities. While frameworks provide valuable implementation tools, they should support architectural decisions rather than define them. Business capabilities should remain understandable independently of the frameworks used to implement them.</w:t>
      </w:r>
    </w:p>
    <w:p w14:paraId="3A62235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Organizations also frequently underestimate the importance of </w:t>
      </w:r>
      <w:r w:rsidRPr="009D5944">
        <w:rPr>
          <w:rFonts w:ascii="Times New Roman" w:eastAsia="Times New Roman" w:hAnsi="Times New Roman" w:cs="Times New Roman"/>
          <w:b/>
          <w:bCs/>
          <w:sz w:val="28"/>
          <w:szCs w:val="24"/>
        </w:rPr>
        <w:t>shared platform services</w:t>
      </w:r>
      <w:r w:rsidRPr="009D5944">
        <w:rPr>
          <w:rFonts w:ascii="Times New Roman" w:eastAsia="Times New Roman" w:hAnsi="Times New Roman" w:cs="Times New Roman"/>
          <w:sz w:val="28"/>
          <w:szCs w:val="24"/>
        </w:rPr>
        <w:t>.</w:t>
      </w:r>
    </w:p>
    <w:p w14:paraId="61F30DC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Allowing individual teams to implement independent authentication mechanisms, provider integrations, evaluation pipelines, or governance controls increases duplication and produces inconsistent operational behavior. Shared platform capabilities encourage architectural consistency while reducing long-term maintenance effort.</w:t>
      </w:r>
    </w:p>
    <w:p w14:paraId="4463B20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Finally, some organizations treat AI platforms primarily as collections of models.</w:t>
      </w:r>
    </w:p>
    <w:p w14:paraId="3FB2901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In reality, production systems derive much of their reliability from surrounding infrastructure including gateways, identity management, retrieval systems, evaluation pipelines, deployment automation, observability, and governance. These components frequently determine operational success more than incremental improvements in model capability.</w:t>
      </w:r>
    </w:p>
    <w:p w14:paraId="404F77E2"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b/>
          <w:bCs/>
          <w:sz w:val="28"/>
          <w:szCs w:val="24"/>
        </w:rPr>
        <w:t>Table 2-11. Common AI Platform Architectural Anti-Patterns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611"/>
        <w:gridCol w:w="2575"/>
        <w:gridCol w:w="2653"/>
        <w:gridCol w:w="2516"/>
      </w:tblGrid>
      <w:tr w:rsidR="009D5944" w:rsidRPr="008652E9" w14:paraId="300990FB" w14:textId="77777777" w:rsidTr="008652E9">
        <w:trPr>
          <w:tblHeader/>
          <w:tblCellSpacing w:w="15" w:type="dxa"/>
        </w:trPr>
        <w:tc>
          <w:tcPr>
            <w:tcW w:w="0" w:type="auto"/>
            <w:vAlign w:val="center"/>
            <w:hideMark/>
          </w:tcPr>
          <w:p w14:paraId="43B700A7"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lastRenderedPageBreak/>
              <w:t>Anti-Pattern</w:t>
            </w:r>
          </w:p>
        </w:tc>
        <w:tc>
          <w:tcPr>
            <w:tcW w:w="0" w:type="auto"/>
            <w:vAlign w:val="center"/>
            <w:hideMark/>
          </w:tcPr>
          <w:p w14:paraId="5EA0E18E"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Why It Occurs</w:t>
            </w:r>
          </w:p>
        </w:tc>
        <w:tc>
          <w:tcPr>
            <w:tcW w:w="0" w:type="auto"/>
            <w:vAlign w:val="center"/>
            <w:hideMark/>
          </w:tcPr>
          <w:p w14:paraId="5CF9EB16"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Long-Term Consequences</w:t>
            </w:r>
          </w:p>
        </w:tc>
        <w:tc>
          <w:tcPr>
            <w:tcW w:w="0" w:type="auto"/>
            <w:vAlign w:val="center"/>
            <w:hideMark/>
          </w:tcPr>
          <w:p w14:paraId="7ABC9769" w14:textId="77777777" w:rsidR="009D5944" w:rsidRPr="008652E9" w:rsidRDefault="009D5944" w:rsidP="009D5944">
            <w:pPr>
              <w:spacing w:after="0" w:line="240" w:lineRule="auto"/>
              <w:jc w:val="center"/>
              <w:rPr>
                <w:rFonts w:ascii="Times New Roman" w:eastAsia="Times New Roman" w:hAnsi="Times New Roman" w:cs="Times New Roman"/>
                <w:b/>
                <w:bCs/>
                <w:sz w:val="24"/>
              </w:rPr>
            </w:pPr>
            <w:r w:rsidRPr="008652E9">
              <w:rPr>
                <w:rFonts w:ascii="Times New Roman" w:eastAsia="Times New Roman" w:hAnsi="Times New Roman" w:cs="Times New Roman"/>
                <w:b/>
                <w:bCs/>
                <w:sz w:val="24"/>
              </w:rPr>
              <w:t>Better Architectural Practice</w:t>
            </w:r>
          </w:p>
        </w:tc>
      </w:tr>
      <w:tr w:rsidR="009D5944" w:rsidRPr="008652E9" w14:paraId="38BABA06" w14:textId="77777777" w:rsidTr="008652E9">
        <w:trPr>
          <w:tblCellSpacing w:w="15" w:type="dxa"/>
        </w:trPr>
        <w:tc>
          <w:tcPr>
            <w:tcW w:w="0" w:type="auto"/>
            <w:vAlign w:val="center"/>
            <w:hideMark/>
          </w:tcPr>
          <w:p w14:paraId="7A0BAE25"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Technology-first planning</w:t>
            </w:r>
          </w:p>
        </w:tc>
        <w:tc>
          <w:tcPr>
            <w:tcW w:w="0" w:type="auto"/>
            <w:vAlign w:val="center"/>
            <w:hideMark/>
          </w:tcPr>
          <w:p w14:paraId="2D24ADCA"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Excitement around new products and benchmarks</w:t>
            </w:r>
          </w:p>
        </w:tc>
        <w:tc>
          <w:tcPr>
            <w:tcW w:w="0" w:type="auto"/>
            <w:vAlign w:val="center"/>
            <w:hideMark/>
          </w:tcPr>
          <w:p w14:paraId="732BEB08"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Misalignment between architecture and organizational requirements</w:t>
            </w:r>
          </w:p>
        </w:tc>
        <w:tc>
          <w:tcPr>
            <w:tcW w:w="0" w:type="auto"/>
            <w:vAlign w:val="center"/>
            <w:hideMark/>
          </w:tcPr>
          <w:p w14:paraId="76E48B23"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Begin with requirements, then architecture, then technology selection</w:t>
            </w:r>
          </w:p>
        </w:tc>
      </w:tr>
      <w:tr w:rsidR="009D5944" w:rsidRPr="008652E9" w14:paraId="74D86F93" w14:textId="77777777" w:rsidTr="008652E9">
        <w:trPr>
          <w:tblCellSpacing w:w="15" w:type="dxa"/>
        </w:trPr>
        <w:tc>
          <w:tcPr>
            <w:tcW w:w="0" w:type="auto"/>
            <w:vAlign w:val="center"/>
            <w:hideMark/>
          </w:tcPr>
          <w:p w14:paraId="6E7F38D7"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Direct provider integration</w:t>
            </w:r>
          </w:p>
        </w:tc>
        <w:tc>
          <w:tcPr>
            <w:tcW w:w="0" w:type="auto"/>
            <w:vAlign w:val="center"/>
            <w:hideMark/>
          </w:tcPr>
          <w:p w14:paraId="21B486F2"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Simplifies early prototypes</w:t>
            </w:r>
          </w:p>
        </w:tc>
        <w:tc>
          <w:tcPr>
            <w:tcW w:w="0" w:type="auto"/>
            <w:vAlign w:val="center"/>
            <w:hideMark/>
          </w:tcPr>
          <w:p w14:paraId="25A9A8B0"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Difficult migration, duplicated integration logic, inconsistent governance</w:t>
            </w:r>
          </w:p>
        </w:tc>
        <w:tc>
          <w:tcPr>
            <w:tcW w:w="0" w:type="auto"/>
            <w:vAlign w:val="center"/>
            <w:hideMark/>
          </w:tcPr>
          <w:p w14:paraId="78B9394E"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Introduce a platform abstraction layer between applications and providers</w:t>
            </w:r>
          </w:p>
        </w:tc>
      </w:tr>
      <w:tr w:rsidR="009D5944" w:rsidRPr="008652E9" w14:paraId="71837ADF" w14:textId="77777777" w:rsidTr="008652E9">
        <w:trPr>
          <w:tblCellSpacing w:w="15" w:type="dxa"/>
        </w:trPr>
        <w:tc>
          <w:tcPr>
            <w:tcW w:w="0" w:type="auto"/>
            <w:vAlign w:val="center"/>
            <w:hideMark/>
          </w:tcPr>
          <w:p w14:paraId="2E3D5F8D"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Premature self-hosting</w:t>
            </w:r>
          </w:p>
        </w:tc>
        <w:tc>
          <w:tcPr>
            <w:tcW w:w="0" w:type="auto"/>
            <w:vAlign w:val="center"/>
            <w:hideMark/>
          </w:tcPr>
          <w:p w14:paraId="03877586"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Focus on infrastructure ownership or API pricing</w:t>
            </w:r>
          </w:p>
        </w:tc>
        <w:tc>
          <w:tcPr>
            <w:tcW w:w="0" w:type="auto"/>
            <w:vAlign w:val="center"/>
            <w:hideMark/>
          </w:tcPr>
          <w:p w14:paraId="7EB44C39"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Increased operational burden without corresponding business value</w:t>
            </w:r>
          </w:p>
        </w:tc>
        <w:tc>
          <w:tcPr>
            <w:tcW w:w="0" w:type="auto"/>
            <w:vAlign w:val="center"/>
            <w:hideMark/>
          </w:tcPr>
          <w:p w14:paraId="65DD2FE6"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Adopt self-hosting only when justified by clear requirements</w:t>
            </w:r>
          </w:p>
        </w:tc>
      </w:tr>
      <w:tr w:rsidR="009D5944" w:rsidRPr="008652E9" w14:paraId="31CF1AD9" w14:textId="77777777" w:rsidTr="008652E9">
        <w:trPr>
          <w:tblCellSpacing w:w="15" w:type="dxa"/>
        </w:trPr>
        <w:tc>
          <w:tcPr>
            <w:tcW w:w="0" w:type="auto"/>
            <w:vAlign w:val="center"/>
            <w:hideMark/>
          </w:tcPr>
          <w:p w14:paraId="5C0DA190"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Framework-driven architecture</w:t>
            </w:r>
          </w:p>
        </w:tc>
        <w:tc>
          <w:tcPr>
            <w:tcW w:w="0" w:type="auto"/>
            <w:vAlign w:val="center"/>
            <w:hideMark/>
          </w:tcPr>
          <w:p w14:paraId="11FC0887"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Frameworks encourage application structure around implementation details</w:t>
            </w:r>
          </w:p>
        </w:tc>
        <w:tc>
          <w:tcPr>
            <w:tcW w:w="0" w:type="auto"/>
            <w:vAlign w:val="center"/>
            <w:hideMark/>
          </w:tcPr>
          <w:p w14:paraId="0CDFD626"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Reduced flexibility as frameworks evolve</w:t>
            </w:r>
          </w:p>
        </w:tc>
        <w:tc>
          <w:tcPr>
            <w:tcW w:w="0" w:type="auto"/>
            <w:vAlign w:val="center"/>
            <w:hideMark/>
          </w:tcPr>
          <w:p w14:paraId="02271EA4"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Design around business capabilities and platform responsibilities</w:t>
            </w:r>
          </w:p>
        </w:tc>
      </w:tr>
      <w:tr w:rsidR="009D5944" w:rsidRPr="008652E9" w14:paraId="767C08D6" w14:textId="77777777" w:rsidTr="008652E9">
        <w:trPr>
          <w:tblCellSpacing w:w="15" w:type="dxa"/>
        </w:trPr>
        <w:tc>
          <w:tcPr>
            <w:tcW w:w="0" w:type="auto"/>
            <w:vAlign w:val="center"/>
            <w:hideMark/>
          </w:tcPr>
          <w:p w14:paraId="7145C32F"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Fragmented platform services</w:t>
            </w:r>
          </w:p>
        </w:tc>
        <w:tc>
          <w:tcPr>
            <w:tcW w:w="0" w:type="auto"/>
            <w:vAlign w:val="center"/>
            <w:hideMark/>
          </w:tcPr>
          <w:p w14:paraId="1C5DD671"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Independent team decisions</w:t>
            </w:r>
          </w:p>
        </w:tc>
        <w:tc>
          <w:tcPr>
            <w:tcW w:w="0" w:type="auto"/>
            <w:vAlign w:val="center"/>
            <w:hideMark/>
          </w:tcPr>
          <w:p w14:paraId="56F863F9"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Duplicated functionality and inconsistent operational behavior</w:t>
            </w:r>
          </w:p>
        </w:tc>
        <w:tc>
          <w:tcPr>
            <w:tcW w:w="0" w:type="auto"/>
            <w:vAlign w:val="center"/>
            <w:hideMark/>
          </w:tcPr>
          <w:p w14:paraId="122026C5"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Centralize common platform capabilities where appropriate</w:t>
            </w:r>
          </w:p>
        </w:tc>
      </w:tr>
      <w:tr w:rsidR="009D5944" w:rsidRPr="008652E9" w14:paraId="0803745A" w14:textId="77777777" w:rsidTr="008652E9">
        <w:trPr>
          <w:tblCellSpacing w:w="15" w:type="dxa"/>
        </w:trPr>
        <w:tc>
          <w:tcPr>
            <w:tcW w:w="0" w:type="auto"/>
            <w:vAlign w:val="center"/>
            <w:hideMark/>
          </w:tcPr>
          <w:p w14:paraId="0F6BFF91"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Model-centric thinking</w:t>
            </w:r>
          </w:p>
        </w:tc>
        <w:tc>
          <w:tcPr>
            <w:tcW w:w="0" w:type="auto"/>
            <w:vAlign w:val="center"/>
            <w:hideMark/>
          </w:tcPr>
          <w:p w14:paraId="3D382109"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Public attention focuses on foundation models</w:t>
            </w:r>
          </w:p>
        </w:tc>
        <w:tc>
          <w:tcPr>
            <w:tcW w:w="0" w:type="auto"/>
            <w:vAlign w:val="center"/>
            <w:hideMark/>
          </w:tcPr>
          <w:p w14:paraId="2D583B6D"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Underinvestment in governance, operations, and platform engineering</w:t>
            </w:r>
          </w:p>
        </w:tc>
        <w:tc>
          <w:tcPr>
            <w:tcW w:w="0" w:type="auto"/>
            <w:vAlign w:val="center"/>
            <w:hideMark/>
          </w:tcPr>
          <w:p w14:paraId="2CEC8051" w14:textId="77777777" w:rsidR="009D5944" w:rsidRPr="008652E9" w:rsidRDefault="009D5944" w:rsidP="009D5944">
            <w:pPr>
              <w:spacing w:after="0" w:line="240" w:lineRule="auto"/>
              <w:rPr>
                <w:rFonts w:ascii="Times New Roman" w:eastAsia="Times New Roman" w:hAnsi="Times New Roman" w:cs="Times New Roman"/>
                <w:sz w:val="24"/>
              </w:rPr>
            </w:pPr>
            <w:r w:rsidRPr="008652E9">
              <w:rPr>
                <w:rFonts w:ascii="Times New Roman" w:eastAsia="Times New Roman" w:hAnsi="Times New Roman" w:cs="Times New Roman"/>
                <w:sz w:val="24"/>
              </w:rPr>
              <w:t>Treat AI models as one component within a broader production platform</w:t>
            </w:r>
          </w:p>
        </w:tc>
      </w:tr>
    </w:tbl>
    <w:p w14:paraId="07935AC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Most of these anti-patterns share a common characteristic: they optimize for short-term implementation convenience at the expense of long-term architectural adaptability. Well-designed platforms instead prioritize modularity, stable interfaces, and clear separation of responsibilities.</w:t>
      </w:r>
    </w:p>
    <w:p w14:paraId="3B0DE247" w14:textId="77777777" w:rsidR="009D5944" w:rsidRPr="009D5944" w:rsidRDefault="008652E9" w:rsidP="009D5944">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11CA6C06">
          <v:rect id="_x0000_i1033" style="width:0;height:1.5pt" o:hralign="center" o:hrstd="t" o:hr="t" fillcolor="#a0a0a0" stroked="f"/>
        </w:pict>
      </w:r>
    </w:p>
    <w:p w14:paraId="1EAE85CD" w14:textId="77777777" w:rsidR="009D5944" w:rsidRPr="009D5944" w:rsidRDefault="009D5944" w:rsidP="009D5944">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9D5944">
        <w:rPr>
          <w:rFonts w:ascii="Times New Roman" w:eastAsia="Times New Roman" w:hAnsi="Times New Roman" w:cs="Times New Roman"/>
          <w:b/>
          <w:bCs/>
          <w:kern w:val="36"/>
          <w:sz w:val="52"/>
          <w:szCs w:val="48"/>
        </w:rPr>
        <w:t>2.13 Connecting Architecture to the Rest of the Book</w:t>
      </w:r>
    </w:p>
    <w:p w14:paraId="284FD24E"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purpose of this chapter has been to establish a structured framework for selecting AI platform architectures rather than recommending individual technologies. By examining deployment models, architectural dimensions, reference architectures, and engineering trade-offs, the discussion has emphasized that successful AI platforms emerge from deliberate architectural reasoning rather than product selection alone.</w:t>
      </w:r>
    </w:p>
    <w:p w14:paraId="1943C318"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The remainder of this book examines each major architectural layer introduced in this chapter in progressively greater technical depth.</w:t>
      </w:r>
    </w:p>
    <w:p w14:paraId="57A0318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 xml:space="preserve">The </w:t>
      </w:r>
      <w:r w:rsidRPr="009D5944">
        <w:rPr>
          <w:rFonts w:ascii="Times New Roman" w:eastAsia="Times New Roman" w:hAnsi="Times New Roman" w:cs="Times New Roman"/>
          <w:b/>
          <w:bCs/>
          <w:sz w:val="28"/>
          <w:szCs w:val="24"/>
        </w:rPr>
        <w:t>model layer</w:t>
      </w:r>
      <w:r w:rsidRPr="009D5944">
        <w:rPr>
          <w:rFonts w:ascii="Times New Roman" w:eastAsia="Times New Roman" w:hAnsi="Times New Roman" w:cs="Times New Roman"/>
          <w:sz w:val="28"/>
          <w:szCs w:val="24"/>
        </w:rPr>
        <w:t xml:space="preserve">, introduced here as one architectural dimension, becomes the focus of </w:t>
      </w:r>
      <w:r w:rsidRPr="009D5944">
        <w:rPr>
          <w:rFonts w:ascii="Times New Roman" w:eastAsia="Times New Roman" w:hAnsi="Times New Roman" w:cs="Times New Roman"/>
          <w:b/>
          <w:bCs/>
          <w:sz w:val="28"/>
          <w:szCs w:val="24"/>
        </w:rPr>
        <w:t>Part II</w:t>
      </w:r>
      <w:r w:rsidRPr="009D5944">
        <w:rPr>
          <w:rFonts w:ascii="Times New Roman" w:eastAsia="Times New Roman" w:hAnsi="Times New Roman" w:cs="Times New Roman"/>
          <w:sz w:val="28"/>
          <w:szCs w:val="24"/>
        </w:rPr>
        <w:t>. Chapters 3 through 5 examine commercial AI services, open-weight models, licensing considerations, inference engines, and serving architectures. The objective is to understand how inference capabilities are provided without losing sight of the broader platform architecture established in this chapter.</w:t>
      </w:r>
    </w:p>
    <w:p w14:paraId="37980E2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w:t>
      </w:r>
      <w:r w:rsidRPr="009D5944">
        <w:rPr>
          <w:rFonts w:ascii="Times New Roman" w:eastAsia="Times New Roman" w:hAnsi="Times New Roman" w:cs="Times New Roman"/>
          <w:b/>
          <w:bCs/>
          <w:sz w:val="28"/>
          <w:szCs w:val="24"/>
        </w:rPr>
        <w:t>control plane</w:t>
      </w:r>
      <w:r w:rsidRPr="009D5944">
        <w:rPr>
          <w:rFonts w:ascii="Times New Roman" w:eastAsia="Times New Roman" w:hAnsi="Times New Roman" w:cs="Times New Roman"/>
          <w:sz w:val="28"/>
          <w:szCs w:val="24"/>
        </w:rPr>
        <w:t xml:space="preserve"> discussed conceptually throughout the reference architectures is explored in </w:t>
      </w:r>
      <w:r w:rsidRPr="009D5944">
        <w:rPr>
          <w:rFonts w:ascii="Times New Roman" w:eastAsia="Times New Roman" w:hAnsi="Times New Roman" w:cs="Times New Roman"/>
          <w:b/>
          <w:bCs/>
          <w:sz w:val="28"/>
          <w:szCs w:val="24"/>
        </w:rPr>
        <w:t>Part III</w:t>
      </w:r>
      <w:r w:rsidRPr="009D5944">
        <w:rPr>
          <w:rFonts w:ascii="Times New Roman" w:eastAsia="Times New Roman" w:hAnsi="Times New Roman" w:cs="Times New Roman"/>
          <w:sz w:val="28"/>
          <w:szCs w:val="24"/>
        </w:rPr>
        <w:t>. AI gateways, provider abstraction, orchestration frameworks, durable workflows, and the Model Context Protocol are examined as mechanisms for coordinating increasingly complex AI applications while preserving architectural modularity.</w:t>
      </w:r>
    </w:p>
    <w:p w14:paraId="5F631A3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w:t>
      </w:r>
      <w:r w:rsidRPr="009D5944">
        <w:rPr>
          <w:rFonts w:ascii="Times New Roman" w:eastAsia="Times New Roman" w:hAnsi="Times New Roman" w:cs="Times New Roman"/>
          <w:b/>
          <w:bCs/>
          <w:sz w:val="28"/>
          <w:szCs w:val="24"/>
        </w:rPr>
        <w:t>knowledge layer</w:t>
      </w:r>
      <w:r w:rsidRPr="009D5944">
        <w:rPr>
          <w:rFonts w:ascii="Times New Roman" w:eastAsia="Times New Roman" w:hAnsi="Times New Roman" w:cs="Times New Roman"/>
          <w:sz w:val="28"/>
          <w:szCs w:val="24"/>
        </w:rPr>
        <w:t xml:space="preserve"> becomes the subject of </w:t>
      </w:r>
      <w:r w:rsidRPr="009D5944">
        <w:rPr>
          <w:rFonts w:ascii="Times New Roman" w:eastAsia="Times New Roman" w:hAnsi="Times New Roman" w:cs="Times New Roman"/>
          <w:b/>
          <w:bCs/>
          <w:sz w:val="28"/>
          <w:szCs w:val="24"/>
        </w:rPr>
        <w:t>Part IV</w:t>
      </w:r>
      <w:r w:rsidRPr="009D5944">
        <w:rPr>
          <w:rFonts w:ascii="Times New Roman" w:eastAsia="Times New Roman" w:hAnsi="Times New Roman" w:cs="Times New Roman"/>
          <w:sz w:val="28"/>
          <w:szCs w:val="24"/>
        </w:rPr>
        <w:t>, where storage systems, ingestion pipelines, retrieval architectures, embeddings, and retrieval-augmented generation are analyzed as components of enterprise information systems rather than isolated AI techniques.</w:t>
      </w:r>
    </w:p>
    <w:p w14:paraId="77F2D24D"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cross-cutting concerns intentionally introduced only at a conceptual level throughout this chapter receive dedicated treatment in </w:t>
      </w:r>
      <w:r w:rsidRPr="009D5944">
        <w:rPr>
          <w:rFonts w:ascii="Times New Roman" w:eastAsia="Times New Roman" w:hAnsi="Times New Roman" w:cs="Times New Roman"/>
          <w:b/>
          <w:bCs/>
          <w:sz w:val="28"/>
          <w:szCs w:val="24"/>
        </w:rPr>
        <w:t>Parts V and VI</w:t>
      </w:r>
      <w:r w:rsidRPr="009D5944">
        <w:rPr>
          <w:rFonts w:ascii="Times New Roman" w:eastAsia="Times New Roman" w:hAnsi="Times New Roman" w:cs="Times New Roman"/>
          <w:sz w:val="28"/>
          <w:szCs w:val="24"/>
        </w:rPr>
        <w:t>.</w:t>
      </w:r>
    </w:p>
    <w:p w14:paraId="397AD7F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Evaluation methodologies and testing strategies are examined in Chapter 13.</w:t>
      </w:r>
    </w:p>
    <w:p w14:paraId="38BD2D93"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Security, governance, and policy enforcement are presented comprehensively in Chapter 14.</w:t>
      </w:r>
    </w:p>
    <w:p w14:paraId="4C8A355F"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Observability—including telemetry, distributed tracing, AI-specific metrics, and incident investigation—is intentionally deferred until </w:t>
      </w:r>
      <w:r w:rsidRPr="009D5944">
        <w:rPr>
          <w:rFonts w:ascii="Times New Roman" w:eastAsia="Times New Roman" w:hAnsi="Times New Roman" w:cs="Times New Roman"/>
          <w:b/>
          <w:bCs/>
          <w:sz w:val="28"/>
          <w:szCs w:val="24"/>
        </w:rPr>
        <w:t>Chapter 15</w:t>
      </w:r>
      <w:r w:rsidRPr="009D5944">
        <w:rPr>
          <w:rFonts w:ascii="Times New Roman" w:eastAsia="Times New Roman" w:hAnsi="Times New Roman" w:cs="Times New Roman"/>
          <w:sz w:val="28"/>
          <w:szCs w:val="24"/>
        </w:rPr>
        <w:t>, where operational visibility is discussed as an engineering discipline rather than as an architectural abstraction.</w:t>
      </w:r>
    </w:p>
    <w:p w14:paraId="6D2E5699"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Similarly, deployment architecture introduced conceptually in the reference architectures becomes the subject of </w:t>
      </w:r>
      <w:r w:rsidRPr="009D5944">
        <w:rPr>
          <w:rFonts w:ascii="Times New Roman" w:eastAsia="Times New Roman" w:hAnsi="Times New Roman" w:cs="Times New Roman"/>
          <w:b/>
          <w:bCs/>
          <w:sz w:val="28"/>
          <w:szCs w:val="24"/>
        </w:rPr>
        <w:t>Chapter 16</w:t>
      </w:r>
      <w:r w:rsidRPr="009D5944">
        <w:rPr>
          <w:rFonts w:ascii="Times New Roman" w:eastAsia="Times New Roman" w:hAnsi="Times New Roman" w:cs="Times New Roman"/>
          <w:sz w:val="28"/>
          <w:szCs w:val="24"/>
        </w:rPr>
        <w:t>, covering registries, deployment strategies, continuous integration, continuous delivery, GitOps practices, and production rollout mechanisms. Those implementation details were deliberately excluded from this chapter so that deployment could be examined independently of logical architecture.</w:t>
      </w:r>
    </w:p>
    <w:p w14:paraId="25BD2AAA"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 xml:space="preserve">The financial implications of architectural decisions also remain largely outside the scope of the present discussion. While deployment models clearly influence long-term operating costs, detailed analysis of GPU utilization, token economics, capacity planning, routing optimization, caching strategies, and FinOps practices is reserved for </w:t>
      </w:r>
      <w:r w:rsidRPr="009D5944">
        <w:rPr>
          <w:rFonts w:ascii="Times New Roman" w:eastAsia="Times New Roman" w:hAnsi="Times New Roman" w:cs="Times New Roman"/>
          <w:b/>
          <w:bCs/>
          <w:sz w:val="28"/>
          <w:szCs w:val="24"/>
        </w:rPr>
        <w:t>Chapter 17</w:t>
      </w:r>
      <w:r w:rsidRPr="009D5944">
        <w:rPr>
          <w:rFonts w:ascii="Times New Roman" w:eastAsia="Times New Roman" w:hAnsi="Times New Roman" w:cs="Times New Roman"/>
          <w:sz w:val="28"/>
          <w:szCs w:val="24"/>
        </w:rPr>
        <w:t>. Treating cost engineering as a distinct discipline avoids reducing architectural decisions to short-term infrastructure pricing.</w:t>
      </w:r>
    </w:p>
    <w:p w14:paraId="651A71A1"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lastRenderedPageBreak/>
        <w:t>Finally, the concluding chapters synthesize the material developed throughout the book. Comparative reference architectures, engineering decision matrices, production case studies, and long-term platform maintenance demonstrate how the individual technologies examined in earlier chapters combine into coherent production AI platforms.</w:t>
      </w:r>
    </w:p>
    <w:p w14:paraId="42861E55"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This progression mirrors the engineering process itself.</w:t>
      </w:r>
    </w:p>
    <w:p w14:paraId="2E466B7C" w14:textId="77777777" w:rsidR="009D5944" w:rsidRPr="009D5944" w:rsidRDefault="009D5944" w:rsidP="009D5944">
      <w:pPr>
        <w:spacing w:before="100" w:beforeAutospacing="1" w:after="100" w:afterAutospacing="1" w:line="240" w:lineRule="auto"/>
        <w:rPr>
          <w:rFonts w:ascii="Times New Roman" w:eastAsia="Times New Roman" w:hAnsi="Times New Roman" w:cs="Times New Roman"/>
          <w:sz w:val="28"/>
          <w:szCs w:val="24"/>
        </w:rPr>
      </w:pPr>
      <w:r w:rsidRPr="009D5944">
        <w:rPr>
          <w:rFonts w:ascii="Times New Roman" w:eastAsia="Times New Roman" w:hAnsi="Times New Roman" w:cs="Times New Roman"/>
          <w:sz w:val="28"/>
          <w:szCs w:val="24"/>
        </w:rPr>
        <w:t>Architects begin by understanding requirements and selecting an overall platform structure. They then evaluate individual technologies within that structure, implement operational capabilities, and continuously refine the platform as technologies evolve. By following the same sequence, the remainder of this book builds from architectural principles toward increasingly detailed engineering guidance while preserving a consistent systems perspective.</w:t>
      </w:r>
    </w:p>
    <w:p w14:paraId="0585B6C7" w14:textId="77777777" w:rsidR="00FB1517" w:rsidRDefault="00FB1517"/>
    <w:sectPr w:rsidR="00FB1517" w:rsidSect="00B361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81CC4"/>
    <w:multiLevelType w:val="multilevel"/>
    <w:tmpl w:val="7C3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52FF5"/>
    <w:multiLevelType w:val="multilevel"/>
    <w:tmpl w:val="1B8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C2C4D"/>
    <w:multiLevelType w:val="multilevel"/>
    <w:tmpl w:val="9C7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DD7"/>
    <w:rsid w:val="008652E9"/>
    <w:rsid w:val="009D5944"/>
    <w:rsid w:val="00B36192"/>
    <w:rsid w:val="00C01DD7"/>
    <w:rsid w:val="00FB151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E9168B-50A6-4026-A637-62A02F59A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34</Pages>
  <Words>11531</Words>
  <Characters>65728</Characters>
  <Application>Microsoft Office Word</Application>
  <DocSecurity>0</DocSecurity>
  <Lines>547</Lines>
  <Paragraphs>154</Paragraphs>
  <ScaleCrop>false</ScaleCrop>
  <Company/>
  <LinksUpToDate>false</LinksUpToDate>
  <CharactersWithSpaces>77105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Шевцов Богдан</dc:creator>
  <cp:keywords/>
  <dc:description/>
  <cp:lastModifiedBy>Шевцов Богдан</cp:lastModifiedBy>
  <cp:revision>3</cp:revision>
  <dcterms:created xsi:type="dcterms:W3CDTF">2026-08-07T16:28:00Z</dcterms:created>
  <dcterms:modified xsi:type="dcterms:W3CDTF">2026-08-07T17:28:00Z</dcterms:modified>
</cp:coreProperties>
</file>