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25A6D"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Part II — Models and Inference</w:t>
      </w:r>
    </w:p>
    <w:p w14:paraId="6D33C6E9"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3.1 Introduction</w:t>
      </w:r>
    </w:p>
    <w:p w14:paraId="7662C52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previous chapter examined AI platforms from the perspective of overall architecture. It introduced the major deployment models, reference architectures, and engineering trade-offs that influence platform design. One of the most important architectural decisions identified in Chapter 2 was whether organizations should consume foundation models as managed services or operate them within their own infrastructure.</w:t>
      </w:r>
    </w:p>
    <w:p w14:paraId="4631D08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This chapter explores the first of those approaches: </w:t>
      </w:r>
      <w:r w:rsidRPr="00370E1E">
        <w:rPr>
          <w:rFonts w:ascii="Times New Roman" w:eastAsia="Times New Roman" w:hAnsi="Times New Roman" w:cs="Times New Roman"/>
          <w:b/>
          <w:bCs/>
          <w:sz w:val="28"/>
          <w:szCs w:val="24"/>
        </w:rPr>
        <w:t>commercial AI services</w:t>
      </w:r>
      <w:r w:rsidRPr="00370E1E">
        <w:rPr>
          <w:rFonts w:ascii="Times New Roman" w:eastAsia="Times New Roman" w:hAnsi="Times New Roman" w:cs="Times New Roman"/>
          <w:sz w:val="28"/>
          <w:szCs w:val="24"/>
        </w:rPr>
        <w:t>.</w:t>
      </w:r>
    </w:p>
    <w:p w14:paraId="00193B1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Rather than discussing how foundation models are trained or how inference engines execute them internally, the focus is on how organizations consume AI capabilities as production services. Modern enterprises increasingly access frontier models through managed APIs, cloud AI platforms, and model marketplaces that abstract away the underlying infrastructure. From the perspective of an application developer or platform engineer, these services expose AI capabilities through stable interfaces while hiding the complexity of accelerator management, distributed inference, model deployment, scaling, and hardware lifecycle management.</w:t>
      </w:r>
    </w:p>
    <w:p w14:paraId="62FC7A6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abstraction has fundamentally changed how AI systems are adopted. During the early years of deep learning, organizations wishing to use advanced models typically downloaded research checkpoints, provisioned specialized hardware, implemented serving infrastructure, and accepted responsibility for every aspect of deployment and operations. Such an approach demanded expertise spanning machine learning, distributed systems, GPU optimization, and infrastructure engineering.</w:t>
      </w:r>
    </w:p>
    <w:p w14:paraId="0AEFCEB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AI services altered this model.</w:t>
      </w:r>
    </w:p>
    <w:p w14:paraId="2CD9B35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Instead of operating models directly, organizations increasingly consume intelligence as a managed platform capability. The provider assumes responsibility for infrastructure provisioning, model deployment, capacity management, hardware upgrades, fault tolerance, and many operational aspects of inference. Customers interact with documented APIs, enterprise authentication mechanisms, service quotas, and billing interfaces rather than with GPU clusters or inference servers. OpenAI's platform, Anthropic's API, Google Vertex AI, Azure AI Foundry, and Amazon Bedrock all follow this general architectural principle despite differing in implementation details and service portfolios. </w:t>
      </w:r>
    </w:p>
    <w:p w14:paraId="36C21CA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This transition closely resembles earlier developments in cloud computing. Organizations once managed physical web servers, database clusters, and networking equipment directly. Over time, infrastructure evolved toward managed services, allowing engineering teams to focus increasingly on application logic while cloud providers assumed operational responsibility for commodity infrastructure. Commercial AI platforms represent a similar shift. Rather than purchasing access to a single model, customers consume an operational service that integrates models, APIs, security controls, scaling mechanisms, lifecycle management, and enterprise governance.</w:t>
      </w:r>
    </w:p>
    <w:p w14:paraId="4FD1D27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It is important to distinguish between </w:t>
      </w:r>
      <w:r w:rsidRPr="00370E1E">
        <w:rPr>
          <w:rFonts w:ascii="Times New Roman" w:eastAsia="Times New Roman" w:hAnsi="Times New Roman" w:cs="Times New Roman"/>
          <w:b/>
          <w:bCs/>
          <w:sz w:val="28"/>
          <w:szCs w:val="24"/>
        </w:rPr>
        <w:t>commercial AI services</w:t>
      </w:r>
      <w:r w:rsidRPr="00370E1E">
        <w:rPr>
          <w:rFonts w:ascii="Times New Roman" w:eastAsia="Times New Roman" w:hAnsi="Times New Roman" w:cs="Times New Roman"/>
          <w:sz w:val="28"/>
          <w:szCs w:val="24"/>
        </w:rPr>
        <w:t xml:space="preserve"> and </w:t>
      </w:r>
      <w:r w:rsidRPr="00370E1E">
        <w:rPr>
          <w:rFonts w:ascii="Times New Roman" w:eastAsia="Times New Roman" w:hAnsi="Times New Roman" w:cs="Times New Roman"/>
          <w:b/>
          <w:bCs/>
          <w:sz w:val="28"/>
          <w:szCs w:val="24"/>
        </w:rPr>
        <w:t>foundation models</w:t>
      </w:r>
      <w:r w:rsidRPr="00370E1E">
        <w:rPr>
          <w:rFonts w:ascii="Times New Roman" w:eastAsia="Times New Roman" w:hAnsi="Times New Roman" w:cs="Times New Roman"/>
          <w:sz w:val="28"/>
          <w:szCs w:val="24"/>
        </w:rPr>
        <w:t xml:space="preserve"> themselves.</w:t>
      </w:r>
    </w:p>
    <w:p w14:paraId="3F82ED2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 foundation model is a machine learning artifact: a set of trained parameters capable of performing inference. A commercial AI service is the operational system that makes those parameters usable within production software. The service encompasses considerably more than the model. Authentication, authorization, request validation, streaming protocols, usage accounting, model versioning, regional deployment, rate limiting, availability engineering, operational support, and enterprise compliance collectively transform a trained model into a production platform.</w:t>
      </w:r>
    </w:p>
    <w:p w14:paraId="1CCFC7A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Consequently, organizations selecting commercial AI services evaluate much more than benchmark performance. Operational reliability, API stability, regional availability, security capabilities, governance integration, version management, and ecosystem maturity frequently influence long-term architectural decisions as much as raw model capability.</w:t>
      </w:r>
    </w:p>
    <w:p w14:paraId="6A2C3CF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Another important development since approximately 2024 has been the convergence of commercial AI platforms. Early services typically exposed proprietary APIs tightly coupled to individual providers. More recent platforms increasingly support compatible interfaces, standardized tool-calling patterns, structured outputs, and multiple model families through unified APIs. Amazon Bedrock, for example, now supports OpenAI-compatible Responses APIs alongside Anthropic-compatible Messages APIs for supported models, illustrating an industry trend toward interoperability rather than completely isolated ecosystems. </w:t>
      </w:r>
    </w:p>
    <w:p w14:paraId="3E2CD3D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convergence reflects broader enterprise requirements. Organizations increasingly seek portability across providers, gradual migration paths, unified governance, and reduced vendor lock-in. As a result, commercial AI platforms are evolving beyond simple model endpoints into broader application platforms capable of integrating multiple model vendors under consistent operational controls.</w:t>
      </w:r>
    </w:p>
    <w:p w14:paraId="58C874D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Throughout this chapter, the emphasis remains on engineering decisions rather than product comparisons. Individual models evolve rapidly and market leadership changes frequently. The architectural principles governing managed AI services, however, are considerably more stable. Understanding those principles enables engineers to evaluate new platforms as they emerge rather than optimizing for the characteristics of today's model landscape.</w:t>
      </w:r>
    </w:p>
    <w:p w14:paraId="1D38293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3-1. Evolution of Commercial AI Services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59"/>
        <w:gridCol w:w="3621"/>
        <w:gridCol w:w="3875"/>
      </w:tblGrid>
      <w:tr w:rsidR="00370E1E" w:rsidRPr="0017187C" w14:paraId="2A675E66" w14:textId="77777777" w:rsidTr="0017187C">
        <w:trPr>
          <w:tblHeader/>
          <w:tblCellSpacing w:w="15" w:type="dxa"/>
        </w:trPr>
        <w:tc>
          <w:tcPr>
            <w:tcW w:w="0" w:type="auto"/>
            <w:vAlign w:val="center"/>
            <w:hideMark/>
          </w:tcPr>
          <w:p w14:paraId="0E92D2AB"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Period</w:t>
            </w:r>
          </w:p>
        </w:tc>
        <w:tc>
          <w:tcPr>
            <w:tcW w:w="0" w:type="auto"/>
            <w:vAlign w:val="center"/>
            <w:hideMark/>
          </w:tcPr>
          <w:p w14:paraId="31A8A4DE"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Dominant Characteristics</w:t>
            </w:r>
          </w:p>
        </w:tc>
        <w:tc>
          <w:tcPr>
            <w:tcW w:w="0" w:type="auto"/>
            <w:vAlign w:val="center"/>
            <w:hideMark/>
          </w:tcPr>
          <w:p w14:paraId="2DC99BB6"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Architectural Impact</w:t>
            </w:r>
          </w:p>
        </w:tc>
      </w:tr>
      <w:tr w:rsidR="00370E1E" w:rsidRPr="0017187C" w14:paraId="74B08B2B" w14:textId="77777777" w:rsidTr="0017187C">
        <w:trPr>
          <w:tblCellSpacing w:w="15" w:type="dxa"/>
        </w:trPr>
        <w:tc>
          <w:tcPr>
            <w:tcW w:w="0" w:type="auto"/>
            <w:vAlign w:val="center"/>
            <w:hideMark/>
          </w:tcPr>
          <w:p w14:paraId="5A9D3B4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Early deep learning deployments</w:t>
            </w:r>
          </w:p>
        </w:tc>
        <w:tc>
          <w:tcPr>
            <w:tcW w:w="0" w:type="auto"/>
            <w:vAlign w:val="center"/>
            <w:hideMark/>
          </w:tcPr>
          <w:p w14:paraId="5CF7226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Organizations downloaded models and operated inference infrastructure themselves.</w:t>
            </w:r>
          </w:p>
        </w:tc>
        <w:tc>
          <w:tcPr>
            <w:tcW w:w="0" w:type="auto"/>
            <w:vAlign w:val="center"/>
            <w:hideMark/>
          </w:tcPr>
          <w:p w14:paraId="0FEF919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Machine learning expertise and infrastructure engineering were tightly coupled.</w:t>
            </w:r>
          </w:p>
        </w:tc>
      </w:tr>
      <w:tr w:rsidR="00370E1E" w:rsidRPr="0017187C" w14:paraId="02F74D15" w14:textId="77777777" w:rsidTr="0017187C">
        <w:trPr>
          <w:tblCellSpacing w:w="15" w:type="dxa"/>
        </w:trPr>
        <w:tc>
          <w:tcPr>
            <w:tcW w:w="0" w:type="auto"/>
            <w:vAlign w:val="center"/>
            <w:hideMark/>
          </w:tcPr>
          <w:p w14:paraId="33D7D78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First commercial model APIs</w:t>
            </w:r>
          </w:p>
        </w:tc>
        <w:tc>
          <w:tcPr>
            <w:tcW w:w="0" w:type="auto"/>
            <w:vAlign w:val="center"/>
            <w:hideMark/>
          </w:tcPr>
          <w:p w14:paraId="7A730C1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Individual providers exposed proprietary inference endpoints for their own models.</w:t>
            </w:r>
          </w:p>
        </w:tc>
        <w:tc>
          <w:tcPr>
            <w:tcW w:w="0" w:type="auto"/>
            <w:vAlign w:val="center"/>
            <w:hideMark/>
          </w:tcPr>
          <w:p w14:paraId="2AA47A5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Organizations could consume AI without managing infrastructure but remained tightly coupled to provider-specific APIs.</w:t>
            </w:r>
          </w:p>
        </w:tc>
      </w:tr>
      <w:tr w:rsidR="00370E1E" w:rsidRPr="0017187C" w14:paraId="564CF428" w14:textId="77777777" w:rsidTr="0017187C">
        <w:trPr>
          <w:tblCellSpacing w:w="15" w:type="dxa"/>
        </w:trPr>
        <w:tc>
          <w:tcPr>
            <w:tcW w:w="0" w:type="auto"/>
            <w:vAlign w:val="center"/>
            <w:hideMark/>
          </w:tcPr>
          <w:p w14:paraId="6454C57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Managed AI platforms</w:t>
            </w:r>
          </w:p>
        </w:tc>
        <w:tc>
          <w:tcPr>
            <w:tcW w:w="0" w:type="auto"/>
            <w:vAlign w:val="center"/>
            <w:hideMark/>
          </w:tcPr>
          <w:p w14:paraId="23275D5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Providers expanded beyond inference to include authentication, evaluation, governance, storage, and enterprise integration.</w:t>
            </w:r>
          </w:p>
        </w:tc>
        <w:tc>
          <w:tcPr>
            <w:tcW w:w="0" w:type="auto"/>
            <w:vAlign w:val="center"/>
            <w:hideMark/>
          </w:tcPr>
          <w:p w14:paraId="3834A28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AI became a broader platform capability rather than a standalone API.</w:t>
            </w:r>
          </w:p>
        </w:tc>
      </w:tr>
      <w:tr w:rsidR="00370E1E" w:rsidRPr="0017187C" w14:paraId="6784D2E4" w14:textId="77777777" w:rsidTr="0017187C">
        <w:trPr>
          <w:tblCellSpacing w:w="15" w:type="dxa"/>
        </w:trPr>
        <w:tc>
          <w:tcPr>
            <w:tcW w:w="0" w:type="auto"/>
            <w:vAlign w:val="center"/>
            <w:hideMark/>
          </w:tcPr>
          <w:p w14:paraId="613F82D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Multi-model platforms and marketplaces</w:t>
            </w:r>
          </w:p>
        </w:tc>
        <w:tc>
          <w:tcPr>
            <w:tcW w:w="0" w:type="auto"/>
            <w:vAlign w:val="center"/>
            <w:hideMark/>
          </w:tcPr>
          <w:p w14:paraId="5C8A4F0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Cloud providers and specialized platforms expose multiple model families through unified interfaces.</w:t>
            </w:r>
          </w:p>
        </w:tc>
        <w:tc>
          <w:tcPr>
            <w:tcW w:w="0" w:type="auto"/>
            <w:vAlign w:val="center"/>
            <w:hideMark/>
          </w:tcPr>
          <w:p w14:paraId="4107E91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Platform engineering increasingly focuses on provider abstraction, governance, and workload routing rather than individual model integrations.</w:t>
            </w:r>
          </w:p>
        </w:tc>
      </w:tr>
    </w:tbl>
    <w:p w14:paraId="6D9B6AF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remainder of this chapter examines the architecture of commercial AI services, distinguishes between model developers and platform providers, and explains how enterprises evaluate managed AI offerings independently of individual model performance.</w:t>
      </w:r>
    </w:p>
    <w:p w14:paraId="7E6456E7" w14:textId="77777777" w:rsidR="00370E1E" w:rsidRPr="00370E1E" w:rsidRDefault="0017187C" w:rsidP="00370E1E">
      <w:pPr>
        <w:rPr>
          <w:rFonts w:ascii="Calibri" w:eastAsia="Calibri" w:hAnsi="Calibri" w:cs="Times New Roman"/>
          <w:sz w:val="24"/>
        </w:rPr>
      </w:pPr>
      <w:r>
        <w:rPr>
          <w:rFonts w:ascii="Calibri" w:eastAsia="Calibri" w:hAnsi="Calibri" w:cs="Times New Roman"/>
          <w:sz w:val="24"/>
        </w:rPr>
        <w:pict w14:anchorId="023C12C5">
          <v:rect id="_x0000_i1025" style="width:0;height:1.5pt" o:hralign="center" o:hrstd="t" o:hr="t" fillcolor="#a0a0a0" stroked="f"/>
        </w:pict>
      </w:r>
    </w:p>
    <w:p w14:paraId="6A66EACE"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3.2 What Is a Commercial AI Service?</w:t>
      </w:r>
    </w:p>
    <w:p w14:paraId="094AC9A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From an engineering perspective, a commercial AI service is </w:t>
      </w:r>
      <w:r w:rsidRPr="00370E1E">
        <w:rPr>
          <w:rFonts w:ascii="Times New Roman" w:eastAsia="Times New Roman" w:hAnsi="Times New Roman" w:cs="Times New Roman"/>
          <w:b/>
          <w:bCs/>
          <w:sz w:val="28"/>
          <w:szCs w:val="24"/>
        </w:rPr>
        <w:t>not simply an API exposing a large language model</w:t>
      </w:r>
      <w:r w:rsidRPr="00370E1E">
        <w:rPr>
          <w:rFonts w:ascii="Times New Roman" w:eastAsia="Times New Roman" w:hAnsi="Times New Roman" w:cs="Times New Roman"/>
          <w:sz w:val="28"/>
          <w:szCs w:val="24"/>
        </w:rPr>
        <w:t>. It is a managed distributed system that packages one or more foundation models together with the operational capabilities required to deliver reliable production inference.</w:t>
      </w:r>
    </w:p>
    <w:p w14:paraId="152736A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distinction is fundamental.</w:t>
      </w:r>
    </w:p>
    <w:p w14:paraId="1C6891D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Public discussion often focuses almost exclusively on the models themselves. Model benchmarks, reasoning ability, context length, and multimodal capabilities receive significant attention because they are easily compared. Yet organizations rarely purchase a model in isolation. They purchase a managed service that makes the model usable within production environments.</w:t>
      </w:r>
    </w:p>
    <w:p w14:paraId="72AFB18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 commercial AI service therefore consists of multiple architectural layers.</w:t>
      </w:r>
    </w:p>
    <w:p w14:paraId="593A92B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At its center lies the </w:t>
      </w:r>
      <w:r w:rsidRPr="00370E1E">
        <w:rPr>
          <w:rFonts w:ascii="Times New Roman" w:eastAsia="Times New Roman" w:hAnsi="Times New Roman" w:cs="Times New Roman"/>
          <w:b/>
          <w:bCs/>
          <w:sz w:val="28"/>
          <w:szCs w:val="24"/>
        </w:rPr>
        <w:t>foundation model</w:t>
      </w:r>
      <w:r w:rsidRPr="00370E1E">
        <w:rPr>
          <w:rFonts w:ascii="Times New Roman" w:eastAsia="Times New Roman" w:hAnsi="Times New Roman" w:cs="Times New Roman"/>
          <w:sz w:val="28"/>
          <w:szCs w:val="24"/>
        </w:rPr>
        <w:t xml:space="preserve">, responsible for transforming input into generated output. Surrounding the model is the </w:t>
      </w:r>
      <w:r w:rsidRPr="00370E1E">
        <w:rPr>
          <w:rFonts w:ascii="Times New Roman" w:eastAsia="Times New Roman" w:hAnsi="Times New Roman" w:cs="Times New Roman"/>
          <w:b/>
          <w:bCs/>
          <w:sz w:val="28"/>
          <w:szCs w:val="24"/>
        </w:rPr>
        <w:t>inference infrastructure</w:t>
      </w:r>
      <w:r w:rsidRPr="00370E1E">
        <w:rPr>
          <w:rFonts w:ascii="Times New Roman" w:eastAsia="Times New Roman" w:hAnsi="Times New Roman" w:cs="Times New Roman"/>
          <w:sz w:val="28"/>
          <w:szCs w:val="24"/>
        </w:rPr>
        <w:t>, including specialized hardware accelerators, serving software, scheduling systems, memory management, batching algorithms, and distributed execution mechanisms. Although customers generally never interact directly with these components, they largely determine latency, throughput, availability, and scalability.</w:t>
      </w:r>
    </w:p>
    <w:p w14:paraId="371C188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Above the inference layer sits the </w:t>
      </w:r>
      <w:r w:rsidRPr="00370E1E">
        <w:rPr>
          <w:rFonts w:ascii="Times New Roman" w:eastAsia="Times New Roman" w:hAnsi="Times New Roman" w:cs="Times New Roman"/>
          <w:b/>
          <w:bCs/>
          <w:sz w:val="28"/>
          <w:szCs w:val="24"/>
        </w:rPr>
        <w:t>service interface</w:t>
      </w:r>
      <w:r w:rsidRPr="00370E1E">
        <w:rPr>
          <w:rFonts w:ascii="Times New Roman" w:eastAsia="Times New Roman" w:hAnsi="Times New Roman" w:cs="Times New Roman"/>
          <w:sz w:val="28"/>
          <w:szCs w:val="24"/>
        </w:rPr>
        <w:t>.</w:t>
      </w:r>
    </w:p>
    <w:p w14:paraId="4BE5D1E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This interface exposes standardized APIs through which client applications submit requests, stream responses, upload files, invoke tools, generate embeddings, or execute multimodal workloads. Modern commercial platforms increasingly expose not only text generation but also image understanding, audio processing, structured output generation, agent-oriented capabilities, and long-running asynchronous operations through integrated API families. OpenAI's Responses API, for example, unifies model interaction with built-in tools such as web search, file search, computer use, and remote MCP integration, reflecting a shift from simple completion APIs toward broader application platforms. </w:t>
      </w:r>
    </w:p>
    <w:p w14:paraId="4AB2631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Enterprise services additionally include authentication, authorization, identity management, usage accounting, audit logging, quota enforcement, billing, regional deployment, operational monitoring, customer support, and contractual service commitments. None of these capabilities change how a model reasons, yet they determine whether the model can be incorporated into enterprise production systems.</w:t>
      </w:r>
    </w:p>
    <w:p w14:paraId="3890FAF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An important consequence follows from this architecture.</w:t>
      </w:r>
    </w:p>
    <w:p w14:paraId="2CF9C99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Two providers may expose identical or closely related models while offering substantially different operational characteristics. Authentication mechanisms, networking options, supported regions, compliance certifications, deployment flexibility, latency, quota management, and integration with enterprise identity systems frequently differ even when underlying models are similar.</w:t>
      </w:r>
    </w:p>
    <w:p w14:paraId="05B7DEE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This explains why engineering teams evaluate </w:t>
      </w:r>
      <w:r w:rsidRPr="00370E1E">
        <w:rPr>
          <w:rFonts w:ascii="Times New Roman" w:eastAsia="Times New Roman" w:hAnsi="Times New Roman" w:cs="Times New Roman"/>
          <w:b/>
          <w:bCs/>
          <w:sz w:val="28"/>
          <w:szCs w:val="24"/>
        </w:rPr>
        <w:t>services</w:t>
      </w:r>
      <w:r w:rsidRPr="00370E1E">
        <w:rPr>
          <w:rFonts w:ascii="Times New Roman" w:eastAsia="Times New Roman" w:hAnsi="Times New Roman" w:cs="Times New Roman"/>
          <w:sz w:val="28"/>
          <w:szCs w:val="24"/>
        </w:rPr>
        <w:t xml:space="preserve"> rather than simply evaluating </w:t>
      </w:r>
      <w:r w:rsidRPr="00370E1E">
        <w:rPr>
          <w:rFonts w:ascii="Times New Roman" w:eastAsia="Times New Roman" w:hAnsi="Times New Roman" w:cs="Times New Roman"/>
          <w:b/>
          <w:bCs/>
          <w:sz w:val="28"/>
          <w:szCs w:val="24"/>
        </w:rPr>
        <w:t>models</w:t>
      </w:r>
      <w:r w:rsidRPr="00370E1E">
        <w:rPr>
          <w:rFonts w:ascii="Times New Roman" w:eastAsia="Times New Roman" w:hAnsi="Times New Roman" w:cs="Times New Roman"/>
          <w:sz w:val="28"/>
          <w:szCs w:val="24"/>
        </w:rPr>
        <w:t>.</w:t>
      </w:r>
    </w:p>
    <w:p w14:paraId="79F01CF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The distinction also clarifies why replacing one provider with another is rarely a matter of changing an endpoint URL. Although models may appear equivalent, surrounding operational capabilities frequently differ in ways that affect application architecture.</w:t>
      </w:r>
    </w:p>
    <w:p w14:paraId="0B93F4A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AI services generally provide several categories of operational responsibility on behalf of customers: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40"/>
        <w:gridCol w:w="3923"/>
        <w:gridCol w:w="3592"/>
      </w:tblGrid>
      <w:tr w:rsidR="00370E1E" w:rsidRPr="0017187C" w14:paraId="15FF24F2" w14:textId="77777777" w:rsidTr="0017187C">
        <w:trPr>
          <w:tblHeader/>
          <w:tblCellSpacing w:w="15" w:type="dxa"/>
        </w:trPr>
        <w:tc>
          <w:tcPr>
            <w:tcW w:w="0" w:type="auto"/>
            <w:vAlign w:val="center"/>
            <w:hideMark/>
          </w:tcPr>
          <w:p w14:paraId="461DFBCB"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Responsibility</w:t>
            </w:r>
          </w:p>
        </w:tc>
        <w:tc>
          <w:tcPr>
            <w:tcW w:w="0" w:type="auto"/>
            <w:vAlign w:val="center"/>
            <w:hideMark/>
          </w:tcPr>
          <w:p w14:paraId="07517304"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Managed by Provider</w:t>
            </w:r>
          </w:p>
        </w:tc>
        <w:tc>
          <w:tcPr>
            <w:tcW w:w="0" w:type="auto"/>
            <w:vAlign w:val="center"/>
            <w:hideMark/>
          </w:tcPr>
          <w:p w14:paraId="5AB612E1"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Architectural Benefit</w:t>
            </w:r>
          </w:p>
        </w:tc>
      </w:tr>
      <w:tr w:rsidR="00370E1E" w:rsidRPr="0017187C" w14:paraId="12C14765" w14:textId="77777777" w:rsidTr="0017187C">
        <w:trPr>
          <w:tblCellSpacing w:w="15" w:type="dxa"/>
        </w:trPr>
        <w:tc>
          <w:tcPr>
            <w:tcW w:w="0" w:type="auto"/>
            <w:vAlign w:val="center"/>
            <w:hideMark/>
          </w:tcPr>
          <w:p w14:paraId="78391E4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Model hosting</w:t>
            </w:r>
          </w:p>
        </w:tc>
        <w:tc>
          <w:tcPr>
            <w:tcW w:w="0" w:type="auto"/>
            <w:vAlign w:val="center"/>
            <w:hideMark/>
          </w:tcPr>
          <w:p w14:paraId="424B2C6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Deployment, lifecycle management, upgrades, rollback capabilities</w:t>
            </w:r>
          </w:p>
        </w:tc>
        <w:tc>
          <w:tcPr>
            <w:tcW w:w="0" w:type="auto"/>
            <w:vAlign w:val="center"/>
            <w:hideMark/>
          </w:tcPr>
          <w:p w14:paraId="58F38EF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Customers avoid managing model artifacts and inference infrastructure.</w:t>
            </w:r>
          </w:p>
        </w:tc>
      </w:tr>
      <w:tr w:rsidR="00370E1E" w:rsidRPr="0017187C" w14:paraId="7B5CB71E" w14:textId="77777777" w:rsidTr="0017187C">
        <w:trPr>
          <w:tblCellSpacing w:w="15" w:type="dxa"/>
        </w:trPr>
        <w:tc>
          <w:tcPr>
            <w:tcW w:w="0" w:type="auto"/>
            <w:vAlign w:val="center"/>
            <w:hideMark/>
          </w:tcPr>
          <w:p w14:paraId="1BDCAC1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Inference infrastructure</w:t>
            </w:r>
          </w:p>
        </w:tc>
        <w:tc>
          <w:tcPr>
            <w:tcW w:w="0" w:type="auto"/>
            <w:vAlign w:val="center"/>
            <w:hideMark/>
          </w:tcPr>
          <w:p w14:paraId="7BC36D6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Accelerators, serving systems, scheduling, scaling</w:t>
            </w:r>
          </w:p>
        </w:tc>
        <w:tc>
          <w:tcPr>
            <w:tcW w:w="0" w:type="auto"/>
            <w:vAlign w:val="center"/>
            <w:hideMark/>
          </w:tcPr>
          <w:p w14:paraId="13493AAD"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Eliminates operational responsibility for GPU infrastructure.</w:t>
            </w:r>
          </w:p>
        </w:tc>
      </w:tr>
      <w:tr w:rsidR="00370E1E" w:rsidRPr="0017187C" w14:paraId="6363F4DB" w14:textId="77777777" w:rsidTr="0017187C">
        <w:trPr>
          <w:tblCellSpacing w:w="15" w:type="dxa"/>
        </w:trPr>
        <w:tc>
          <w:tcPr>
            <w:tcW w:w="0" w:type="auto"/>
            <w:vAlign w:val="center"/>
            <w:hideMark/>
          </w:tcPr>
          <w:p w14:paraId="2EE9E38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API management</w:t>
            </w:r>
          </w:p>
        </w:tc>
        <w:tc>
          <w:tcPr>
            <w:tcW w:w="0" w:type="auto"/>
            <w:vAlign w:val="center"/>
            <w:hideMark/>
          </w:tcPr>
          <w:p w14:paraId="5DCB503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Authentication, request validation, quotas, versioning</w:t>
            </w:r>
          </w:p>
        </w:tc>
        <w:tc>
          <w:tcPr>
            <w:tcW w:w="0" w:type="auto"/>
            <w:vAlign w:val="center"/>
            <w:hideMark/>
          </w:tcPr>
          <w:p w14:paraId="5BD05BF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Provides stable integration points for applications.</w:t>
            </w:r>
          </w:p>
        </w:tc>
      </w:tr>
      <w:tr w:rsidR="00370E1E" w:rsidRPr="0017187C" w14:paraId="530AE5FE" w14:textId="77777777" w:rsidTr="0017187C">
        <w:trPr>
          <w:tblCellSpacing w:w="15" w:type="dxa"/>
        </w:trPr>
        <w:tc>
          <w:tcPr>
            <w:tcW w:w="0" w:type="auto"/>
            <w:vAlign w:val="center"/>
            <w:hideMark/>
          </w:tcPr>
          <w:p w14:paraId="0CB55A4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Operational reliability</w:t>
            </w:r>
          </w:p>
        </w:tc>
        <w:tc>
          <w:tcPr>
            <w:tcW w:w="0" w:type="auto"/>
            <w:vAlign w:val="center"/>
            <w:hideMark/>
          </w:tcPr>
          <w:p w14:paraId="24549AF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Capacity management, fault tolerance, regional deployment</w:t>
            </w:r>
          </w:p>
        </w:tc>
        <w:tc>
          <w:tcPr>
            <w:tcW w:w="0" w:type="auto"/>
            <w:vAlign w:val="center"/>
            <w:hideMark/>
          </w:tcPr>
          <w:p w14:paraId="5CCA2C1B"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Simplifies production operations for customers.</w:t>
            </w:r>
          </w:p>
        </w:tc>
      </w:tr>
      <w:tr w:rsidR="00370E1E" w:rsidRPr="0017187C" w14:paraId="65311C9F" w14:textId="77777777" w:rsidTr="0017187C">
        <w:trPr>
          <w:tblCellSpacing w:w="15" w:type="dxa"/>
        </w:trPr>
        <w:tc>
          <w:tcPr>
            <w:tcW w:w="0" w:type="auto"/>
            <w:vAlign w:val="center"/>
            <w:hideMark/>
          </w:tcPr>
          <w:p w14:paraId="6426277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Platform services</w:t>
            </w:r>
          </w:p>
        </w:tc>
        <w:tc>
          <w:tcPr>
            <w:tcW w:w="0" w:type="auto"/>
            <w:vAlign w:val="center"/>
            <w:hideMark/>
          </w:tcPr>
          <w:p w14:paraId="26C543D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Tool execution, embeddings, multimodal APIs, file handling, agent capabilities</w:t>
            </w:r>
          </w:p>
        </w:tc>
        <w:tc>
          <w:tcPr>
            <w:tcW w:w="0" w:type="auto"/>
            <w:vAlign w:val="center"/>
            <w:hideMark/>
          </w:tcPr>
          <w:p w14:paraId="78C97F9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Expands functionality beyond raw text generation.</w:t>
            </w:r>
          </w:p>
        </w:tc>
      </w:tr>
      <w:tr w:rsidR="00370E1E" w:rsidRPr="0017187C" w14:paraId="6B551E4C" w14:textId="77777777" w:rsidTr="0017187C">
        <w:trPr>
          <w:tblCellSpacing w:w="15" w:type="dxa"/>
        </w:trPr>
        <w:tc>
          <w:tcPr>
            <w:tcW w:w="0" w:type="auto"/>
            <w:vAlign w:val="center"/>
            <w:hideMark/>
          </w:tcPr>
          <w:p w14:paraId="2823EC5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Enterprise integration</w:t>
            </w:r>
          </w:p>
        </w:tc>
        <w:tc>
          <w:tcPr>
            <w:tcW w:w="0" w:type="auto"/>
            <w:vAlign w:val="center"/>
            <w:hideMark/>
          </w:tcPr>
          <w:p w14:paraId="052E5A4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IAM, audit logging, billing, governance capabilities</w:t>
            </w:r>
          </w:p>
        </w:tc>
        <w:tc>
          <w:tcPr>
            <w:tcW w:w="0" w:type="auto"/>
            <w:vAlign w:val="center"/>
            <w:hideMark/>
          </w:tcPr>
          <w:p w14:paraId="5E4A817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Facilitates adoption within existing enterprise environments.</w:t>
            </w:r>
          </w:p>
        </w:tc>
      </w:tr>
    </w:tbl>
    <w:p w14:paraId="3B783DA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From a platform engineering perspective, the commercial service therefore becomes another managed infrastructure dependency analogous to managed databases, message queues, or object storage. Organizations remain responsible for application architecture, testing, governance, and operational integration, but many infrastructure concerns are delegated to the service provider.</w:t>
      </w:r>
    </w:p>
    <w:p w14:paraId="0EE2D74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delegation should not be interpreted as eliminating operational responsibility altogether.</w:t>
      </w:r>
    </w:p>
    <w:p w14:paraId="2F68EEC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Customers must still design resilient applications, manage credentials, validate outputs, perform regression testing when models evolve, monitor service health, and enforce organizational policies. Those topics are introduced where appropriate throughout this chapter, while their implementation is discussed in detail in later chapters. Evaluation methodologies are covered in Chapter 13, security architecture in Chapter 14, observability in Chapter 15, deployment practices in Chapter 16, and cost engineering in Chapter 17.</w:t>
      </w:r>
    </w:p>
    <w:p w14:paraId="679CD5B4" w14:textId="77777777" w:rsidR="00370E1E" w:rsidRPr="00370E1E" w:rsidRDefault="0017187C" w:rsidP="00370E1E">
      <w:pPr>
        <w:rPr>
          <w:rFonts w:ascii="Calibri" w:eastAsia="Calibri" w:hAnsi="Calibri" w:cs="Times New Roman"/>
          <w:sz w:val="24"/>
        </w:rPr>
      </w:pPr>
      <w:r>
        <w:rPr>
          <w:rFonts w:ascii="Calibri" w:eastAsia="Calibri" w:hAnsi="Calibri" w:cs="Times New Roman"/>
          <w:sz w:val="24"/>
        </w:rPr>
        <w:lastRenderedPageBreak/>
        <w:pict w14:anchorId="55A8B255">
          <v:rect id="_x0000_i1026" style="width:0;height:1.5pt" o:hralign="center" o:hrstd="t" o:hr="t" fillcolor="#a0a0a0" stroked="f"/>
        </w:pict>
      </w:r>
    </w:p>
    <w:p w14:paraId="06BF47F1"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3.3 Model Developers, Platform Providers, and AI Marketplaces</w:t>
      </w:r>
    </w:p>
    <w:p w14:paraId="73378B1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One of the most common sources of confusion in contemporary AI engineering is the tendency to treat every AI vendor as performing the same role. In reality, the commercial AI ecosystem has become increasingly specialized. Organizations developing frontier foundation models, organizations operating enterprise AI platforms, and organizations aggregating models from multiple vendors frequently represent distinct layers within the overall ecosystem.</w:t>
      </w:r>
    </w:p>
    <w:p w14:paraId="34DFE77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Understanding these distinctions is essential for making informed architectural decisions.</w:t>
      </w:r>
    </w:p>
    <w:p w14:paraId="0CBEBE1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The first category consists of </w:t>
      </w:r>
      <w:r w:rsidRPr="00370E1E">
        <w:rPr>
          <w:rFonts w:ascii="Times New Roman" w:eastAsia="Times New Roman" w:hAnsi="Times New Roman" w:cs="Times New Roman"/>
          <w:b/>
          <w:bCs/>
          <w:sz w:val="28"/>
          <w:szCs w:val="24"/>
        </w:rPr>
        <w:t>model developers</w:t>
      </w:r>
      <w:r w:rsidRPr="00370E1E">
        <w:rPr>
          <w:rFonts w:ascii="Times New Roman" w:eastAsia="Times New Roman" w:hAnsi="Times New Roman" w:cs="Times New Roman"/>
          <w:sz w:val="28"/>
          <w:szCs w:val="24"/>
        </w:rPr>
        <w:t>.</w:t>
      </w:r>
    </w:p>
    <w:p w14:paraId="0C8EF1E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organizations primarily invest in research, large-scale training infrastructure, data curation, post-training alignment, and model development. Their principal intellectual property is the foundation model itself. Examples include OpenAI, Anthropic, Google DeepMind, Cohere, Mistral AI, and xAI. Some of these organizations also operate commercial APIs directly, but model development remains their defining activity.</w:t>
      </w:r>
    </w:p>
    <w:p w14:paraId="62E3600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The second category consists of </w:t>
      </w:r>
      <w:r w:rsidRPr="00370E1E">
        <w:rPr>
          <w:rFonts w:ascii="Times New Roman" w:eastAsia="Times New Roman" w:hAnsi="Times New Roman" w:cs="Times New Roman"/>
          <w:b/>
          <w:bCs/>
          <w:sz w:val="28"/>
          <w:szCs w:val="24"/>
        </w:rPr>
        <w:t>managed AI platform providers</w:t>
      </w:r>
      <w:r w:rsidRPr="00370E1E">
        <w:rPr>
          <w:rFonts w:ascii="Times New Roman" w:eastAsia="Times New Roman" w:hAnsi="Times New Roman" w:cs="Times New Roman"/>
          <w:sz w:val="28"/>
          <w:szCs w:val="24"/>
        </w:rPr>
        <w:t>.</w:t>
      </w:r>
    </w:p>
    <w:p w14:paraId="47E77AA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Rather than focusing exclusively on developing proprietary models, these platforms provide enterprise infrastructure for consuming AI services. They integrate authentication, networking, governance, compliance, billing, model catalogs, private connectivity, operational tooling, and lifecycle management into environments suitable for enterprise deployment.</w:t>
      </w:r>
    </w:p>
    <w:p w14:paraId="1658520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Major cloud providers illustrate this approach. Amazon Web Services offers Amazon Bedrock, Google Cloud provides Vertex AI, and Microsoft offers Azure AI Foundry. These platforms increasingly expose models from multiple vendors through consistent operational environments rather than restricting customers to models developed internally. Amazon Bedrock, for example, provides managed access to foundation models from several AI companies while integrating those models with AWS identity, networking, monitoring, and governance capabilities. </w:t>
      </w:r>
    </w:p>
    <w:p w14:paraId="554F7A5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 third category comprises </w:t>
      </w:r>
      <w:r w:rsidRPr="00370E1E">
        <w:rPr>
          <w:rFonts w:ascii="Times New Roman" w:eastAsia="Times New Roman" w:hAnsi="Times New Roman" w:cs="Times New Roman"/>
          <w:b/>
          <w:bCs/>
          <w:sz w:val="28"/>
          <w:szCs w:val="24"/>
        </w:rPr>
        <w:t>AI marketplaces and inference providers</w:t>
      </w:r>
      <w:r w:rsidRPr="00370E1E">
        <w:rPr>
          <w:rFonts w:ascii="Times New Roman" w:eastAsia="Times New Roman" w:hAnsi="Times New Roman" w:cs="Times New Roman"/>
          <w:sz w:val="28"/>
          <w:szCs w:val="24"/>
        </w:rPr>
        <w:t>.</w:t>
      </w:r>
    </w:p>
    <w:p w14:paraId="6515EE8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These organizations emphasize interoperability and provider abstraction rather than developing frontier models themselves. Platforms such as OpenRouter, </w:t>
      </w:r>
      <w:r w:rsidRPr="00370E1E">
        <w:rPr>
          <w:rFonts w:ascii="Times New Roman" w:eastAsia="Times New Roman" w:hAnsi="Times New Roman" w:cs="Times New Roman"/>
          <w:sz w:val="28"/>
          <w:szCs w:val="24"/>
        </w:rPr>
        <w:lastRenderedPageBreak/>
        <w:t>Together AI, Fireworks AI, GroqCloud, Cerebras Inference, DeepInfra, Hugging Face Inference Providers, and others expose multiple model families through unified APIs or specialized inference infrastructure. Some focus on simplified multi-provider access, others optimize inference performance through specialized hardware or serving systems, while still others emphasize hosting open-weight models.</w:t>
      </w:r>
    </w:p>
    <w:p w14:paraId="156C28A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This layered ecosystem produces an important architectural consequence: </w:t>
      </w:r>
      <w:r w:rsidRPr="00370E1E">
        <w:rPr>
          <w:rFonts w:ascii="Times New Roman" w:eastAsia="Times New Roman" w:hAnsi="Times New Roman" w:cs="Times New Roman"/>
          <w:b/>
          <w:bCs/>
          <w:sz w:val="28"/>
          <w:szCs w:val="24"/>
        </w:rPr>
        <w:t>the same model may be available through multiple services</w:t>
      </w:r>
      <w:r w:rsidRPr="00370E1E">
        <w:rPr>
          <w:rFonts w:ascii="Times New Roman" w:eastAsia="Times New Roman" w:hAnsi="Times New Roman" w:cs="Times New Roman"/>
          <w:sz w:val="28"/>
          <w:szCs w:val="24"/>
        </w:rPr>
        <w:t>.</w:t>
      </w:r>
    </w:p>
    <w:p w14:paraId="71605B5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For example, a model developed by one organization may later become accessible through its own first-party API, through a major cloud provider, and through several inference platforms simultaneously. The customer therefore chooses not only the model but also the operational environment through which that model is consumed.</w:t>
      </w:r>
    </w:p>
    <w:p w14:paraId="189C2BA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This separation between </w:t>
      </w:r>
      <w:r w:rsidRPr="00370E1E">
        <w:rPr>
          <w:rFonts w:ascii="Times New Roman" w:eastAsia="Times New Roman" w:hAnsi="Times New Roman" w:cs="Times New Roman"/>
          <w:b/>
          <w:bCs/>
          <w:sz w:val="28"/>
          <w:szCs w:val="24"/>
        </w:rPr>
        <w:t>model ownership</w:t>
      </w:r>
      <w:r w:rsidRPr="00370E1E">
        <w:rPr>
          <w:rFonts w:ascii="Times New Roman" w:eastAsia="Times New Roman" w:hAnsi="Times New Roman" w:cs="Times New Roman"/>
          <w:sz w:val="28"/>
          <w:szCs w:val="24"/>
        </w:rPr>
        <w:t xml:space="preserve"> and </w:t>
      </w:r>
      <w:r w:rsidRPr="00370E1E">
        <w:rPr>
          <w:rFonts w:ascii="Times New Roman" w:eastAsia="Times New Roman" w:hAnsi="Times New Roman" w:cs="Times New Roman"/>
          <w:b/>
          <w:bCs/>
          <w:sz w:val="28"/>
          <w:szCs w:val="24"/>
        </w:rPr>
        <w:t>service delivery</w:t>
      </w:r>
      <w:r w:rsidRPr="00370E1E">
        <w:rPr>
          <w:rFonts w:ascii="Times New Roman" w:eastAsia="Times New Roman" w:hAnsi="Times New Roman" w:cs="Times New Roman"/>
          <w:sz w:val="28"/>
          <w:szCs w:val="24"/>
        </w:rPr>
        <w:t xml:space="preserve"> represents a significant evolution from earlier generations of cloud software. Increasingly, enterprises evaluate providers according to factors extending beyond model quality:</w:t>
      </w:r>
    </w:p>
    <w:p w14:paraId="3A43C857" w14:textId="77777777" w:rsidR="00370E1E" w:rsidRPr="0017187C" w:rsidRDefault="00370E1E" w:rsidP="00370E1E">
      <w:pPr>
        <w:numPr>
          <w:ilvl w:val="0"/>
          <w:numId w:val="5"/>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enterprise identity integration, </w:t>
      </w:r>
    </w:p>
    <w:p w14:paraId="55697231" w14:textId="77777777" w:rsidR="00370E1E" w:rsidRPr="0017187C" w:rsidRDefault="00370E1E" w:rsidP="00370E1E">
      <w:pPr>
        <w:numPr>
          <w:ilvl w:val="0"/>
          <w:numId w:val="5"/>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private networking capabilities, </w:t>
      </w:r>
    </w:p>
    <w:p w14:paraId="494EB1AB" w14:textId="77777777" w:rsidR="00370E1E" w:rsidRPr="0017187C" w:rsidRDefault="00370E1E" w:rsidP="00370E1E">
      <w:pPr>
        <w:numPr>
          <w:ilvl w:val="0"/>
          <w:numId w:val="5"/>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regional deployment, </w:t>
      </w:r>
    </w:p>
    <w:p w14:paraId="6B02CE3A" w14:textId="77777777" w:rsidR="00370E1E" w:rsidRPr="0017187C" w:rsidRDefault="00370E1E" w:rsidP="00370E1E">
      <w:pPr>
        <w:numPr>
          <w:ilvl w:val="0"/>
          <w:numId w:val="5"/>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compliance certifications, </w:t>
      </w:r>
    </w:p>
    <w:p w14:paraId="65AE707E" w14:textId="77777777" w:rsidR="00370E1E" w:rsidRPr="0017187C" w:rsidRDefault="00370E1E" w:rsidP="00370E1E">
      <w:pPr>
        <w:numPr>
          <w:ilvl w:val="0"/>
          <w:numId w:val="5"/>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operational tooling, </w:t>
      </w:r>
    </w:p>
    <w:p w14:paraId="701E817D" w14:textId="77777777" w:rsidR="00370E1E" w:rsidRPr="0017187C" w:rsidRDefault="00370E1E" w:rsidP="00370E1E">
      <w:pPr>
        <w:numPr>
          <w:ilvl w:val="0"/>
          <w:numId w:val="5"/>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governance features, </w:t>
      </w:r>
    </w:p>
    <w:p w14:paraId="5D5A91F1" w14:textId="77777777" w:rsidR="00370E1E" w:rsidRPr="0017187C" w:rsidRDefault="00370E1E" w:rsidP="00370E1E">
      <w:pPr>
        <w:numPr>
          <w:ilvl w:val="0"/>
          <w:numId w:val="5"/>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API compatibility, </w:t>
      </w:r>
    </w:p>
    <w:p w14:paraId="769DBC5D" w14:textId="77777777" w:rsidR="00370E1E" w:rsidRPr="0017187C" w:rsidRDefault="00370E1E" w:rsidP="00370E1E">
      <w:pPr>
        <w:numPr>
          <w:ilvl w:val="0"/>
          <w:numId w:val="5"/>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support agreements, </w:t>
      </w:r>
    </w:p>
    <w:p w14:paraId="1C50389E" w14:textId="77777777" w:rsidR="00370E1E" w:rsidRPr="0017187C" w:rsidRDefault="00370E1E" w:rsidP="00370E1E">
      <w:pPr>
        <w:numPr>
          <w:ilvl w:val="0"/>
          <w:numId w:val="5"/>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and integration with existing cloud infrastructure. </w:t>
      </w:r>
    </w:p>
    <w:p w14:paraId="4C98D08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characteristics often determine procurement decisions even when model capability differences are relatively small.</w:t>
      </w:r>
    </w:p>
    <w:p w14:paraId="1D85922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Another important industry trend is the gradual convergence of API designs.</w:t>
      </w:r>
    </w:p>
    <w:p w14:paraId="2845CA3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Although providers continue to maintain proprietary capabilities, many now support similar interaction patterns, including structured outputs, streaming, tool calling, multimodal requests, and increasingly compatible API schemas. Some managed platforms even expose compatibility layers for widely adopted APIs. Amazon Bedrock's support for OpenAI-compatible Responses APIs alongside Anthropic-compatible Messages APIs illustrates this movement toward interoperability while preserving provider-specific operational controls. </w:t>
      </w:r>
    </w:p>
    <w:p w14:paraId="186AD80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This convergence benefits enterprise platform engineering by reducing migration effort and encouraging architectural abstraction. However, compatibility should </w:t>
      </w:r>
      <w:r w:rsidRPr="00370E1E">
        <w:rPr>
          <w:rFonts w:ascii="Times New Roman" w:eastAsia="Times New Roman" w:hAnsi="Times New Roman" w:cs="Times New Roman"/>
          <w:sz w:val="28"/>
          <w:szCs w:val="24"/>
        </w:rPr>
        <w:lastRenderedPageBreak/>
        <w:t>not be mistaken for complete interchangeability. Behavioral differences, supported features, quota models, latency characteristics, safety policies, and version lifecycles continue to vary among providers. Consequently, platform engineers should evaluate compatibility as one factor within a broader architectural assessment rather than assuming that API similarity guarantees identical production behavior.</w:t>
      </w:r>
    </w:p>
    <w:p w14:paraId="55EF362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3-2. Roles Within the Commercial AI Ecosystem</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599"/>
        <w:gridCol w:w="2574"/>
        <w:gridCol w:w="2842"/>
        <w:gridCol w:w="2340"/>
      </w:tblGrid>
      <w:tr w:rsidR="00370E1E" w:rsidRPr="0017187C" w14:paraId="7F660047" w14:textId="77777777" w:rsidTr="0017187C">
        <w:trPr>
          <w:tblHeader/>
          <w:tblCellSpacing w:w="15" w:type="dxa"/>
        </w:trPr>
        <w:tc>
          <w:tcPr>
            <w:tcW w:w="0" w:type="auto"/>
            <w:vAlign w:val="center"/>
            <w:hideMark/>
          </w:tcPr>
          <w:p w14:paraId="54FE32D0"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Ecosystem Role</w:t>
            </w:r>
          </w:p>
        </w:tc>
        <w:tc>
          <w:tcPr>
            <w:tcW w:w="0" w:type="auto"/>
            <w:vAlign w:val="center"/>
            <w:hideMark/>
          </w:tcPr>
          <w:p w14:paraId="36F046EE"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Primary Responsibility</w:t>
            </w:r>
          </w:p>
        </w:tc>
        <w:tc>
          <w:tcPr>
            <w:tcW w:w="0" w:type="auto"/>
            <w:vAlign w:val="center"/>
            <w:hideMark/>
          </w:tcPr>
          <w:p w14:paraId="3ADDEB7B"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Representative Examples</w:t>
            </w:r>
          </w:p>
        </w:tc>
        <w:tc>
          <w:tcPr>
            <w:tcW w:w="0" w:type="auto"/>
            <w:vAlign w:val="center"/>
            <w:hideMark/>
          </w:tcPr>
          <w:p w14:paraId="6E9FB169"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Primary Value to Customers</w:t>
            </w:r>
          </w:p>
        </w:tc>
      </w:tr>
      <w:tr w:rsidR="00370E1E" w:rsidRPr="0017187C" w14:paraId="096657AA" w14:textId="77777777" w:rsidTr="0017187C">
        <w:trPr>
          <w:tblCellSpacing w:w="15" w:type="dxa"/>
        </w:trPr>
        <w:tc>
          <w:tcPr>
            <w:tcW w:w="0" w:type="auto"/>
            <w:vAlign w:val="center"/>
            <w:hideMark/>
          </w:tcPr>
          <w:p w14:paraId="07259CC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Model developer</w:t>
            </w:r>
          </w:p>
        </w:tc>
        <w:tc>
          <w:tcPr>
            <w:tcW w:w="0" w:type="auto"/>
            <w:vAlign w:val="center"/>
            <w:hideMark/>
          </w:tcPr>
          <w:p w14:paraId="48FD4BC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Research, model training, alignment, and model lifecycle</w:t>
            </w:r>
          </w:p>
        </w:tc>
        <w:tc>
          <w:tcPr>
            <w:tcW w:w="0" w:type="auto"/>
            <w:vAlign w:val="center"/>
            <w:hideMark/>
          </w:tcPr>
          <w:p w14:paraId="3851BD7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OpenAI, Anthropic, Google DeepMind, Cohere, Mistral AI</w:t>
            </w:r>
          </w:p>
        </w:tc>
        <w:tc>
          <w:tcPr>
            <w:tcW w:w="0" w:type="auto"/>
            <w:vAlign w:val="center"/>
            <w:hideMark/>
          </w:tcPr>
          <w:p w14:paraId="32DDFE02"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Frontier model capabilities and continuous model improvement</w:t>
            </w:r>
          </w:p>
        </w:tc>
      </w:tr>
      <w:tr w:rsidR="00370E1E" w:rsidRPr="0017187C" w14:paraId="7D06E837" w14:textId="77777777" w:rsidTr="0017187C">
        <w:trPr>
          <w:tblCellSpacing w:w="15" w:type="dxa"/>
        </w:trPr>
        <w:tc>
          <w:tcPr>
            <w:tcW w:w="0" w:type="auto"/>
            <w:vAlign w:val="center"/>
            <w:hideMark/>
          </w:tcPr>
          <w:p w14:paraId="363DCC6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Managed AI platform</w:t>
            </w:r>
          </w:p>
        </w:tc>
        <w:tc>
          <w:tcPr>
            <w:tcW w:w="0" w:type="auto"/>
            <w:vAlign w:val="center"/>
            <w:hideMark/>
          </w:tcPr>
          <w:p w14:paraId="7BD8703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Enterprise infrastructure, governance, identity integration, networking, model catalogs</w:t>
            </w:r>
          </w:p>
        </w:tc>
        <w:tc>
          <w:tcPr>
            <w:tcW w:w="0" w:type="auto"/>
            <w:vAlign w:val="center"/>
            <w:hideMark/>
          </w:tcPr>
          <w:p w14:paraId="395639D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Amazon Bedrock, Vertex AI, Azure AI Foundry</w:t>
            </w:r>
          </w:p>
        </w:tc>
        <w:tc>
          <w:tcPr>
            <w:tcW w:w="0" w:type="auto"/>
            <w:vAlign w:val="center"/>
            <w:hideMark/>
          </w:tcPr>
          <w:p w14:paraId="3BF6903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Operational integration, security, compliance, and enterprise deployment</w:t>
            </w:r>
          </w:p>
        </w:tc>
      </w:tr>
      <w:tr w:rsidR="00370E1E" w:rsidRPr="0017187C" w14:paraId="533C44B2" w14:textId="77777777" w:rsidTr="0017187C">
        <w:trPr>
          <w:tblCellSpacing w:w="15" w:type="dxa"/>
        </w:trPr>
        <w:tc>
          <w:tcPr>
            <w:tcW w:w="0" w:type="auto"/>
            <w:vAlign w:val="center"/>
            <w:hideMark/>
          </w:tcPr>
          <w:p w14:paraId="0D07713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AI marketplace / inference provider</w:t>
            </w:r>
          </w:p>
        </w:tc>
        <w:tc>
          <w:tcPr>
            <w:tcW w:w="0" w:type="auto"/>
            <w:vAlign w:val="center"/>
            <w:hideMark/>
          </w:tcPr>
          <w:p w14:paraId="718EAF0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Multi-model access, provider abstraction, optimized inference services</w:t>
            </w:r>
          </w:p>
        </w:tc>
        <w:tc>
          <w:tcPr>
            <w:tcW w:w="0" w:type="auto"/>
            <w:vAlign w:val="center"/>
            <w:hideMark/>
          </w:tcPr>
          <w:p w14:paraId="09DDA94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OpenRouter, Together AI, Fireworks AI, GroqCloud, DeepInfra, Hugging Face Inference Providers</w:t>
            </w:r>
          </w:p>
        </w:tc>
        <w:tc>
          <w:tcPr>
            <w:tcW w:w="0" w:type="auto"/>
            <w:vAlign w:val="center"/>
            <w:hideMark/>
          </w:tcPr>
          <w:p w14:paraId="17B343C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Flexibility, simplified access to multiple models, infrastructure specialization</w:t>
            </w:r>
          </w:p>
        </w:tc>
      </w:tr>
    </w:tbl>
    <w:p w14:paraId="4A242FD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Recognizing these distinct roles provides the foundation for the remainder of the chapter. Subsequent sections examine how these services expose APIs, authenticate enterprise workloads, manage model lifecycles, and support production applications while deliberately separating application development from the rapidly evolving ecosystem of foundation models.</w:t>
      </w:r>
    </w:p>
    <w:p w14:paraId="694D0AE6"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3.4 API Design Patterns</w:t>
      </w:r>
    </w:p>
    <w:p w14:paraId="4BA7FCA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Although commercial AI providers differ in the models they offer and the platforms through which those models are delivered, their APIs have gradually converged toward a relatively small set of architectural patterns. This convergence has been driven by enterprise demand for interoperability, the emergence of common application requirements, and the practical experience accumulated from operating large-scale AI services.</w:t>
      </w:r>
    </w:p>
    <w:p w14:paraId="0695AB5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Understanding these patterns is more valuable than memorizing the details of any individual provider's API. APIs evolve continuously, endpoint names change, and new capabilities appear regularly. The underlying interaction models, however, have remained comparatively stable.</w:t>
      </w:r>
    </w:p>
    <w:p w14:paraId="36DA829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From a platform engineering perspective, an AI API defines far more than a mechanism for sending prompts and receiving generated text. It establishes how applications authenticate, stream responses, invoke external tools, exchange structured data, process multimodal inputs, and manage long-running operations. These interface decisions influence application architecture, portability, observability, and operational resilience.</w:t>
      </w:r>
    </w:p>
    <w:p w14:paraId="77D1BDB6"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Synchronous Request–Response</w:t>
      </w:r>
    </w:p>
    <w:p w14:paraId="4467F8E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simplest interaction pattern resembles traditional REST services.</w:t>
      </w:r>
    </w:p>
    <w:p w14:paraId="63C4DDF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 client submits a request containing instructions, optional context, model selection, generation parameters, and supporting inputs. The service performs inference and returns the completed response within a single HTTP request.</w:t>
      </w:r>
    </w:p>
    <w:p w14:paraId="1284D02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pattern is appropriate when responses are relatively short and latency requirements permit waiting for the complete generation before returning control to the application.</w:t>
      </w:r>
    </w:p>
    <w:p w14:paraId="0C317C0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Its primary advantages are simplicity and compatibility with existing API infrastructure. Standard HTTP clients, authentication libraries, load balancers, API gateways, and retry mechanisms can generally be reused without modification.</w:t>
      </w:r>
    </w:p>
    <w:p w14:paraId="6170AE1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However, synchronous APIs become less suitable as generated outputs increase in length or as applications require progressive interaction.</w:t>
      </w:r>
    </w:p>
    <w:p w14:paraId="3AD30750"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Streaming Responses</w:t>
      </w:r>
    </w:p>
    <w:p w14:paraId="4CCC5DE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Streaming addresses these limitations by returning generated tokens incrementally as inference progresses.</w:t>
      </w:r>
    </w:p>
    <w:p w14:paraId="573C537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Rather than waiting for the complete response, applications receive partial output continuously. Modern providers commonly implement streaming using Server-Sent Events (SSE), allowing clients to process generated content while inference continues. Although WebSockets are used for certain real-time scenarios, SSE remains the dominant approach for conventional text generation because it integrates naturally with HTTP infrastructure and simplifies client implementation.</w:t>
      </w:r>
    </w:p>
    <w:p w14:paraId="405A0A0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Streaming significantly improves perceived responsiveness for interactive applications. Users begin reading responses almost immediately instead of waiting for complete generation. For long outputs, the difference in user experience can be substantial even when total inference time remains unchanged.</w:t>
      </w:r>
    </w:p>
    <w:p w14:paraId="5940025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From an architectural perspective, streaming also influences downstream application design. User interfaces, gateways, proxies, and middleware must all </w:t>
      </w:r>
      <w:r w:rsidRPr="00370E1E">
        <w:rPr>
          <w:rFonts w:ascii="Times New Roman" w:eastAsia="Times New Roman" w:hAnsi="Times New Roman" w:cs="Times New Roman"/>
          <w:sz w:val="28"/>
          <w:szCs w:val="24"/>
        </w:rPr>
        <w:lastRenderedPageBreak/>
        <w:t>support incremental response processing. Error handling likewise becomes more complex because failures may occur after partial output has already been delivered.</w:t>
      </w:r>
    </w:p>
    <w:p w14:paraId="07A796BC"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Unified Response APIs</w:t>
      </w:r>
    </w:p>
    <w:p w14:paraId="434E61D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Early commercial AI platforms frequently exposed multiple specialized endpoints for different interaction styles. Separate APIs existed for text completion, chat completion, embeddings, image generation, or multimodal processing.</w:t>
      </w:r>
    </w:p>
    <w:p w14:paraId="310B7F9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Recent platform evolution has moved toward more unified interfaces.</w:t>
      </w:r>
    </w:p>
    <w:p w14:paraId="212BB16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OpenAI's Responses API, for example, consolidates multiple interaction patterns into a single interface supporting text generation, structured outputs, tool invocation, multimodal inputs, and built-in platform capabilities. Similar trends are visible across other providers, even when endpoint names differ. The architectural objective is to simplify application development by reducing the number of distinct integration patterns developers must understand. (OpenAI Platform Documentation, </w:t>
      </w:r>
      <w:r w:rsidRPr="00370E1E">
        <w:rPr>
          <w:rFonts w:ascii="Times New Roman" w:eastAsia="Times New Roman" w:hAnsi="Times New Roman" w:cs="Times New Roman"/>
          <w:i/>
          <w:iCs/>
          <w:sz w:val="28"/>
          <w:szCs w:val="24"/>
        </w:rPr>
        <w:t>Responses API</w:t>
      </w:r>
      <w:r w:rsidRPr="00370E1E">
        <w:rPr>
          <w:rFonts w:ascii="Times New Roman" w:eastAsia="Times New Roman" w:hAnsi="Times New Roman" w:cs="Times New Roman"/>
          <w:sz w:val="28"/>
          <w:szCs w:val="24"/>
        </w:rPr>
        <w:t>, 2026.)</w:t>
      </w:r>
    </w:p>
    <w:p w14:paraId="2442AB6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evolution reflects a broader shift in AI applications. Modern systems rarely perform isolated text generation. They increasingly combine reasoning, retrieval, structured output generation, tool execution, and multimodal processing within a single workflow. Unified APIs provide a consistent abstraction over these capabilities.</w:t>
      </w:r>
    </w:p>
    <w:p w14:paraId="2CB6F546"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Structured Outputs</w:t>
      </w:r>
    </w:p>
    <w:p w14:paraId="01EC4A4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One of the most important developments in production AI systems has been the transition from free-form text generation toward structured machine-readable outputs.</w:t>
      </w:r>
    </w:p>
    <w:p w14:paraId="60E998E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Rather than requesting natural language alone, applications increasingly require responses conforming to predefined schemas such as JSON objects, arrays, or domain-specific data structures. Providers now commonly support schema validation mechanisms based on JSON Schema or comparable specifications, allowing generated outputs to satisfy deterministic structural constraints.</w:t>
      </w:r>
    </w:p>
    <w:p w14:paraId="7C9C727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Structured outputs significantly improve reliability for downstream automation. Instead of parsing unpredictable natural language, applications consume validated data structures that integrate directly with business systems.</w:t>
      </w:r>
    </w:p>
    <w:p w14:paraId="18E15E0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capability has become particularly important for workflow automation, enterprise integration, and agent-oriented systems, where generated outputs frequently trigger subsequent machine actions rather than human interpretation.</w:t>
      </w:r>
    </w:p>
    <w:p w14:paraId="18E1485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It should be noted, however, that structural validity does not guarantee semantic correctness. A response may satisfy a schema while containing incorrect facts or inappropriate reasoning. Consequently, structured outputs complement rather than replace application-level validation and evaluation, topics explored in Chapter 13.</w:t>
      </w:r>
    </w:p>
    <w:p w14:paraId="15A075D1"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Tool Calling</w:t>
      </w:r>
    </w:p>
    <w:p w14:paraId="47D4885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Another increasingly common API pattern is </w:t>
      </w:r>
      <w:r w:rsidRPr="00370E1E">
        <w:rPr>
          <w:rFonts w:ascii="Times New Roman" w:eastAsia="Times New Roman" w:hAnsi="Times New Roman" w:cs="Times New Roman"/>
          <w:b/>
          <w:bCs/>
          <w:sz w:val="28"/>
          <w:szCs w:val="24"/>
        </w:rPr>
        <w:t>tool calling</w:t>
      </w:r>
      <w:r w:rsidRPr="00370E1E">
        <w:rPr>
          <w:rFonts w:ascii="Times New Roman" w:eastAsia="Times New Roman" w:hAnsi="Times New Roman" w:cs="Times New Roman"/>
          <w:sz w:val="28"/>
          <w:szCs w:val="24"/>
        </w:rPr>
        <w:t>, sometimes referred to as function calling.</w:t>
      </w:r>
    </w:p>
    <w:p w14:paraId="3F7FABB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Instead of limiting inference to text generation, models receive descriptions of external capabilities available to them. During inference, the model may determine that additional information or external actions are required and request invocation of one or more tools.</w:t>
      </w:r>
    </w:p>
    <w:p w14:paraId="1FEBDFE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Typical tools include:</w:t>
      </w:r>
    </w:p>
    <w:p w14:paraId="36F978E2" w14:textId="77777777" w:rsidR="00370E1E" w:rsidRPr="0017187C" w:rsidRDefault="00370E1E" w:rsidP="00370E1E">
      <w:pPr>
        <w:numPr>
          <w:ilvl w:val="0"/>
          <w:numId w:val="6"/>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database queries, </w:t>
      </w:r>
    </w:p>
    <w:p w14:paraId="1B9F5962" w14:textId="77777777" w:rsidR="00370E1E" w:rsidRPr="0017187C" w:rsidRDefault="00370E1E" w:rsidP="00370E1E">
      <w:pPr>
        <w:numPr>
          <w:ilvl w:val="0"/>
          <w:numId w:val="6"/>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enterprise search, </w:t>
      </w:r>
    </w:p>
    <w:p w14:paraId="4B34D1ED" w14:textId="77777777" w:rsidR="00370E1E" w:rsidRPr="0017187C" w:rsidRDefault="00370E1E" w:rsidP="00370E1E">
      <w:pPr>
        <w:numPr>
          <w:ilvl w:val="0"/>
          <w:numId w:val="6"/>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web search, </w:t>
      </w:r>
    </w:p>
    <w:p w14:paraId="44665C52" w14:textId="77777777" w:rsidR="00370E1E" w:rsidRPr="0017187C" w:rsidRDefault="00370E1E" w:rsidP="00370E1E">
      <w:pPr>
        <w:numPr>
          <w:ilvl w:val="0"/>
          <w:numId w:val="6"/>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code execution, </w:t>
      </w:r>
    </w:p>
    <w:p w14:paraId="25F08CDC" w14:textId="77777777" w:rsidR="00370E1E" w:rsidRPr="0017187C" w:rsidRDefault="00370E1E" w:rsidP="00370E1E">
      <w:pPr>
        <w:numPr>
          <w:ilvl w:val="0"/>
          <w:numId w:val="6"/>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calendar services, </w:t>
      </w:r>
    </w:p>
    <w:p w14:paraId="185889F3" w14:textId="77777777" w:rsidR="00370E1E" w:rsidRPr="0017187C" w:rsidRDefault="00370E1E" w:rsidP="00370E1E">
      <w:pPr>
        <w:numPr>
          <w:ilvl w:val="0"/>
          <w:numId w:val="6"/>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payment systems, </w:t>
      </w:r>
    </w:p>
    <w:p w14:paraId="17B0E155" w14:textId="77777777" w:rsidR="00370E1E" w:rsidRPr="0017187C" w:rsidRDefault="00370E1E" w:rsidP="00370E1E">
      <w:pPr>
        <w:numPr>
          <w:ilvl w:val="0"/>
          <w:numId w:val="6"/>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internal business APIs, </w:t>
      </w:r>
    </w:p>
    <w:p w14:paraId="77C13A3D" w14:textId="77777777" w:rsidR="00370E1E" w:rsidRPr="0017187C" w:rsidRDefault="00370E1E" w:rsidP="00370E1E">
      <w:pPr>
        <w:numPr>
          <w:ilvl w:val="0"/>
          <w:numId w:val="6"/>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and increasingly, Model Context Protocol (MCP) servers. </w:t>
      </w:r>
    </w:p>
    <w:p w14:paraId="4AE4377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Importantly, commercial APIs generally do </w:t>
      </w:r>
      <w:r w:rsidRPr="00370E1E">
        <w:rPr>
          <w:rFonts w:ascii="Times New Roman" w:eastAsia="Times New Roman" w:hAnsi="Times New Roman" w:cs="Times New Roman"/>
          <w:b/>
          <w:bCs/>
          <w:sz w:val="28"/>
          <w:szCs w:val="24"/>
        </w:rPr>
        <w:t>not</w:t>
      </w:r>
      <w:r w:rsidRPr="00370E1E">
        <w:rPr>
          <w:rFonts w:ascii="Times New Roman" w:eastAsia="Times New Roman" w:hAnsi="Times New Roman" w:cs="Times New Roman"/>
          <w:sz w:val="28"/>
          <w:szCs w:val="24"/>
        </w:rPr>
        <w:t xml:space="preserve"> execute these tools automatically. Instead, the model produces a structured tool invocation request. The application or orchestration framework validates the request, performs authorization, executes the external operation, and returns the results to the model for continued reasoning.</w:t>
      </w:r>
    </w:p>
    <w:p w14:paraId="30317DA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separation preserves application control over security, auditing, authorization, and business logic while allowing models to coordinate increasingly sophisticated workflows.</w:t>
      </w:r>
    </w:p>
    <w:p w14:paraId="75AED8F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architectural implications of tool execution are sufficiently important that Chapters 7 through 9 examine them in detail.</w:t>
      </w:r>
    </w:p>
    <w:p w14:paraId="4FC77A3D"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Long-Running Operations and Batch Processing</w:t>
      </w:r>
    </w:p>
    <w:p w14:paraId="32A95AA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Not every inference workload requires immediate interactive responses.</w:t>
      </w:r>
    </w:p>
    <w:p w14:paraId="26070F4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Document analysis, large-scale summarization, embedding generation, evaluation pipelines, and offline content processing frequently involve workloads better suited to asynchronous execution.</w:t>
      </w:r>
    </w:p>
    <w:p w14:paraId="77E3195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Many commercial platforms therefore expose batch APIs or long-running operation frameworks. Clients submit work requests, receive operation identifiers, and later retrieve results after processing completes.</w:t>
      </w:r>
    </w:p>
    <w:p w14:paraId="5E50486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pattern improves infrastructure utilization and often allows providers to optimize scheduling independently of interactive workloads.</w:t>
      </w:r>
    </w:p>
    <w:p w14:paraId="48F6153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Architecturally, asynchronous APIs also decouple application responsiveness from inference duration, making them particularly appropriate for background processing systems.</w:t>
      </w:r>
    </w:p>
    <w:p w14:paraId="2399E17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3-3. Common Commercial AI API Patterns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47"/>
        <w:gridCol w:w="2230"/>
        <w:gridCol w:w="2393"/>
        <w:gridCol w:w="2985"/>
      </w:tblGrid>
      <w:tr w:rsidR="00370E1E" w:rsidRPr="0017187C" w14:paraId="0FACD9E4" w14:textId="77777777" w:rsidTr="0017187C">
        <w:trPr>
          <w:tblHeader/>
          <w:tblCellSpacing w:w="15" w:type="dxa"/>
        </w:trPr>
        <w:tc>
          <w:tcPr>
            <w:tcW w:w="0" w:type="auto"/>
            <w:vAlign w:val="center"/>
            <w:hideMark/>
          </w:tcPr>
          <w:p w14:paraId="616B41F5"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API Pattern</w:t>
            </w:r>
          </w:p>
        </w:tc>
        <w:tc>
          <w:tcPr>
            <w:tcW w:w="0" w:type="auto"/>
            <w:vAlign w:val="center"/>
            <w:hideMark/>
          </w:tcPr>
          <w:p w14:paraId="6ACE48E4"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Primary Purpose</w:t>
            </w:r>
          </w:p>
        </w:tc>
        <w:tc>
          <w:tcPr>
            <w:tcW w:w="0" w:type="auto"/>
            <w:vAlign w:val="center"/>
            <w:hideMark/>
          </w:tcPr>
          <w:p w14:paraId="06CF3A75"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Typical Use Cases</w:t>
            </w:r>
          </w:p>
        </w:tc>
        <w:tc>
          <w:tcPr>
            <w:tcW w:w="0" w:type="auto"/>
            <w:vAlign w:val="center"/>
            <w:hideMark/>
          </w:tcPr>
          <w:p w14:paraId="57025612"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Engineering Considerations</w:t>
            </w:r>
          </w:p>
        </w:tc>
      </w:tr>
      <w:tr w:rsidR="00370E1E" w:rsidRPr="0017187C" w14:paraId="7E90A66F" w14:textId="77777777" w:rsidTr="0017187C">
        <w:trPr>
          <w:tblCellSpacing w:w="15" w:type="dxa"/>
        </w:trPr>
        <w:tc>
          <w:tcPr>
            <w:tcW w:w="0" w:type="auto"/>
            <w:vAlign w:val="center"/>
            <w:hideMark/>
          </w:tcPr>
          <w:p w14:paraId="752FC22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Synchronous request–response</w:t>
            </w:r>
          </w:p>
        </w:tc>
        <w:tc>
          <w:tcPr>
            <w:tcW w:w="0" w:type="auto"/>
            <w:vAlign w:val="center"/>
            <w:hideMark/>
          </w:tcPr>
          <w:p w14:paraId="4437AF6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Immediate completion within a single HTTP request</w:t>
            </w:r>
          </w:p>
        </w:tc>
        <w:tc>
          <w:tcPr>
            <w:tcW w:w="0" w:type="auto"/>
            <w:vAlign w:val="center"/>
            <w:hideMark/>
          </w:tcPr>
          <w:p w14:paraId="2750D17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Chatbots, short text generation, interactive applications</w:t>
            </w:r>
          </w:p>
        </w:tc>
        <w:tc>
          <w:tcPr>
            <w:tcW w:w="0" w:type="auto"/>
            <w:vAlign w:val="center"/>
            <w:hideMark/>
          </w:tcPr>
          <w:p w14:paraId="6280B44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Simple integration but limited suitability for long-running inference.</w:t>
            </w:r>
          </w:p>
        </w:tc>
      </w:tr>
      <w:tr w:rsidR="00370E1E" w:rsidRPr="0017187C" w14:paraId="01B957E6" w14:textId="77777777" w:rsidTr="0017187C">
        <w:trPr>
          <w:tblCellSpacing w:w="15" w:type="dxa"/>
        </w:trPr>
        <w:tc>
          <w:tcPr>
            <w:tcW w:w="0" w:type="auto"/>
            <w:vAlign w:val="center"/>
            <w:hideMark/>
          </w:tcPr>
          <w:p w14:paraId="0E4DFBB2"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Streaming responses</w:t>
            </w:r>
          </w:p>
        </w:tc>
        <w:tc>
          <w:tcPr>
            <w:tcW w:w="0" w:type="auto"/>
            <w:vAlign w:val="center"/>
            <w:hideMark/>
          </w:tcPr>
          <w:p w14:paraId="60BD8972"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Progressive delivery of generated output</w:t>
            </w:r>
          </w:p>
        </w:tc>
        <w:tc>
          <w:tcPr>
            <w:tcW w:w="0" w:type="auto"/>
            <w:vAlign w:val="center"/>
            <w:hideMark/>
          </w:tcPr>
          <w:p w14:paraId="624EB39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Conversational interfaces, coding assistants</w:t>
            </w:r>
          </w:p>
        </w:tc>
        <w:tc>
          <w:tcPr>
            <w:tcW w:w="0" w:type="auto"/>
            <w:vAlign w:val="center"/>
            <w:hideMark/>
          </w:tcPr>
          <w:p w14:paraId="004C147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Improves perceived latency but complicates response handling and error recovery.</w:t>
            </w:r>
          </w:p>
        </w:tc>
      </w:tr>
      <w:tr w:rsidR="00370E1E" w:rsidRPr="0017187C" w14:paraId="5AFF2A31" w14:textId="77777777" w:rsidTr="0017187C">
        <w:trPr>
          <w:tblCellSpacing w:w="15" w:type="dxa"/>
        </w:trPr>
        <w:tc>
          <w:tcPr>
            <w:tcW w:w="0" w:type="auto"/>
            <w:vAlign w:val="center"/>
            <w:hideMark/>
          </w:tcPr>
          <w:p w14:paraId="3E6DB70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Unified response APIs</w:t>
            </w:r>
          </w:p>
        </w:tc>
        <w:tc>
          <w:tcPr>
            <w:tcW w:w="0" w:type="auto"/>
            <w:vAlign w:val="center"/>
            <w:hideMark/>
          </w:tcPr>
          <w:p w14:paraId="12141AD2"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Consolidate multiple interaction patterns under one interface</w:t>
            </w:r>
          </w:p>
        </w:tc>
        <w:tc>
          <w:tcPr>
            <w:tcW w:w="0" w:type="auto"/>
            <w:vAlign w:val="center"/>
            <w:hideMark/>
          </w:tcPr>
          <w:p w14:paraId="2855AB2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General-purpose AI applications</w:t>
            </w:r>
          </w:p>
        </w:tc>
        <w:tc>
          <w:tcPr>
            <w:tcW w:w="0" w:type="auto"/>
            <w:vAlign w:val="center"/>
            <w:hideMark/>
          </w:tcPr>
          <w:p w14:paraId="7994C2B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Reduces integration complexity and simplifies platform evolution.</w:t>
            </w:r>
          </w:p>
        </w:tc>
      </w:tr>
      <w:tr w:rsidR="00370E1E" w:rsidRPr="0017187C" w14:paraId="569B83B8" w14:textId="77777777" w:rsidTr="0017187C">
        <w:trPr>
          <w:tblCellSpacing w:w="15" w:type="dxa"/>
        </w:trPr>
        <w:tc>
          <w:tcPr>
            <w:tcW w:w="0" w:type="auto"/>
            <w:vAlign w:val="center"/>
            <w:hideMark/>
          </w:tcPr>
          <w:p w14:paraId="0A0284B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Structured outputs</w:t>
            </w:r>
          </w:p>
        </w:tc>
        <w:tc>
          <w:tcPr>
            <w:tcW w:w="0" w:type="auto"/>
            <w:vAlign w:val="center"/>
            <w:hideMark/>
          </w:tcPr>
          <w:p w14:paraId="1DAA8EC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Generate machine-readable responses conforming to schemas</w:t>
            </w:r>
          </w:p>
        </w:tc>
        <w:tc>
          <w:tcPr>
            <w:tcW w:w="0" w:type="auto"/>
            <w:vAlign w:val="center"/>
            <w:hideMark/>
          </w:tcPr>
          <w:p w14:paraId="3333BBB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Workflow automation, enterprise integration, agents</w:t>
            </w:r>
          </w:p>
        </w:tc>
        <w:tc>
          <w:tcPr>
            <w:tcW w:w="0" w:type="auto"/>
            <w:vAlign w:val="center"/>
            <w:hideMark/>
          </w:tcPr>
          <w:p w14:paraId="62B50C0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Improves interoperability but does not guarantee semantic correctness.</w:t>
            </w:r>
          </w:p>
        </w:tc>
      </w:tr>
      <w:tr w:rsidR="00370E1E" w:rsidRPr="0017187C" w14:paraId="2CC84826" w14:textId="77777777" w:rsidTr="0017187C">
        <w:trPr>
          <w:tblCellSpacing w:w="15" w:type="dxa"/>
        </w:trPr>
        <w:tc>
          <w:tcPr>
            <w:tcW w:w="0" w:type="auto"/>
            <w:vAlign w:val="center"/>
            <w:hideMark/>
          </w:tcPr>
          <w:p w14:paraId="27190A8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Tool calling</w:t>
            </w:r>
          </w:p>
        </w:tc>
        <w:tc>
          <w:tcPr>
            <w:tcW w:w="0" w:type="auto"/>
            <w:vAlign w:val="center"/>
            <w:hideMark/>
          </w:tcPr>
          <w:p w14:paraId="06B4B67B"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Coordinate external systems during inference</w:t>
            </w:r>
          </w:p>
        </w:tc>
        <w:tc>
          <w:tcPr>
            <w:tcW w:w="0" w:type="auto"/>
            <w:vAlign w:val="center"/>
            <w:hideMark/>
          </w:tcPr>
          <w:p w14:paraId="5DC9485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Retrieval, enterprise automation, agent workflows</w:t>
            </w:r>
          </w:p>
        </w:tc>
        <w:tc>
          <w:tcPr>
            <w:tcW w:w="0" w:type="auto"/>
            <w:vAlign w:val="center"/>
            <w:hideMark/>
          </w:tcPr>
          <w:p w14:paraId="0DE8887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Requires application-controlled authorization and execution.</w:t>
            </w:r>
          </w:p>
        </w:tc>
      </w:tr>
      <w:tr w:rsidR="00370E1E" w:rsidRPr="0017187C" w14:paraId="416E9842" w14:textId="77777777" w:rsidTr="0017187C">
        <w:trPr>
          <w:tblCellSpacing w:w="15" w:type="dxa"/>
        </w:trPr>
        <w:tc>
          <w:tcPr>
            <w:tcW w:w="0" w:type="auto"/>
            <w:vAlign w:val="center"/>
            <w:hideMark/>
          </w:tcPr>
          <w:p w14:paraId="1A84AA8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Batch and asynchronous APIs</w:t>
            </w:r>
          </w:p>
        </w:tc>
        <w:tc>
          <w:tcPr>
            <w:tcW w:w="0" w:type="auto"/>
            <w:vAlign w:val="center"/>
            <w:hideMark/>
          </w:tcPr>
          <w:p w14:paraId="6E8DE26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Execute large or long-running workloads offline</w:t>
            </w:r>
          </w:p>
        </w:tc>
        <w:tc>
          <w:tcPr>
            <w:tcW w:w="0" w:type="auto"/>
            <w:vAlign w:val="center"/>
            <w:hideMark/>
          </w:tcPr>
          <w:p w14:paraId="5432F3C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Document processing, evaluations, embedding generation</w:t>
            </w:r>
          </w:p>
        </w:tc>
        <w:tc>
          <w:tcPr>
            <w:tcW w:w="0" w:type="auto"/>
            <w:vAlign w:val="center"/>
            <w:hideMark/>
          </w:tcPr>
          <w:p w14:paraId="41BE6D2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Better infrastructure utilization and workload isolation.</w:t>
            </w:r>
          </w:p>
        </w:tc>
      </w:tr>
    </w:tbl>
    <w:p w14:paraId="4AD3F81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Although implementation details differ across providers, these interaction patterns have become sufficiently widespread that they now represent common architectural building blocks for production AI applications.</w:t>
      </w:r>
    </w:p>
    <w:p w14:paraId="40E060B8" w14:textId="77777777" w:rsidR="00370E1E" w:rsidRPr="00370E1E" w:rsidRDefault="0017187C" w:rsidP="00370E1E">
      <w:pPr>
        <w:rPr>
          <w:rFonts w:ascii="Calibri" w:eastAsia="Calibri" w:hAnsi="Calibri" w:cs="Times New Roman"/>
          <w:sz w:val="24"/>
        </w:rPr>
      </w:pPr>
      <w:r>
        <w:rPr>
          <w:rFonts w:ascii="Calibri" w:eastAsia="Calibri" w:hAnsi="Calibri" w:cs="Times New Roman"/>
          <w:sz w:val="24"/>
        </w:rPr>
        <w:pict w14:anchorId="43CE4B83">
          <v:rect id="_x0000_i1027" style="width:0;height:1.5pt" o:hralign="center" o:hrstd="t" o:hr="t" fillcolor="#a0a0a0" stroked="f"/>
        </w:pict>
      </w:r>
    </w:p>
    <w:p w14:paraId="7AEB43B0"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lastRenderedPageBreak/>
        <w:t>3.5 Authentication, Identity, and Enterprise Access</w:t>
      </w:r>
    </w:p>
    <w:p w14:paraId="2E90B6C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Every commercial AI service must determine </w:t>
      </w:r>
      <w:r w:rsidRPr="00370E1E">
        <w:rPr>
          <w:rFonts w:ascii="Times New Roman" w:eastAsia="Times New Roman" w:hAnsi="Times New Roman" w:cs="Times New Roman"/>
          <w:b/>
          <w:bCs/>
          <w:sz w:val="28"/>
          <w:szCs w:val="24"/>
        </w:rPr>
        <w:t>who is permitted to use the platform, under what conditions, and with which operational constraints</w:t>
      </w:r>
      <w:r w:rsidRPr="00370E1E">
        <w:rPr>
          <w:rFonts w:ascii="Times New Roman" w:eastAsia="Times New Roman" w:hAnsi="Times New Roman" w:cs="Times New Roman"/>
          <w:sz w:val="28"/>
          <w:szCs w:val="24"/>
        </w:rPr>
        <w:t>. Authentication therefore represents considerably more than a mechanism for protecting API endpoints. Within enterprise AI platforms, identity management becomes a foundational architectural capability influencing governance, auditing, security, billing, and operational accountability.</w:t>
      </w:r>
    </w:p>
    <w:p w14:paraId="00C0528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simplest authentication mechanism remains the API key.</w:t>
      </w:r>
    </w:p>
    <w:p w14:paraId="6D2B9A6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API keys provide straightforward integration for prototypes, command-line tools, development environments, and relatively simple applications. A client presents a secret value with each request, allowing the provider to identify the associated account and apply quotas, usage tracking, and authorization policies.</w:t>
      </w:r>
    </w:p>
    <w:p w14:paraId="3CD0321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Although API keys remain widely supported, they are rarely sufficient for large enterprise environments.</w:t>
      </w:r>
    </w:p>
    <w:p w14:paraId="1A1DC64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Shared credentials complicate auditing because multiple applications or users may appear identical from the provider's perspective. Credential rotation becomes operationally burdensome, and long-lived secrets increase organizational risk if compromised.</w:t>
      </w:r>
    </w:p>
    <w:p w14:paraId="034BDD7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Consequently, enterprise deployments increasingly rely on identity systems integrated with existing organizational infrastructure.</w:t>
      </w:r>
    </w:p>
    <w:p w14:paraId="107D0CD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Cloud platforms such as Azure AI Foundry, Google Vertex AI, and Amazon Bedrock integrate closely with their respective cloud Identity and Access Management (IAM) services. Rather than distributing API keys across applications, workloads authenticate using service identities, managed identities, or workload identities already established within the organization's cloud environment.</w:t>
      </w:r>
    </w:p>
    <w:p w14:paraId="2862FE7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approach provides several operational advantages.</w:t>
      </w:r>
    </w:p>
    <w:p w14:paraId="78C9AC1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Authentication becomes centralized.</w:t>
      </w:r>
    </w:p>
    <w:p w14:paraId="6BDCE94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Access policies remain consistent with broader organizational security practices.</w:t>
      </w:r>
    </w:p>
    <w:p w14:paraId="14EDC4F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Credential lifecycle management is automated.</w:t>
      </w:r>
    </w:p>
    <w:p w14:paraId="00AA544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Applications authenticate without embedding long-lived secrets.</w:t>
      </w:r>
    </w:p>
    <w:p w14:paraId="216F2C9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Operational auditing can associate requests with individual services or workloads rather than generic API keys.</w:t>
      </w:r>
    </w:p>
    <w:p w14:paraId="410F453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Modern enterprise architectures also distinguish carefully between </w:t>
      </w:r>
      <w:r w:rsidRPr="00370E1E">
        <w:rPr>
          <w:rFonts w:ascii="Times New Roman" w:eastAsia="Times New Roman" w:hAnsi="Times New Roman" w:cs="Times New Roman"/>
          <w:b/>
          <w:bCs/>
          <w:sz w:val="28"/>
          <w:szCs w:val="24"/>
        </w:rPr>
        <w:t>authentication</w:t>
      </w:r>
      <w:r w:rsidRPr="00370E1E">
        <w:rPr>
          <w:rFonts w:ascii="Times New Roman" w:eastAsia="Times New Roman" w:hAnsi="Times New Roman" w:cs="Times New Roman"/>
          <w:sz w:val="28"/>
          <w:szCs w:val="24"/>
        </w:rPr>
        <w:t xml:space="preserve"> and </w:t>
      </w:r>
      <w:r w:rsidRPr="00370E1E">
        <w:rPr>
          <w:rFonts w:ascii="Times New Roman" w:eastAsia="Times New Roman" w:hAnsi="Times New Roman" w:cs="Times New Roman"/>
          <w:b/>
          <w:bCs/>
          <w:sz w:val="28"/>
          <w:szCs w:val="24"/>
        </w:rPr>
        <w:t>authorization</w:t>
      </w:r>
      <w:r w:rsidRPr="00370E1E">
        <w:rPr>
          <w:rFonts w:ascii="Times New Roman" w:eastAsia="Times New Roman" w:hAnsi="Times New Roman" w:cs="Times New Roman"/>
          <w:sz w:val="28"/>
          <w:szCs w:val="24"/>
        </w:rPr>
        <w:t>.</w:t>
      </w:r>
    </w:p>
    <w:p w14:paraId="01DE836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Authentication answers the question:</w:t>
      </w:r>
    </w:p>
    <w:p w14:paraId="50645F6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Who is making this request?</w:t>
      </w:r>
    </w:p>
    <w:p w14:paraId="35AD1A3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Authorization answers the subsequent question:</w:t>
      </w:r>
    </w:p>
    <w:p w14:paraId="4CD2622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What is this identity permitted to do?</w:t>
      </w:r>
    </w:p>
    <w:p w14:paraId="3E0C4D4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AI platforms therefore frequently support fine-grained access policies controlling which models may be used, which regions are available, which APIs may be invoked, and what usage limits apply to particular identities or projects.</w:t>
      </w:r>
    </w:p>
    <w:p w14:paraId="78FD983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Another increasingly important capability is </w:t>
      </w:r>
      <w:r w:rsidRPr="00370E1E">
        <w:rPr>
          <w:rFonts w:ascii="Times New Roman" w:eastAsia="Times New Roman" w:hAnsi="Times New Roman" w:cs="Times New Roman"/>
          <w:b/>
          <w:bCs/>
          <w:sz w:val="28"/>
          <w:szCs w:val="24"/>
        </w:rPr>
        <w:t>private network connectivity</w:t>
      </w:r>
      <w:r w:rsidRPr="00370E1E">
        <w:rPr>
          <w:rFonts w:ascii="Times New Roman" w:eastAsia="Times New Roman" w:hAnsi="Times New Roman" w:cs="Times New Roman"/>
          <w:sz w:val="28"/>
          <w:szCs w:val="24"/>
        </w:rPr>
        <w:t>.</w:t>
      </w:r>
    </w:p>
    <w:p w14:paraId="33C4BC9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Rather than transmitting inference traffic across the public Internet, many enterprise platforms support private endpoints integrated directly into cloud networking environments. Private connectivity reduces network exposure, simplifies regulatory compliance, and allows organizations to apply existing network security controls consistently across AI services.</w:t>
      </w:r>
    </w:p>
    <w:p w14:paraId="1D839B3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Examples include AWS PrivateLink, Azure Private Link, Google Private Service Connect, and similar cloud networking technologies. While these mechanisms differ in implementation, their architectural purpose is consistent: AI services become accessible through private enterprise networking rather than public Internet endpoints.</w:t>
      </w:r>
    </w:p>
    <w:p w14:paraId="5CE7375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Identity also influences operational governance.</w:t>
      </w:r>
    </w:p>
    <w:p w14:paraId="2D43100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Most providers maintain detailed audit records associating requests with authenticated identities, projects, billing accounts, or organizations. These records support compliance investigations, operational troubleshooting, usage analysis, and financial accountability.</w:t>
      </w:r>
    </w:p>
    <w:p w14:paraId="00CB777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Detailed observability architectures—including request tracing, operational metrics, and incident investigation—are discussed in Chapter 15. Similarly, broader security architecture, policy enforcement, and governance mechanisms are examined comprehensively in Chapter 14. The present discussion focuses only on identity as an architectural building block.</w:t>
      </w:r>
    </w:p>
    <w:p w14:paraId="18B3320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Another notable trend is the adoption of </w:t>
      </w:r>
      <w:r w:rsidRPr="00370E1E">
        <w:rPr>
          <w:rFonts w:ascii="Times New Roman" w:eastAsia="Times New Roman" w:hAnsi="Times New Roman" w:cs="Times New Roman"/>
          <w:b/>
          <w:bCs/>
          <w:sz w:val="28"/>
          <w:szCs w:val="24"/>
        </w:rPr>
        <w:t>workload identity</w:t>
      </w:r>
      <w:r w:rsidRPr="00370E1E">
        <w:rPr>
          <w:rFonts w:ascii="Times New Roman" w:eastAsia="Times New Roman" w:hAnsi="Times New Roman" w:cs="Times New Roman"/>
          <w:sz w:val="28"/>
          <w:szCs w:val="24"/>
        </w:rPr>
        <w:t>.</w:t>
      </w:r>
    </w:p>
    <w:p w14:paraId="2D920A1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Instead of assigning credentials directly to applications, cloud-native platforms increasingly allow workloads running within orchestrators such as Kubernetes to authenticate using short-lived identities automatically issued by the surrounding infrastructure. This approach aligns AI services with zero-trust security principles by reducing dependence on persistent credentials and minimizing secret distribution.</w:t>
      </w:r>
    </w:p>
    <w:p w14:paraId="5698C18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From a platform engineering perspective, the objective is straightforward.</w:t>
      </w:r>
    </w:p>
    <w:p w14:paraId="3D45DCC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Applications should authenticate using the same enterprise identity mechanisms employed elsewhere within the organization's infrastructure rather than introducing AI-specific authentication models whenever possible.</w:t>
      </w:r>
    </w:p>
    <w:p w14:paraId="3C32C5C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3-4. Common Enterprise Authentication Approaches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47"/>
        <w:gridCol w:w="1851"/>
        <w:gridCol w:w="2924"/>
        <w:gridCol w:w="2733"/>
      </w:tblGrid>
      <w:tr w:rsidR="00370E1E" w:rsidRPr="0017187C" w14:paraId="301F9E66" w14:textId="77777777" w:rsidTr="0017187C">
        <w:trPr>
          <w:tblHeader/>
          <w:tblCellSpacing w:w="15" w:type="dxa"/>
        </w:trPr>
        <w:tc>
          <w:tcPr>
            <w:tcW w:w="0" w:type="auto"/>
            <w:vAlign w:val="center"/>
            <w:hideMark/>
          </w:tcPr>
          <w:p w14:paraId="02DB6D0C"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Authentication Method</w:t>
            </w:r>
          </w:p>
        </w:tc>
        <w:tc>
          <w:tcPr>
            <w:tcW w:w="0" w:type="auto"/>
            <w:vAlign w:val="center"/>
            <w:hideMark/>
          </w:tcPr>
          <w:p w14:paraId="36F3067B"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Typical Environment</w:t>
            </w:r>
          </w:p>
        </w:tc>
        <w:tc>
          <w:tcPr>
            <w:tcW w:w="0" w:type="auto"/>
            <w:vAlign w:val="center"/>
            <w:hideMark/>
          </w:tcPr>
          <w:p w14:paraId="244C5B1A"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Advantages</w:t>
            </w:r>
          </w:p>
        </w:tc>
        <w:tc>
          <w:tcPr>
            <w:tcW w:w="0" w:type="auto"/>
            <w:vAlign w:val="center"/>
            <w:hideMark/>
          </w:tcPr>
          <w:p w14:paraId="204FCAB1"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Limitations</w:t>
            </w:r>
          </w:p>
        </w:tc>
      </w:tr>
      <w:tr w:rsidR="00370E1E" w:rsidRPr="0017187C" w14:paraId="6F4275F5" w14:textId="77777777" w:rsidTr="0017187C">
        <w:trPr>
          <w:tblCellSpacing w:w="15" w:type="dxa"/>
        </w:trPr>
        <w:tc>
          <w:tcPr>
            <w:tcW w:w="0" w:type="auto"/>
            <w:vAlign w:val="center"/>
            <w:hideMark/>
          </w:tcPr>
          <w:p w14:paraId="480C8E7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API keys</w:t>
            </w:r>
          </w:p>
        </w:tc>
        <w:tc>
          <w:tcPr>
            <w:tcW w:w="0" w:type="auto"/>
            <w:vAlign w:val="center"/>
            <w:hideMark/>
          </w:tcPr>
          <w:p w14:paraId="24C1414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Development, prototypes, small services</w:t>
            </w:r>
          </w:p>
        </w:tc>
        <w:tc>
          <w:tcPr>
            <w:tcW w:w="0" w:type="auto"/>
            <w:vAlign w:val="center"/>
            <w:hideMark/>
          </w:tcPr>
          <w:p w14:paraId="24F2B59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Simple integration and broad provider support</w:t>
            </w:r>
          </w:p>
        </w:tc>
        <w:tc>
          <w:tcPr>
            <w:tcW w:w="0" w:type="auto"/>
            <w:vAlign w:val="center"/>
            <w:hideMark/>
          </w:tcPr>
          <w:p w14:paraId="0E2CFF1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Secret management, limited auditing, unsuitable for large-scale enterprise governance.</w:t>
            </w:r>
          </w:p>
        </w:tc>
      </w:tr>
      <w:tr w:rsidR="00370E1E" w:rsidRPr="0017187C" w14:paraId="35A53FC0" w14:textId="77777777" w:rsidTr="0017187C">
        <w:trPr>
          <w:tblCellSpacing w:w="15" w:type="dxa"/>
        </w:trPr>
        <w:tc>
          <w:tcPr>
            <w:tcW w:w="0" w:type="auto"/>
            <w:vAlign w:val="center"/>
            <w:hideMark/>
          </w:tcPr>
          <w:p w14:paraId="63B4341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OAuth-based authorization</w:t>
            </w:r>
          </w:p>
        </w:tc>
        <w:tc>
          <w:tcPr>
            <w:tcW w:w="0" w:type="auto"/>
            <w:vAlign w:val="center"/>
            <w:hideMark/>
          </w:tcPr>
          <w:p w14:paraId="133F020B"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User-facing applications</w:t>
            </w:r>
          </w:p>
        </w:tc>
        <w:tc>
          <w:tcPr>
            <w:tcW w:w="0" w:type="auto"/>
            <w:vAlign w:val="center"/>
            <w:hideMark/>
          </w:tcPr>
          <w:p w14:paraId="733E0F7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Delegated user authorization and standardized identity flows</w:t>
            </w:r>
          </w:p>
        </w:tc>
        <w:tc>
          <w:tcPr>
            <w:tcW w:w="0" w:type="auto"/>
            <w:vAlign w:val="center"/>
            <w:hideMark/>
          </w:tcPr>
          <w:p w14:paraId="2EE5817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Greater implementation complexity than API keys.</w:t>
            </w:r>
          </w:p>
        </w:tc>
      </w:tr>
      <w:tr w:rsidR="00370E1E" w:rsidRPr="0017187C" w14:paraId="51B19350" w14:textId="77777777" w:rsidTr="0017187C">
        <w:trPr>
          <w:tblCellSpacing w:w="15" w:type="dxa"/>
        </w:trPr>
        <w:tc>
          <w:tcPr>
            <w:tcW w:w="0" w:type="auto"/>
            <w:vAlign w:val="center"/>
            <w:hideMark/>
          </w:tcPr>
          <w:p w14:paraId="1F8B6A1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Cloud IAM identities</w:t>
            </w:r>
          </w:p>
        </w:tc>
        <w:tc>
          <w:tcPr>
            <w:tcW w:w="0" w:type="auto"/>
            <w:vAlign w:val="center"/>
            <w:hideMark/>
          </w:tcPr>
          <w:p w14:paraId="4271B6D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Enterprise cloud deployments</w:t>
            </w:r>
          </w:p>
        </w:tc>
        <w:tc>
          <w:tcPr>
            <w:tcW w:w="0" w:type="auto"/>
            <w:vAlign w:val="center"/>
            <w:hideMark/>
          </w:tcPr>
          <w:p w14:paraId="1F7F4E3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Centralized policy management, automated credential lifecycle, integration with existing security controls</w:t>
            </w:r>
          </w:p>
        </w:tc>
        <w:tc>
          <w:tcPr>
            <w:tcW w:w="0" w:type="auto"/>
            <w:vAlign w:val="center"/>
            <w:hideMark/>
          </w:tcPr>
          <w:p w14:paraId="71E74E3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Closely tied to cloud provider identity infrastructure.</w:t>
            </w:r>
          </w:p>
        </w:tc>
      </w:tr>
      <w:tr w:rsidR="00370E1E" w:rsidRPr="0017187C" w14:paraId="49C190F2" w14:textId="77777777" w:rsidTr="0017187C">
        <w:trPr>
          <w:tblCellSpacing w:w="15" w:type="dxa"/>
        </w:trPr>
        <w:tc>
          <w:tcPr>
            <w:tcW w:w="0" w:type="auto"/>
            <w:vAlign w:val="center"/>
            <w:hideMark/>
          </w:tcPr>
          <w:p w14:paraId="246D486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Workload identity</w:t>
            </w:r>
          </w:p>
        </w:tc>
        <w:tc>
          <w:tcPr>
            <w:tcW w:w="0" w:type="auto"/>
            <w:vAlign w:val="center"/>
            <w:hideMark/>
          </w:tcPr>
          <w:p w14:paraId="0F7F067D"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Kubernetes and cloud-native platforms</w:t>
            </w:r>
          </w:p>
        </w:tc>
        <w:tc>
          <w:tcPr>
            <w:tcW w:w="0" w:type="auto"/>
            <w:vAlign w:val="center"/>
            <w:hideMark/>
          </w:tcPr>
          <w:p w14:paraId="17289AF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Eliminates long-lived secrets and supports zero-trust architectures</w:t>
            </w:r>
          </w:p>
        </w:tc>
        <w:tc>
          <w:tcPr>
            <w:tcW w:w="0" w:type="auto"/>
            <w:vAlign w:val="center"/>
            <w:hideMark/>
          </w:tcPr>
          <w:p w14:paraId="0BCCC58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Requires supporting infrastructure and identity federation.</w:t>
            </w:r>
          </w:p>
        </w:tc>
      </w:tr>
      <w:tr w:rsidR="00370E1E" w:rsidRPr="0017187C" w14:paraId="75978906" w14:textId="77777777" w:rsidTr="0017187C">
        <w:trPr>
          <w:tblCellSpacing w:w="15" w:type="dxa"/>
        </w:trPr>
        <w:tc>
          <w:tcPr>
            <w:tcW w:w="0" w:type="auto"/>
            <w:vAlign w:val="center"/>
            <w:hideMark/>
          </w:tcPr>
          <w:p w14:paraId="21E27EC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Private network authentication</w:t>
            </w:r>
          </w:p>
        </w:tc>
        <w:tc>
          <w:tcPr>
            <w:tcW w:w="0" w:type="auto"/>
            <w:vAlign w:val="center"/>
            <w:hideMark/>
          </w:tcPr>
          <w:p w14:paraId="0925D96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Regulated enterprise environments</w:t>
            </w:r>
          </w:p>
        </w:tc>
        <w:tc>
          <w:tcPr>
            <w:tcW w:w="0" w:type="auto"/>
            <w:vAlign w:val="center"/>
            <w:hideMark/>
          </w:tcPr>
          <w:p w14:paraId="0C131B9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Reduced network exposure and integration with organizational networking policies</w:t>
            </w:r>
          </w:p>
        </w:tc>
        <w:tc>
          <w:tcPr>
            <w:tcW w:w="0" w:type="auto"/>
            <w:vAlign w:val="center"/>
            <w:hideMark/>
          </w:tcPr>
          <w:p w14:paraId="5416466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Generally limited to enterprise cloud environments.</w:t>
            </w:r>
          </w:p>
        </w:tc>
      </w:tr>
    </w:tbl>
    <w:p w14:paraId="5170A07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Identity management is often overlooked during early experimentation because API keys appear sufficient for initial development. However, production AI platforms rarely remain at prototype scale. As adoption expands across multiple applications, business units, and operational environments, enterprise identity </w:t>
      </w:r>
      <w:r w:rsidRPr="00370E1E">
        <w:rPr>
          <w:rFonts w:ascii="Times New Roman" w:eastAsia="Times New Roman" w:hAnsi="Times New Roman" w:cs="Times New Roman"/>
          <w:sz w:val="28"/>
          <w:szCs w:val="24"/>
        </w:rPr>
        <w:lastRenderedPageBreak/>
        <w:t>becomes one of the principal mechanisms through which governance, security, and accountability are enforced.</w:t>
      </w:r>
    </w:p>
    <w:p w14:paraId="68C7F33A" w14:textId="77777777" w:rsidR="00370E1E" w:rsidRPr="00370E1E" w:rsidRDefault="0017187C" w:rsidP="00370E1E">
      <w:pPr>
        <w:rPr>
          <w:rFonts w:ascii="Calibri" w:eastAsia="Calibri" w:hAnsi="Calibri" w:cs="Times New Roman"/>
          <w:sz w:val="24"/>
        </w:rPr>
      </w:pPr>
      <w:r>
        <w:rPr>
          <w:rFonts w:ascii="Calibri" w:eastAsia="Calibri" w:hAnsi="Calibri" w:cs="Times New Roman"/>
          <w:sz w:val="24"/>
        </w:rPr>
        <w:pict w14:anchorId="5C33A8E5">
          <v:rect id="_x0000_i1028" style="width:0;height:1.5pt" o:hralign="center" o:hrstd="t" o:hr="t" fillcolor="#a0a0a0" stroked="f"/>
        </w:pict>
      </w:r>
    </w:p>
    <w:p w14:paraId="59CAF2A7"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3.6 Model Catalogs and Managed AI Platforms</w:t>
      </w:r>
    </w:p>
    <w:p w14:paraId="59CBD0C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As commercial AI ecosystems have expanded, organizations increasingly face a different challenge from that of only a few years ago. The problem is no longer a lack of available models but an abundance of them.</w:t>
      </w:r>
    </w:p>
    <w:p w14:paraId="7B16240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Multiple providers now offer frontier language models, specialized reasoning systems, multimodal models, embedding models, image generation services, speech processing systems, and increasingly domain-specific foundation models. Individually integrating each provider quickly becomes operationally burdensome.</w:t>
      </w:r>
    </w:p>
    <w:p w14:paraId="1B7145C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Model catalogs emerged as a response to this complexity.</w:t>
      </w:r>
    </w:p>
    <w:p w14:paraId="638E113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 </w:t>
      </w:r>
      <w:r w:rsidRPr="00370E1E">
        <w:rPr>
          <w:rFonts w:ascii="Times New Roman" w:eastAsia="Times New Roman" w:hAnsi="Times New Roman" w:cs="Times New Roman"/>
          <w:b/>
          <w:bCs/>
          <w:sz w:val="28"/>
          <w:szCs w:val="24"/>
        </w:rPr>
        <w:t>model catalog</w:t>
      </w:r>
      <w:r w:rsidRPr="00370E1E">
        <w:rPr>
          <w:rFonts w:ascii="Times New Roman" w:eastAsia="Times New Roman" w:hAnsi="Times New Roman" w:cs="Times New Roman"/>
          <w:sz w:val="28"/>
          <w:szCs w:val="24"/>
        </w:rPr>
        <w:t xml:space="preserve"> is a managed platform capability that organizes multiple foundation models behind a consistent operational environment. Rather than requiring separate infrastructure, authentication, governance, and lifecycle management for each provider, the platform presents a unified interface through which organizations discover, evaluate, deploy, and operate AI models.</w:t>
      </w:r>
    </w:p>
    <w:p w14:paraId="5C387BB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concept represents an important evolution beyond the early commercial AI ecosystem.</w:t>
      </w:r>
    </w:p>
    <w:p w14:paraId="7DEE456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Initially, organizations typically consumed models directly from their developers. As cloud platforms expanded their AI offerings, they increasingly adopted a marketplace approach in which multiple model vendors became accessible through a shared operational framework.</w:t>
      </w:r>
    </w:p>
    <w:p w14:paraId="38E8CC1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Amazon Bedrock, Google Vertex AI, Azure AI Foundry, Hugging Face, OpenRouter, Together AI, and several specialized inference providers now expose extensive model catalogs supporting diverse workloads through common management interfaces. Although the precise implementation varies, the architectural objective remains consistent: separate </w:t>
      </w:r>
      <w:r w:rsidRPr="00370E1E">
        <w:rPr>
          <w:rFonts w:ascii="Times New Roman" w:eastAsia="Times New Roman" w:hAnsi="Times New Roman" w:cs="Times New Roman"/>
          <w:b/>
          <w:bCs/>
          <w:sz w:val="28"/>
          <w:szCs w:val="24"/>
        </w:rPr>
        <w:t>model selection</w:t>
      </w:r>
      <w:r w:rsidRPr="00370E1E">
        <w:rPr>
          <w:rFonts w:ascii="Times New Roman" w:eastAsia="Times New Roman" w:hAnsi="Times New Roman" w:cs="Times New Roman"/>
          <w:sz w:val="28"/>
          <w:szCs w:val="24"/>
        </w:rPr>
        <w:t xml:space="preserve"> from </w:t>
      </w:r>
      <w:r w:rsidRPr="00370E1E">
        <w:rPr>
          <w:rFonts w:ascii="Times New Roman" w:eastAsia="Times New Roman" w:hAnsi="Times New Roman" w:cs="Times New Roman"/>
          <w:b/>
          <w:bCs/>
          <w:sz w:val="28"/>
          <w:szCs w:val="24"/>
        </w:rPr>
        <w:t>platform operations</w:t>
      </w:r>
      <w:r w:rsidRPr="00370E1E">
        <w:rPr>
          <w:rFonts w:ascii="Times New Roman" w:eastAsia="Times New Roman" w:hAnsi="Times New Roman" w:cs="Times New Roman"/>
          <w:sz w:val="28"/>
          <w:szCs w:val="24"/>
        </w:rPr>
        <w:t>.</w:t>
      </w:r>
    </w:p>
    <w:p w14:paraId="55EB7D2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separation offers significant engineering advantages.</w:t>
      </w:r>
    </w:p>
    <w:p w14:paraId="462C39D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Authentication, identity management, billing, quota administration, audit logging, networking, and governance remain stable regardless of which specific model is </w:t>
      </w:r>
      <w:r w:rsidRPr="00370E1E">
        <w:rPr>
          <w:rFonts w:ascii="Times New Roman" w:eastAsia="Times New Roman" w:hAnsi="Times New Roman" w:cs="Times New Roman"/>
          <w:sz w:val="28"/>
          <w:szCs w:val="24"/>
        </w:rPr>
        <w:lastRenderedPageBreak/>
        <w:t>selected. Organizations evaluate models independently of the surrounding operational infrastructure.</w:t>
      </w:r>
    </w:p>
    <w:p w14:paraId="29B4120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Model catalogs also simplify experimentation.</w:t>
      </w:r>
    </w:p>
    <w:p w14:paraId="7C2441F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Engineering teams can compare multiple models using consistent authentication mechanisms, similar API patterns, and shared governance controls. New models become available without requiring entirely new infrastructure integrations, allowing organizations to evaluate emerging capabilities with substantially reduced operational effort.</w:t>
      </w:r>
    </w:p>
    <w:p w14:paraId="1604E15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Another important function of managed platforms is </w:t>
      </w:r>
      <w:r w:rsidRPr="00370E1E">
        <w:rPr>
          <w:rFonts w:ascii="Times New Roman" w:eastAsia="Times New Roman" w:hAnsi="Times New Roman" w:cs="Times New Roman"/>
          <w:b/>
          <w:bCs/>
          <w:sz w:val="28"/>
          <w:szCs w:val="24"/>
        </w:rPr>
        <w:t>model lifecycle management</w:t>
      </w:r>
      <w:r w:rsidRPr="00370E1E">
        <w:rPr>
          <w:rFonts w:ascii="Times New Roman" w:eastAsia="Times New Roman" w:hAnsi="Times New Roman" w:cs="Times New Roman"/>
          <w:sz w:val="28"/>
          <w:szCs w:val="24"/>
        </w:rPr>
        <w:t>.</w:t>
      </w:r>
    </w:p>
    <w:p w14:paraId="5445199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models evolve continuously. New versions are introduced, older versions are deprecated, preview releases become generally available, and capabilities change over time. Managed platforms provide mechanisms for discovering available models, understanding lifecycle status, managing version transitions, and coordinating migrations.</w:t>
      </w:r>
    </w:p>
    <w:p w14:paraId="79F2EFD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Lifecycle management is discussed in greater detail in Section 3.9, but it is useful to recognize here that model catalogs function not merely as directories but as operational management systems.</w:t>
      </w:r>
    </w:p>
    <w:p w14:paraId="77E9252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Managed AI platforms frequently extend beyond model catalogs to include broader platform capabilities.</w:t>
      </w:r>
    </w:p>
    <w:p w14:paraId="464480E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Examples include:</w:t>
      </w:r>
    </w:p>
    <w:p w14:paraId="4D12B985" w14:textId="77777777" w:rsidR="00370E1E" w:rsidRPr="0017187C" w:rsidRDefault="00370E1E" w:rsidP="00370E1E">
      <w:pPr>
        <w:numPr>
          <w:ilvl w:val="0"/>
          <w:numId w:val="7"/>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prompt management, </w:t>
      </w:r>
    </w:p>
    <w:p w14:paraId="626410B6" w14:textId="77777777" w:rsidR="00370E1E" w:rsidRPr="0017187C" w:rsidRDefault="00370E1E" w:rsidP="00370E1E">
      <w:pPr>
        <w:numPr>
          <w:ilvl w:val="0"/>
          <w:numId w:val="7"/>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evaluation tooling, </w:t>
      </w:r>
    </w:p>
    <w:p w14:paraId="33E1F773" w14:textId="77777777" w:rsidR="00370E1E" w:rsidRPr="0017187C" w:rsidRDefault="00370E1E" w:rsidP="00370E1E">
      <w:pPr>
        <w:numPr>
          <w:ilvl w:val="0"/>
          <w:numId w:val="7"/>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safety controls, </w:t>
      </w:r>
    </w:p>
    <w:p w14:paraId="7EDECEBD" w14:textId="77777777" w:rsidR="00370E1E" w:rsidRPr="0017187C" w:rsidRDefault="00370E1E" w:rsidP="00370E1E">
      <w:pPr>
        <w:numPr>
          <w:ilvl w:val="0"/>
          <w:numId w:val="7"/>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batch inference, </w:t>
      </w:r>
    </w:p>
    <w:p w14:paraId="44AE324E" w14:textId="77777777" w:rsidR="00370E1E" w:rsidRPr="0017187C" w:rsidRDefault="00370E1E" w:rsidP="00370E1E">
      <w:pPr>
        <w:numPr>
          <w:ilvl w:val="0"/>
          <w:numId w:val="7"/>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fine-tuning services, </w:t>
      </w:r>
    </w:p>
    <w:p w14:paraId="69CCA7BC" w14:textId="77777777" w:rsidR="00370E1E" w:rsidRPr="0017187C" w:rsidRDefault="00370E1E" w:rsidP="00370E1E">
      <w:pPr>
        <w:numPr>
          <w:ilvl w:val="0"/>
          <w:numId w:val="7"/>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knowledge integration, </w:t>
      </w:r>
    </w:p>
    <w:p w14:paraId="6B4BC97C" w14:textId="77777777" w:rsidR="00370E1E" w:rsidRPr="0017187C" w:rsidRDefault="00370E1E" w:rsidP="00370E1E">
      <w:pPr>
        <w:numPr>
          <w:ilvl w:val="0"/>
          <w:numId w:val="7"/>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playground environments, </w:t>
      </w:r>
    </w:p>
    <w:p w14:paraId="557D935B" w14:textId="77777777" w:rsidR="00370E1E" w:rsidRPr="0017187C" w:rsidRDefault="00370E1E" w:rsidP="00370E1E">
      <w:pPr>
        <w:numPr>
          <w:ilvl w:val="0"/>
          <w:numId w:val="7"/>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deployment management, </w:t>
      </w:r>
    </w:p>
    <w:p w14:paraId="4D8AE6E5" w14:textId="77777777" w:rsidR="00370E1E" w:rsidRPr="0017187C" w:rsidRDefault="00370E1E" w:rsidP="00370E1E">
      <w:pPr>
        <w:numPr>
          <w:ilvl w:val="0"/>
          <w:numId w:val="7"/>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governance dashboards. </w:t>
      </w:r>
    </w:p>
    <w:p w14:paraId="64C8BB0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capabilities increasingly position commercial AI services as complete application platforms rather than simple inference endpoints.</w:t>
      </w:r>
    </w:p>
    <w:p w14:paraId="03BCD61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Nevertheless, organizations should distinguish carefully between </w:t>
      </w:r>
      <w:r w:rsidRPr="00370E1E">
        <w:rPr>
          <w:rFonts w:ascii="Times New Roman" w:eastAsia="Times New Roman" w:hAnsi="Times New Roman" w:cs="Times New Roman"/>
          <w:b/>
          <w:bCs/>
          <w:sz w:val="28"/>
          <w:szCs w:val="24"/>
        </w:rPr>
        <w:t>platform convenience</w:t>
      </w:r>
      <w:r w:rsidRPr="00370E1E">
        <w:rPr>
          <w:rFonts w:ascii="Times New Roman" w:eastAsia="Times New Roman" w:hAnsi="Times New Roman" w:cs="Times New Roman"/>
          <w:sz w:val="28"/>
          <w:szCs w:val="24"/>
        </w:rPr>
        <w:t xml:space="preserve"> and </w:t>
      </w:r>
      <w:r w:rsidRPr="00370E1E">
        <w:rPr>
          <w:rFonts w:ascii="Times New Roman" w:eastAsia="Times New Roman" w:hAnsi="Times New Roman" w:cs="Times New Roman"/>
          <w:b/>
          <w:bCs/>
          <w:sz w:val="28"/>
          <w:szCs w:val="24"/>
        </w:rPr>
        <w:t>architectural dependence</w:t>
      </w:r>
      <w:r w:rsidRPr="00370E1E">
        <w:rPr>
          <w:rFonts w:ascii="Times New Roman" w:eastAsia="Times New Roman" w:hAnsi="Times New Roman" w:cs="Times New Roman"/>
          <w:sz w:val="28"/>
          <w:szCs w:val="24"/>
        </w:rPr>
        <w:t>.</w:t>
      </w:r>
    </w:p>
    <w:p w14:paraId="7E6DE73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A rich platform ecosystem can significantly improve developer productivity. At the same time, extensive reliance on provider-specific tooling may increase migration effort if organizational requirements later change. Mature platform engineering therefore balances the benefits of integrated services against the long-term objective of maintaining reasonable architectural portability.</w:t>
      </w:r>
    </w:p>
    <w:p w14:paraId="594B8E3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does not imply avoiding managed platform features altogether.</w:t>
      </w:r>
    </w:p>
    <w:p w14:paraId="429C4D4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Instead, organizations should understand which capabilities represent broadly reusable architectural concepts and which primarily reflect provider-specific implementation choices.</w:t>
      </w:r>
    </w:p>
    <w:p w14:paraId="014D0FC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broader question of vendor lock-in and architectural portability is examined in Section 3.12.</w:t>
      </w:r>
    </w:p>
    <w:p w14:paraId="0462481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3-5. Typical Capabilities of Managed AI Platforms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87"/>
        <w:gridCol w:w="3839"/>
        <w:gridCol w:w="3729"/>
      </w:tblGrid>
      <w:tr w:rsidR="00370E1E" w:rsidRPr="0017187C" w14:paraId="052DE800" w14:textId="77777777" w:rsidTr="0017187C">
        <w:trPr>
          <w:tblHeader/>
          <w:tblCellSpacing w:w="15" w:type="dxa"/>
        </w:trPr>
        <w:tc>
          <w:tcPr>
            <w:tcW w:w="0" w:type="auto"/>
            <w:vAlign w:val="center"/>
            <w:hideMark/>
          </w:tcPr>
          <w:p w14:paraId="49746031"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Platform Capability</w:t>
            </w:r>
          </w:p>
        </w:tc>
        <w:tc>
          <w:tcPr>
            <w:tcW w:w="0" w:type="auto"/>
            <w:vAlign w:val="center"/>
            <w:hideMark/>
          </w:tcPr>
          <w:p w14:paraId="109B01DE"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Architectural Purpose</w:t>
            </w:r>
          </w:p>
        </w:tc>
        <w:tc>
          <w:tcPr>
            <w:tcW w:w="0" w:type="auto"/>
            <w:vAlign w:val="center"/>
            <w:hideMark/>
          </w:tcPr>
          <w:p w14:paraId="25A34F82"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Representative Examples</w:t>
            </w:r>
          </w:p>
        </w:tc>
      </w:tr>
      <w:tr w:rsidR="00370E1E" w:rsidRPr="0017187C" w14:paraId="6DDFA9A5" w14:textId="77777777" w:rsidTr="0017187C">
        <w:trPr>
          <w:tblCellSpacing w:w="15" w:type="dxa"/>
        </w:trPr>
        <w:tc>
          <w:tcPr>
            <w:tcW w:w="0" w:type="auto"/>
            <w:vAlign w:val="center"/>
            <w:hideMark/>
          </w:tcPr>
          <w:p w14:paraId="4D29FD3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Model catalog</w:t>
            </w:r>
          </w:p>
        </w:tc>
        <w:tc>
          <w:tcPr>
            <w:tcW w:w="0" w:type="auto"/>
            <w:vAlign w:val="center"/>
            <w:hideMark/>
          </w:tcPr>
          <w:p w14:paraId="5EE3660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Discover and access multiple foundation models through a unified operational environment</w:t>
            </w:r>
          </w:p>
        </w:tc>
        <w:tc>
          <w:tcPr>
            <w:tcW w:w="0" w:type="auto"/>
            <w:vAlign w:val="center"/>
            <w:hideMark/>
          </w:tcPr>
          <w:p w14:paraId="54CD952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Amazon Bedrock, Vertex AI Model Garden, Azure AI Foundry Model Catalog, Hugging Face Hub</w:t>
            </w:r>
          </w:p>
        </w:tc>
      </w:tr>
      <w:tr w:rsidR="00370E1E" w:rsidRPr="0017187C" w14:paraId="04F1D16E" w14:textId="77777777" w:rsidTr="0017187C">
        <w:trPr>
          <w:tblCellSpacing w:w="15" w:type="dxa"/>
        </w:trPr>
        <w:tc>
          <w:tcPr>
            <w:tcW w:w="0" w:type="auto"/>
            <w:vAlign w:val="center"/>
            <w:hideMark/>
          </w:tcPr>
          <w:p w14:paraId="387C0CC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Unified authentication</w:t>
            </w:r>
          </w:p>
        </w:tc>
        <w:tc>
          <w:tcPr>
            <w:tcW w:w="0" w:type="auto"/>
            <w:vAlign w:val="center"/>
            <w:hideMark/>
          </w:tcPr>
          <w:p w14:paraId="0A035FF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Apply consistent identity and access management across multiple models</w:t>
            </w:r>
          </w:p>
        </w:tc>
        <w:tc>
          <w:tcPr>
            <w:tcW w:w="0" w:type="auto"/>
            <w:vAlign w:val="center"/>
            <w:hideMark/>
          </w:tcPr>
          <w:p w14:paraId="3E84BA7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Cloud IAM integration, organizational identities</w:t>
            </w:r>
          </w:p>
        </w:tc>
      </w:tr>
      <w:tr w:rsidR="00370E1E" w:rsidRPr="0017187C" w14:paraId="69642896" w14:textId="77777777" w:rsidTr="0017187C">
        <w:trPr>
          <w:tblCellSpacing w:w="15" w:type="dxa"/>
        </w:trPr>
        <w:tc>
          <w:tcPr>
            <w:tcW w:w="0" w:type="auto"/>
            <w:vAlign w:val="center"/>
            <w:hideMark/>
          </w:tcPr>
          <w:p w14:paraId="4BFC21E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Governance and policy</w:t>
            </w:r>
          </w:p>
        </w:tc>
        <w:tc>
          <w:tcPr>
            <w:tcW w:w="0" w:type="auto"/>
            <w:vAlign w:val="center"/>
            <w:hideMark/>
          </w:tcPr>
          <w:p w14:paraId="22AD9CE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Centralize access control, auditing, and organizational policies</w:t>
            </w:r>
          </w:p>
        </w:tc>
        <w:tc>
          <w:tcPr>
            <w:tcW w:w="0" w:type="auto"/>
            <w:vAlign w:val="center"/>
            <w:hideMark/>
          </w:tcPr>
          <w:p w14:paraId="7969C2D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Enterprise administration and compliance tooling</w:t>
            </w:r>
          </w:p>
        </w:tc>
      </w:tr>
      <w:tr w:rsidR="00370E1E" w:rsidRPr="0017187C" w14:paraId="7529B22E" w14:textId="77777777" w:rsidTr="0017187C">
        <w:trPr>
          <w:tblCellSpacing w:w="15" w:type="dxa"/>
        </w:trPr>
        <w:tc>
          <w:tcPr>
            <w:tcW w:w="0" w:type="auto"/>
            <w:vAlign w:val="center"/>
            <w:hideMark/>
          </w:tcPr>
          <w:p w14:paraId="4276002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Lifecycle management</w:t>
            </w:r>
          </w:p>
        </w:tc>
        <w:tc>
          <w:tcPr>
            <w:tcW w:w="0" w:type="auto"/>
            <w:vAlign w:val="center"/>
            <w:hideMark/>
          </w:tcPr>
          <w:p w14:paraId="43F07CB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Manage model availability, versioning, preview releases, and deprecation</w:t>
            </w:r>
          </w:p>
        </w:tc>
        <w:tc>
          <w:tcPr>
            <w:tcW w:w="0" w:type="auto"/>
            <w:vAlign w:val="center"/>
            <w:hideMark/>
          </w:tcPr>
          <w:p w14:paraId="7BEE045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Model version catalogs and release management</w:t>
            </w:r>
          </w:p>
        </w:tc>
      </w:tr>
      <w:tr w:rsidR="00370E1E" w:rsidRPr="0017187C" w14:paraId="103D6712" w14:textId="77777777" w:rsidTr="0017187C">
        <w:trPr>
          <w:tblCellSpacing w:w="15" w:type="dxa"/>
        </w:trPr>
        <w:tc>
          <w:tcPr>
            <w:tcW w:w="0" w:type="auto"/>
            <w:vAlign w:val="center"/>
            <w:hideMark/>
          </w:tcPr>
          <w:p w14:paraId="5BA5859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Evaluation tooling</w:t>
            </w:r>
          </w:p>
        </w:tc>
        <w:tc>
          <w:tcPr>
            <w:tcW w:w="0" w:type="auto"/>
            <w:vAlign w:val="center"/>
            <w:hideMark/>
          </w:tcPr>
          <w:p w14:paraId="780408C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Compare model quality across workloads using consistent operational workflows</w:t>
            </w:r>
          </w:p>
        </w:tc>
        <w:tc>
          <w:tcPr>
            <w:tcW w:w="0" w:type="auto"/>
            <w:vAlign w:val="center"/>
            <w:hideMark/>
          </w:tcPr>
          <w:p w14:paraId="4DD21A0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Built-in evaluation frameworks and benchmarking support</w:t>
            </w:r>
          </w:p>
        </w:tc>
      </w:tr>
      <w:tr w:rsidR="00370E1E" w:rsidRPr="0017187C" w14:paraId="115DC908" w14:textId="77777777" w:rsidTr="0017187C">
        <w:trPr>
          <w:tblCellSpacing w:w="15" w:type="dxa"/>
        </w:trPr>
        <w:tc>
          <w:tcPr>
            <w:tcW w:w="0" w:type="auto"/>
            <w:vAlign w:val="center"/>
            <w:hideMark/>
          </w:tcPr>
          <w:p w14:paraId="1EA7DFE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Integrated platform services</w:t>
            </w:r>
          </w:p>
        </w:tc>
        <w:tc>
          <w:tcPr>
            <w:tcW w:w="0" w:type="auto"/>
            <w:vAlign w:val="center"/>
            <w:hideMark/>
          </w:tcPr>
          <w:p w14:paraId="29465E6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Provide additional capabilities beyond inference, including batch processing, fine-tuning, and safety features</w:t>
            </w:r>
          </w:p>
        </w:tc>
        <w:tc>
          <w:tcPr>
            <w:tcW w:w="0" w:type="auto"/>
            <w:vAlign w:val="center"/>
            <w:hideMark/>
          </w:tcPr>
          <w:p w14:paraId="0B9FED4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Platform-specific AI service ecosystems</w:t>
            </w:r>
          </w:p>
        </w:tc>
      </w:tr>
    </w:tbl>
    <w:p w14:paraId="55F5F96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emergence of managed AI platforms reflects a broader trend already familiar from cloud computing. Infrastructure capabilities that were once assembled manually from independent components gradually become integrated platform services. For enterprise AI, model catalogs represent one manifestation of this evolution, allowing organizations to focus increasingly on application architecture and governance while reducing the operational complexity of managing an expanding ecosystem of foundation models.</w:t>
      </w:r>
    </w:p>
    <w:p w14:paraId="586D6817" w14:textId="77777777" w:rsidR="00370E1E" w:rsidRPr="00370E1E" w:rsidRDefault="00370E1E" w:rsidP="00370E1E">
      <w:pPr>
        <w:rPr>
          <w:rFonts w:ascii="Times New Roman" w:eastAsia="Calibri" w:hAnsi="Times New Roman" w:cs="Times New Roman"/>
          <w:sz w:val="28"/>
        </w:rPr>
      </w:pPr>
    </w:p>
    <w:p w14:paraId="783F105F"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3.7 Selecting Commercial Models for Production</w:t>
      </w:r>
    </w:p>
    <w:p w14:paraId="2663FA6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Selecting a commercial foundation model is one of the most visible decisions in an AI project, yet it is rarely the most important architectural decision. Organizations often devote considerable attention to benchmark leaderboards or public comparisons between frontier models, while overlooking operational characteristics that ultimately determine production success.</w:t>
      </w:r>
    </w:p>
    <w:p w14:paraId="648B39C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imbalance is understandable. Model capabilities are easy to compare because they produce quantitative rankings and widely publicized benchmark scores. Operational characteristics such as service reliability, version stability, authentication, quota management, regional availability, governance integration, and long-term maintenance are more difficult to summarize but frequently have greater influence on total system quality.</w:t>
      </w:r>
    </w:p>
    <w:p w14:paraId="4C34961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 mature platform engineering process therefore evaluates </w:t>
      </w:r>
      <w:r w:rsidRPr="00370E1E">
        <w:rPr>
          <w:rFonts w:ascii="Times New Roman" w:eastAsia="Times New Roman" w:hAnsi="Times New Roman" w:cs="Times New Roman"/>
          <w:b/>
          <w:bCs/>
          <w:sz w:val="28"/>
          <w:szCs w:val="24"/>
        </w:rPr>
        <w:t>services</w:t>
      </w:r>
      <w:r w:rsidRPr="00370E1E">
        <w:rPr>
          <w:rFonts w:ascii="Times New Roman" w:eastAsia="Times New Roman" w:hAnsi="Times New Roman" w:cs="Times New Roman"/>
          <w:sz w:val="28"/>
          <w:szCs w:val="24"/>
        </w:rPr>
        <w:t xml:space="preserve">, </w:t>
      </w:r>
      <w:r w:rsidRPr="00370E1E">
        <w:rPr>
          <w:rFonts w:ascii="Times New Roman" w:eastAsia="Times New Roman" w:hAnsi="Times New Roman" w:cs="Times New Roman"/>
          <w:b/>
          <w:bCs/>
          <w:sz w:val="28"/>
          <w:szCs w:val="24"/>
        </w:rPr>
        <w:t>models</w:t>
      </w:r>
      <w:r w:rsidRPr="00370E1E">
        <w:rPr>
          <w:rFonts w:ascii="Times New Roman" w:eastAsia="Times New Roman" w:hAnsi="Times New Roman" w:cs="Times New Roman"/>
          <w:sz w:val="28"/>
          <w:szCs w:val="24"/>
        </w:rPr>
        <w:t xml:space="preserve">, and </w:t>
      </w:r>
      <w:r w:rsidRPr="00370E1E">
        <w:rPr>
          <w:rFonts w:ascii="Times New Roman" w:eastAsia="Times New Roman" w:hAnsi="Times New Roman" w:cs="Times New Roman"/>
          <w:b/>
          <w:bCs/>
          <w:sz w:val="28"/>
          <w:szCs w:val="24"/>
        </w:rPr>
        <w:t>workloads</w:t>
      </w:r>
      <w:r w:rsidRPr="00370E1E">
        <w:rPr>
          <w:rFonts w:ascii="Times New Roman" w:eastAsia="Times New Roman" w:hAnsi="Times New Roman" w:cs="Times New Roman"/>
          <w:sz w:val="28"/>
          <w:szCs w:val="24"/>
        </w:rPr>
        <w:t xml:space="preserve"> simultaneously rather than treating model capability as an isolated optimization problem.</w:t>
      </w:r>
    </w:p>
    <w:p w14:paraId="186F6B98"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Begin with the Workload, Not the Model</w:t>
      </w:r>
    </w:p>
    <w:p w14:paraId="057F5B4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Production model selection should begin by understanding the application being built rather than by identifying the highest-scoring model.</w:t>
      </w:r>
    </w:p>
    <w:p w14:paraId="01DD30A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Different workloads emphasize different characteristics.</w:t>
      </w:r>
    </w:p>
    <w:p w14:paraId="1D9F135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An interactive customer support assistant values predictable latency, low response variability, and cost efficiency across millions of requests. A software engineering assistant may prioritize reasoning depth, tool use, long-context performance, and structured outputs. Document analysis systems frequently require large context windows, high throughput, and reliable extraction accuracy. Offline research workflows may tolerate higher latency in exchange for stronger reasoning capabilities.</w:t>
      </w:r>
    </w:p>
    <w:p w14:paraId="7AB5A05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differing priorities mean that no single model is objectively "best" across all applications.</w:t>
      </w:r>
    </w:p>
    <w:p w14:paraId="24D4E8C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Instead, organizations should define evaluation criteria derived directly from business requirements before comparing candidate models.</w:t>
      </w:r>
    </w:p>
    <w:p w14:paraId="16F2AC3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This principle mirrors long-established engineering practice in database selection, distributed systems, and cloud architecture. Systems are evaluated against workload requirements rather than abstract performance rankings.</w:t>
      </w:r>
    </w:p>
    <w:p w14:paraId="76C50A2C"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Capability Dimensions</w:t>
      </w:r>
    </w:p>
    <w:p w14:paraId="00243E8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Several technical characteristics consistently influence commercial model selection.</w:t>
      </w:r>
    </w:p>
    <w:p w14:paraId="097FCDB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Reasoning quality</w:t>
      </w:r>
      <w:r w:rsidRPr="00370E1E">
        <w:rPr>
          <w:rFonts w:ascii="Times New Roman" w:eastAsia="Times New Roman" w:hAnsi="Times New Roman" w:cs="Times New Roman"/>
          <w:sz w:val="28"/>
          <w:szCs w:val="24"/>
        </w:rPr>
        <w:t xml:space="preserve"> remains one of the most important factors for complex analytical workloads. Modern frontier models differ significantly in multi-step planning, mathematical reasoning, software engineering tasks, and long-horizon problem decomposition.</w:t>
      </w:r>
    </w:p>
    <w:p w14:paraId="07028A1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Instruction following</w:t>
      </w:r>
      <w:r w:rsidRPr="00370E1E">
        <w:rPr>
          <w:rFonts w:ascii="Times New Roman" w:eastAsia="Times New Roman" w:hAnsi="Times New Roman" w:cs="Times New Roman"/>
          <w:sz w:val="28"/>
          <w:szCs w:val="24"/>
        </w:rPr>
        <w:t xml:space="preserve"> determines how reliably models adhere to system prompts, formatting requirements, safety constraints, and structured output schemas.</w:t>
      </w:r>
    </w:p>
    <w:p w14:paraId="0778829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Tool use</w:t>
      </w:r>
      <w:r w:rsidRPr="00370E1E">
        <w:rPr>
          <w:rFonts w:ascii="Times New Roman" w:eastAsia="Times New Roman" w:hAnsi="Times New Roman" w:cs="Times New Roman"/>
          <w:sz w:val="28"/>
          <w:szCs w:val="24"/>
        </w:rPr>
        <w:t xml:space="preserve"> has become increasingly important as AI applications evolve toward agentic workflows. Models vary substantially in their ability to determine when external information is required, construct appropriate tool requests, recover from tool failures, and integrate retrieved information into subsequent reasoning.</w:t>
      </w:r>
    </w:p>
    <w:p w14:paraId="3535C6A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Multimodal capability</w:t>
      </w:r>
      <w:r w:rsidRPr="00370E1E">
        <w:rPr>
          <w:rFonts w:ascii="Times New Roman" w:eastAsia="Times New Roman" w:hAnsi="Times New Roman" w:cs="Times New Roman"/>
          <w:sz w:val="28"/>
          <w:szCs w:val="24"/>
        </w:rPr>
        <w:t xml:space="preserve"> influences applications involving images, audio, documents, diagrams, or mixed-media inputs. Some models support native multimodal reasoning, while others rely upon separate specialized services.</w:t>
      </w:r>
    </w:p>
    <w:p w14:paraId="6B13B12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Context length</w:t>
      </w:r>
      <w:r w:rsidRPr="00370E1E">
        <w:rPr>
          <w:rFonts w:ascii="Times New Roman" w:eastAsia="Times New Roman" w:hAnsi="Times New Roman" w:cs="Times New Roman"/>
          <w:sz w:val="28"/>
          <w:szCs w:val="24"/>
        </w:rPr>
        <w:t xml:space="preserve"> affects applications processing large documents or extensive conversational history. However, maximum context length should not be interpreted as equivalent to effective context utilization. The ability to reason accurately across very long contexts remains an active area of model development, and published context limits frequently exceed what practical evaluations demonstrate under realistic workloads.</w:t>
      </w:r>
    </w:p>
    <w:p w14:paraId="6D801FB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Finally, </w:t>
      </w:r>
      <w:r w:rsidRPr="00370E1E">
        <w:rPr>
          <w:rFonts w:ascii="Times New Roman" w:eastAsia="Times New Roman" w:hAnsi="Times New Roman" w:cs="Times New Roman"/>
          <w:b/>
          <w:bCs/>
          <w:sz w:val="28"/>
          <w:szCs w:val="24"/>
        </w:rPr>
        <w:t>structured output reliability</w:t>
      </w:r>
      <w:r w:rsidRPr="00370E1E">
        <w:rPr>
          <w:rFonts w:ascii="Times New Roman" w:eastAsia="Times New Roman" w:hAnsi="Times New Roman" w:cs="Times New Roman"/>
          <w:sz w:val="28"/>
          <w:szCs w:val="24"/>
        </w:rPr>
        <w:t xml:space="preserve"> has become increasingly significant for enterprise integration. Models generating machine-readable responses should consistently produce outputs conforming to specified schemas while minimizing repair or retry logic within downstream systems.</w:t>
      </w:r>
    </w:p>
    <w:p w14:paraId="674D78F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capability dimensions interact with one another. Improvements in one area may coincide with trade-offs in latency, cost, or operational complexity.</w:t>
      </w:r>
    </w:p>
    <w:p w14:paraId="22273CBB"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Operational Characteristics</w:t>
      </w:r>
    </w:p>
    <w:p w14:paraId="56519BF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Production systems evaluate models according to operational properties as carefully as reasoning ability.</w:t>
      </w:r>
    </w:p>
    <w:p w14:paraId="13D917E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Latency determines interactive responsiveness and influences user experience.</w:t>
      </w:r>
    </w:p>
    <w:p w14:paraId="0A76526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Throughput affects infrastructure planning, concurrency management, and service scalability.</w:t>
      </w:r>
    </w:p>
    <w:p w14:paraId="78442BA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Availability influences service-level objectives and resilience planning.</w:t>
      </w:r>
    </w:p>
    <w:p w14:paraId="6A4CB27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Regional deployment determines compliance with regulatory requirements and data residency policies.</w:t>
      </w:r>
    </w:p>
    <w:p w14:paraId="1B683E0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Quota management constrains application scaling.</w:t>
      </w:r>
    </w:p>
    <w:p w14:paraId="09214DF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Version stability influences regression testing effort.</w:t>
      </w:r>
    </w:p>
    <w:p w14:paraId="5DB9D7D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Operational maturity also includes less obvious considerations.</w:t>
      </w:r>
    </w:p>
    <w:p w14:paraId="3D9B749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Documentation quality, SDK maturity, release cadence, enterprise support, backward compatibility policies, and transparency regarding model lifecycle all affect long-term maintainability.</w:t>
      </w:r>
    </w:p>
    <w:p w14:paraId="0FD53C0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factors rarely appear in public benchmark leaderboards despite frequently determining production success.</w:t>
      </w:r>
    </w:p>
    <w:p w14:paraId="026D54C1"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Cost as a Design Constraint</w:t>
      </w:r>
    </w:p>
    <w:p w14:paraId="3759330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model selection inevitably involves economic considerations.</w:t>
      </w:r>
    </w:p>
    <w:p w14:paraId="74074EE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Providers commonly charge according to token consumption, although pricing structures increasingly include provisioned throughput, subscriptions, enterprise capacity reservations, and batch processing discounts.</w:t>
      </w:r>
    </w:p>
    <w:p w14:paraId="576A45E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Engineering teams should resist the temptation to optimize exclusively for lowest token cost.</w:t>
      </w:r>
    </w:p>
    <w:p w14:paraId="2308E7C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 more capable model may complete complex workflows in fewer interactions, reducing total application cost despite higher per-token pricing. Conversely, a less expensive model requiring repeated retries, additional verification, or supplementary reasoning stages may increase overall operational expense.</w:t>
      </w:r>
    </w:p>
    <w:p w14:paraId="27B0282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Consequently, cost should be evaluated at the application level rather than the individual request level.</w:t>
      </w:r>
    </w:p>
    <w:p w14:paraId="2C01A48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Comprehensive cost engineering—including caching strategies, workload routing, capacity planning, and FinOps methodologies—is intentionally deferred to Chapter 17.</w:t>
      </w:r>
    </w:p>
    <w:p w14:paraId="5612B87F"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lastRenderedPageBreak/>
        <w:t>Evaluation Rather Than Assumption</w:t>
      </w:r>
    </w:p>
    <w:p w14:paraId="273CC2F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Modern AI platforms increasingly recognize that published benchmark results cannot substitute for workload-specific evaluation.</w:t>
      </w:r>
    </w:p>
    <w:p w14:paraId="61106DF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General-purpose benchmarks such as HELM, LiveBench, SWE-bench, Artificial Analysis, and Humanity's Last Exam provide valuable comparative information, but each measures only selected aspects of model behavior under controlled evaluation conditions. None can fully represent the operational characteristics of an organization's own applications.</w:t>
      </w:r>
    </w:p>
    <w:p w14:paraId="4E57C70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Production model selection therefore increasingly relies upon representative evaluation datasets, regression suites, human review, and domain-specific performance measurements.</w:t>
      </w:r>
    </w:p>
    <w:p w14:paraId="187BC5D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objective is not to determine which model performs best in general, but which model performs most effectively for a particular workload.</w:t>
      </w:r>
    </w:p>
    <w:p w14:paraId="5F60AE1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philosophy aligns with broader software engineering practice, where synthetic benchmarks complement rather than replace application-specific performance testing.</w:t>
      </w:r>
    </w:p>
    <w:p w14:paraId="1B03163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Chapter 13 develops these evaluation methodologies in detail.</w:t>
      </w:r>
    </w:p>
    <w:p w14:paraId="6078643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3-6. Representative Model Evaluation Dimensions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663"/>
        <w:gridCol w:w="3703"/>
        <w:gridCol w:w="3989"/>
      </w:tblGrid>
      <w:tr w:rsidR="00370E1E" w:rsidRPr="0017187C" w14:paraId="1B95991D" w14:textId="77777777" w:rsidTr="0017187C">
        <w:trPr>
          <w:tblHeader/>
          <w:tblCellSpacing w:w="15" w:type="dxa"/>
        </w:trPr>
        <w:tc>
          <w:tcPr>
            <w:tcW w:w="0" w:type="auto"/>
            <w:vAlign w:val="center"/>
            <w:hideMark/>
          </w:tcPr>
          <w:p w14:paraId="05A8A3B1"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Evaluation Dimension</w:t>
            </w:r>
          </w:p>
        </w:tc>
        <w:tc>
          <w:tcPr>
            <w:tcW w:w="0" w:type="auto"/>
            <w:vAlign w:val="center"/>
            <w:hideMark/>
          </w:tcPr>
          <w:p w14:paraId="319C6264"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Questions Addressed</w:t>
            </w:r>
          </w:p>
        </w:tc>
        <w:tc>
          <w:tcPr>
            <w:tcW w:w="0" w:type="auto"/>
            <w:vAlign w:val="center"/>
            <w:hideMark/>
          </w:tcPr>
          <w:p w14:paraId="57776CCB"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Engineering Impact</w:t>
            </w:r>
          </w:p>
        </w:tc>
      </w:tr>
      <w:tr w:rsidR="00370E1E" w:rsidRPr="0017187C" w14:paraId="7B8E9E05" w14:textId="77777777" w:rsidTr="0017187C">
        <w:trPr>
          <w:tblCellSpacing w:w="15" w:type="dxa"/>
        </w:trPr>
        <w:tc>
          <w:tcPr>
            <w:tcW w:w="0" w:type="auto"/>
            <w:vAlign w:val="center"/>
            <w:hideMark/>
          </w:tcPr>
          <w:p w14:paraId="551FC08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Reasoning capability</w:t>
            </w:r>
          </w:p>
        </w:tc>
        <w:tc>
          <w:tcPr>
            <w:tcW w:w="0" w:type="auto"/>
            <w:vAlign w:val="center"/>
            <w:hideMark/>
          </w:tcPr>
          <w:p w14:paraId="3E2AEB5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Can the model solve complex multi-step problems reliably?</w:t>
            </w:r>
          </w:p>
        </w:tc>
        <w:tc>
          <w:tcPr>
            <w:tcW w:w="0" w:type="auto"/>
            <w:vAlign w:val="center"/>
            <w:hideMark/>
          </w:tcPr>
          <w:p w14:paraId="0F92533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Influences quality for analytical, scientific, and coding workloads.</w:t>
            </w:r>
          </w:p>
        </w:tc>
      </w:tr>
      <w:tr w:rsidR="00370E1E" w:rsidRPr="0017187C" w14:paraId="057FB048" w14:textId="77777777" w:rsidTr="0017187C">
        <w:trPr>
          <w:tblCellSpacing w:w="15" w:type="dxa"/>
        </w:trPr>
        <w:tc>
          <w:tcPr>
            <w:tcW w:w="0" w:type="auto"/>
            <w:vAlign w:val="center"/>
            <w:hideMark/>
          </w:tcPr>
          <w:p w14:paraId="2951257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Instruction following</w:t>
            </w:r>
          </w:p>
        </w:tc>
        <w:tc>
          <w:tcPr>
            <w:tcW w:w="0" w:type="auto"/>
            <w:vAlign w:val="center"/>
            <w:hideMark/>
          </w:tcPr>
          <w:p w14:paraId="2918406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Does the model consistently comply with prompts and formatting constraints?</w:t>
            </w:r>
          </w:p>
        </w:tc>
        <w:tc>
          <w:tcPr>
            <w:tcW w:w="0" w:type="auto"/>
            <w:vAlign w:val="center"/>
            <w:hideMark/>
          </w:tcPr>
          <w:p w14:paraId="226B329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Determines automation reliability and reduces downstream correction logic.</w:t>
            </w:r>
          </w:p>
        </w:tc>
      </w:tr>
      <w:tr w:rsidR="00370E1E" w:rsidRPr="0017187C" w14:paraId="0A661C5C" w14:textId="77777777" w:rsidTr="0017187C">
        <w:trPr>
          <w:tblCellSpacing w:w="15" w:type="dxa"/>
        </w:trPr>
        <w:tc>
          <w:tcPr>
            <w:tcW w:w="0" w:type="auto"/>
            <w:vAlign w:val="center"/>
            <w:hideMark/>
          </w:tcPr>
          <w:p w14:paraId="0E9A783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Tool use</w:t>
            </w:r>
          </w:p>
        </w:tc>
        <w:tc>
          <w:tcPr>
            <w:tcW w:w="0" w:type="auto"/>
            <w:vAlign w:val="center"/>
            <w:hideMark/>
          </w:tcPr>
          <w:p w14:paraId="5701FF4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Can the model coordinate external systems effectively?</w:t>
            </w:r>
          </w:p>
        </w:tc>
        <w:tc>
          <w:tcPr>
            <w:tcW w:w="0" w:type="auto"/>
            <w:vAlign w:val="center"/>
            <w:hideMark/>
          </w:tcPr>
          <w:p w14:paraId="02AB8DA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Critical for retrieval-augmented generation and agent-oriented architectures.</w:t>
            </w:r>
          </w:p>
        </w:tc>
      </w:tr>
      <w:tr w:rsidR="00370E1E" w:rsidRPr="0017187C" w14:paraId="7FBA970E" w14:textId="77777777" w:rsidTr="0017187C">
        <w:trPr>
          <w:tblCellSpacing w:w="15" w:type="dxa"/>
        </w:trPr>
        <w:tc>
          <w:tcPr>
            <w:tcW w:w="0" w:type="auto"/>
            <w:vAlign w:val="center"/>
            <w:hideMark/>
          </w:tcPr>
          <w:p w14:paraId="0A5A9CFD"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Multimodal capability</w:t>
            </w:r>
          </w:p>
        </w:tc>
        <w:tc>
          <w:tcPr>
            <w:tcW w:w="0" w:type="auto"/>
            <w:vAlign w:val="center"/>
            <w:hideMark/>
          </w:tcPr>
          <w:p w14:paraId="51455CC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Which input and output modalities are supported?</w:t>
            </w:r>
          </w:p>
        </w:tc>
        <w:tc>
          <w:tcPr>
            <w:tcW w:w="0" w:type="auto"/>
            <w:vAlign w:val="center"/>
            <w:hideMark/>
          </w:tcPr>
          <w:p w14:paraId="6D054F2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Determines suitability for document, vision, and audio applications.</w:t>
            </w:r>
          </w:p>
        </w:tc>
      </w:tr>
      <w:tr w:rsidR="00370E1E" w:rsidRPr="0017187C" w14:paraId="74A947E9" w14:textId="77777777" w:rsidTr="0017187C">
        <w:trPr>
          <w:tblCellSpacing w:w="15" w:type="dxa"/>
        </w:trPr>
        <w:tc>
          <w:tcPr>
            <w:tcW w:w="0" w:type="auto"/>
            <w:vAlign w:val="center"/>
            <w:hideMark/>
          </w:tcPr>
          <w:p w14:paraId="3441F91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Context handling</w:t>
            </w:r>
          </w:p>
        </w:tc>
        <w:tc>
          <w:tcPr>
            <w:tcW w:w="0" w:type="auto"/>
            <w:vAlign w:val="center"/>
            <w:hideMark/>
          </w:tcPr>
          <w:p w14:paraId="61FD845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How effectively does the model utilize long inputs?</w:t>
            </w:r>
          </w:p>
        </w:tc>
        <w:tc>
          <w:tcPr>
            <w:tcW w:w="0" w:type="auto"/>
            <w:vAlign w:val="center"/>
            <w:hideMark/>
          </w:tcPr>
          <w:p w14:paraId="55CB55D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Influences document processing and conversational applications.</w:t>
            </w:r>
          </w:p>
        </w:tc>
      </w:tr>
      <w:tr w:rsidR="00370E1E" w:rsidRPr="0017187C" w14:paraId="3BBC08B6" w14:textId="77777777" w:rsidTr="0017187C">
        <w:trPr>
          <w:tblCellSpacing w:w="15" w:type="dxa"/>
        </w:trPr>
        <w:tc>
          <w:tcPr>
            <w:tcW w:w="0" w:type="auto"/>
            <w:vAlign w:val="center"/>
            <w:hideMark/>
          </w:tcPr>
          <w:p w14:paraId="1D38ACE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Structured outputs</w:t>
            </w:r>
          </w:p>
        </w:tc>
        <w:tc>
          <w:tcPr>
            <w:tcW w:w="0" w:type="auto"/>
            <w:vAlign w:val="center"/>
            <w:hideMark/>
          </w:tcPr>
          <w:p w14:paraId="224F06E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Can responses reliably conform to predefined schemas?</w:t>
            </w:r>
          </w:p>
        </w:tc>
        <w:tc>
          <w:tcPr>
            <w:tcW w:w="0" w:type="auto"/>
            <w:vAlign w:val="center"/>
            <w:hideMark/>
          </w:tcPr>
          <w:p w14:paraId="4CC8504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Simplifies enterprise integration and workflow automation.</w:t>
            </w:r>
          </w:p>
        </w:tc>
      </w:tr>
      <w:tr w:rsidR="00370E1E" w:rsidRPr="0017187C" w14:paraId="08EBAD5C" w14:textId="77777777" w:rsidTr="0017187C">
        <w:trPr>
          <w:tblCellSpacing w:w="15" w:type="dxa"/>
        </w:trPr>
        <w:tc>
          <w:tcPr>
            <w:tcW w:w="0" w:type="auto"/>
            <w:vAlign w:val="center"/>
            <w:hideMark/>
          </w:tcPr>
          <w:p w14:paraId="37A6F6F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lastRenderedPageBreak/>
              <w:t>Latency and throughput</w:t>
            </w:r>
          </w:p>
        </w:tc>
        <w:tc>
          <w:tcPr>
            <w:tcW w:w="0" w:type="auto"/>
            <w:vAlign w:val="center"/>
            <w:hideMark/>
          </w:tcPr>
          <w:p w14:paraId="1B5C910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How quickly are responses generated under expected workloads?</w:t>
            </w:r>
          </w:p>
        </w:tc>
        <w:tc>
          <w:tcPr>
            <w:tcW w:w="0" w:type="auto"/>
            <w:vAlign w:val="center"/>
            <w:hideMark/>
          </w:tcPr>
          <w:p w14:paraId="4934C80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Directly affects user experience and capacity planning.</w:t>
            </w:r>
          </w:p>
        </w:tc>
      </w:tr>
      <w:tr w:rsidR="00370E1E" w:rsidRPr="0017187C" w14:paraId="1EB21A1C" w14:textId="77777777" w:rsidTr="0017187C">
        <w:trPr>
          <w:tblCellSpacing w:w="15" w:type="dxa"/>
        </w:trPr>
        <w:tc>
          <w:tcPr>
            <w:tcW w:w="0" w:type="auto"/>
            <w:vAlign w:val="center"/>
            <w:hideMark/>
          </w:tcPr>
          <w:p w14:paraId="546667F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Cost</w:t>
            </w:r>
          </w:p>
        </w:tc>
        <w:tc>
          <w:tcPr>
            <w:tcW w:w="0" w:type="auto"/>
            <w:vAlign w:val="center"/>
            <w:hideMark/>
          </w:tcPr>
          <w:p w14:paraId="77AEEB0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What is the total application cost under realistic workloads?</w:t>
            </w:r>
          </w:p>
        </w:tc>
        <w:tc>
          <w:tcPr>
            <w:tcW w:w="0" w:type="auto"/>
            <w:vAlign w:val="center"/>
            <w:hideMark/>
          </w:tcPr>
          <w:p w14:paraId="0C7C7C1D"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Influences architectural sustainability rather than individual request optimization.</w:t>
            </w:r>
          </w:p>
        </w:tc>
      </w:tr>
    </w:tbl>
    <w:p w14:paraId="31A0792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model selection should therefore be viewed as an iterative engineering process rather than a one-time procurement decision. As models evolve, workloads change, and application requirements mature, organizations should expect model selection to remain an ongoing component of platform governance.</w:t>
      </w:r>
    </w:p>
    <w:p w14:paraId="7454332A" w14:textId="77777777" w:rsidR="00370E1E" w:rsidRPr="00370E1E" w:rsidRDefault="0017187C" w:rsidP="00370E1E">
      <w:pPr>
        <w:rPr>
          <w:rFonts w:ascii="Calibri" w:eastAsia="Calibri" w:hAnsi="Calibri" w:cs="Times New Roman"/>
          <w:sz w:val="24"/>
        </w:rPr>
      </w:pPr>
      <w:r>
        <w:rPr>
          <w:rFonts w:ascii="Calibri" w:eastAsia="Calibri" w:hAnsi="Calibri" w:cs="Times New Roman"/>
          <w:sz w:val="24"/>
        </w:rPr>
        <w:pict w14:anchorId="44E33DE5">
          <v:rect id="_x0000_i1029" style="width:0;height:1.5pt" o:hralign="center" o:hrstd="t" o:hr="t" fillcolor="#a0a0a0" stroked="f"/>
        </w:pict>
      </w:r>
    </w:p>
    <w:p w14:paraId="5D3BD156"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3.8 Service-Level Characteristics</w:t>
      </w:r>
    </w:p>
    <w:p w14:paraId="5ADAAC7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Foundation model capability represents only one dimension of production quality. Once an AI application enters continuous operation, service-level characteristics frequently become the dominant engineering concern.</w:t>
      </w:r>
    </w:p>
    <w:p w14:paraId="1217B52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Users rarely distinguish between a model producing an incorrect response and a service failing to respond at all. Consequently, production AI systems must evaluate operational behavior with the same rigor traditionally applied to distributed cloud services.</w:t>
      </w:r>
    </w:p>
    <w:p w14:paraId="328DD4D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AI platforms increasingly publish operational characteristics describing availability expectations, request limits, latency behavior, regional deployment, supported service tiers, and operational constraints. These characteristics define the practical operating envelope within which applications must function.</w:t>
      </w:r>
    </w:p>
    <w:p w14:paraId="062BFC81"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Latency</w:t>
      </w:r>
    </w:p>
    <w:p w14:paraId="608288A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Latency is commonly perceived as the time required to generate a response, but production systems distinguish between several forms of latency.</w:t>
      </w:r>
    </w:p>
    <w:p w14:paraId="0AC1337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Time to first token (TTFT)</w:t>
      </w:r>
      <w:r w:rsidRPr="00370E1E">
        <w:rPr>
          <w:rFonts w:ascii="Times New Roman" w:eastAsia="Times New Roman" w:hAnsi="Times New Roman" w:cs="Times New Roman"/>
          <w:sz w:val="28"/>
          <w:szCs w:val="24"/>
        </w:rPr>
        <w:t xml:space="preserve"> measures the interval between request submission and delivery of the first generated token. For conversational interfaces, this metric often dominates perceived responsiveness.</w:t>
      </w:r>
    </w:p>
    <w:p w14:paraId="30DFB93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Time to last token (TTLT)</w:t>
      </w:r>
      <w:r w:rsidRPr="00370E1E">
        <w:rPr>
          <w:rFonts w:ascii="Times New Roman" w:eastAsia="Times New Roman" w:hAnsi="Times New Roman" w:cs="Times New Roman"/>
          <w:sz w:val="28"/>
          <w:szCs w:val="24"/>
        </w:rPr>
        <w:t xml:space="preserve"> measures complete response generation.</w:t>
      </w:r>
    </w:p>
    <w:p w14:paraId="11D239A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Streaming architectures frequently reduce perceived latency because users begin receiving output long before generation completes.</w:t>
      </w:r>
    </w:p>
    <w:p w14:paraId="48FB2D2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Numerous factors influence latency beyond the model itself.</w:t>
      </w:r>
    </w:p>
    <w:p w14:paraId="6700682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Request size, context length, concurrent system load, regional deployment, tool execution, network distance, batching strategies, and provider scheduling policies all contribute to observed response times.</w:t>
      </w:r>
    </w:p>
    <w:p w14:paraId="15A81CA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Consequently, organizations should evaluate latency under realistic production conditions rather than relying exclusively on published averages.</w:t>
      </w:r>
    </w:p>
    <w:p w14:paraId="6D5FD189"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Availability</w:t>
      </w:r>
    </w:p>
    <w:p w14:paraId="0FF66EA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AI services increasingly publish availability objectives through service-level agreements (SLAs) or service-level objectives (SLOs), particularly for enterprise offerings.</w:t>
      </w:r>
    </w:p>
    <w:p w14:paraId="7C00D11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Availability encompasses more than simple uptime.</w:t>
      </w:r>
    </w:p>
    <w:p w14:paraId="46615A6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 service experiencing severe rate limiting, excessive latency, or widespread request failures may technically remain operational while failing to satisfy application requirements.</w:t>
      </w:r>
    </w:p>
    <w:p w14:paraId="1FD7257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Mission-critical applications therefore frequently incorporate resilience mechanisms including retries, circuit breakers, provider failover, graceful degradation, and fallback models.</w:t>
      </w:r>
    </w:p>
    <w:p w14:paraId="1BC561E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architectural patterns are discussed in greater detail in Chapters 6 and 15.</w:t>
      </w:r>
    </w:p>
    <w:p w14:paraId="7E4AD288"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Capacity and Rate Limits</w:t>
      </w:r>
    </w:p>
    <w:p w14:paraId="177B9AE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Every commercial platform imposes operational constraints.</w:t>
      </w:r>
    </w:p>
    <w:p w14:paraId="7BF24E2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constraints may include:</w:t>
      </w:r>
    </w:p>
    <w:p w14:paraId="19AE38BE" w14:textId="77777777" w:rsidR="00370E1E" w:rsidRPr="0017187C" w:rsidRDefault="00370E1E" w:rsidP="00370E1E">
      <w:pPr>
        <w:numPr>
          <w:ilvl w:val="0"/>
          <w:numId w:val="8"/>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requests per minute, </w:t>
      </w:r>
    </w:p>
    <w:p w14:paraId="4BC39894" w14:textId="77777777" w:rsidR="00370E1E" w:rsidRPr="0017187C" w:rsidRDefault="00370E1E" w:rsidP="00370E1E">
      <w:pPr>
        <w:numPr>
          <w:ilvl w:val="0"/>
          <w:numId w:val="8"/>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tokens per minute, </w:t>
      </w:r>
    </w:p>
    <w:p w14:paraId="29C15184" w14:textId="77777777" w:rsidR="00370E1E" w:rsidRPr="0017187C" w:rsidRDefault="00370E1E" w:rsidP="00370E1E">
      <w:pPr>
        <w:numPr>
          <w:ilvl w:val="0"/>
          <w:numId w:val="8"/>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concurrent requests, </w:t>
      </w:r>
    </w:p>
    <w:p w14:paraId="7860F012" w14:textId="77777777" w:rsidR="00370E1E" w:rsidRPr="0017187C" w:rsidRDefault="00370E1E" w:rsidP="00370E1E">
      <w:pPr>
        <w:numPr>
          <w:ilvl w:val="0"/>
          <w:numId w:val="8"/>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daily quotas, </w:t>
      </w:r>
    </w:p>
    <w:p w14:paraId="39E6C871" w14:textId="77777777" w:rsidR="00370E1E" w:rsidRPr="0017187C" w:rsidRDefault="00370E1E" w:rsidP="00370E1E">
      <w:pPr>
        <w:numPr>
          <w:ilvl w:val="0"/>
          <w:numId w:val="8"/>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organization-wide capacity limits, </w:t>
      </w:r>
    </w:p>
    <w:p w14:paraId="65A47216" w14:textId="77777777" w:rsidR="00370E1E" w:rsidRPr="0017187C" w:rsidRDefault="00370E1E" w:rsidP="00370E1E">
      <w:pPr>
        <w:numPr>
          <w:ilvl w:val="0"/>
          <w:numId w:val="8"/>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regional availability restrictions, </w:t>
      </w:r>
    </w:p>
    <w:p w14:paraId="70B9AA6E" w14:textId="77777777" w:rsidR="00370E1E" w:rsidRPr="0017187C" w:rsidRDefault="00370E1E" w:rsidP="00370E1E">
      <w:pPr>
        <w:numPr>
          <w:ilvl w:val="0"/>
          <w:numId w:val="8"/>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or provisioned throughput allocations. </w:t>
      </w:r>
    </w:p>
    <w:p w14:paraId="1DCC222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Rate limits protect shared infrastructure while allowing providers to manage capacity predictably.</w:t>
      </w:r>
    </w:p>
    <w:p w14:paraId="3B46936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From an architectural perspective, they also require applications to implement admission control, backoff strategies, retry policies, and workload scheduling.</w:t>
      </w:r>
    </w:p>
    <w:p w14:paraId="1D908A9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Ignoring quota behavior frequently results in production instability despite otherwise correct application logic.</w:t>
      </w:r>
    </w:p>
    <w:p w14:paraId="4D22807A"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Regional Deployment and Data Residency</w:t>
      </w:r>
    </w:p>
    <w:p w14:paraId="3FA7A13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Increasing regulatory attention has made deployment geography an important architectural consideration.</w:t>
      </w:r>
    </w:p>
    <w:p w14:paraId="1CDF724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operating within regulated industries may require inference to remain within specified jurisdictions. Commercial providers increasingly support multiple deployment regions, sovereign cloud environments, and private networking options that allow organizations to satisfy regulatory obligations while continuing to consume managed AI services.</w:t>
      </w:r>
    </w:p>
    <w:p w14:paraId="432EC37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Regional deployment also influences latency.</w:t>
      </w:r>
    </w:p>
    <w:p w14:paraId="740E5BC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Selecting geographically appropriate inference regions can substantially reduce network round-trip times, particularly for highly interactive applications.</w:t>
      </w:r>
    </w:p>
    <w:p w14:paraId="65E3415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However, regional availability often varies among models. New model releases may initially appear in limited regions before expanding globally, creating temporary differences between capability availability and organizational deployment requirements.</w:t>
      </w:r>
    </w:p>
    <w:p w14:paraId="5A4FCB54"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Operational Consistency</w:t>
      </w:r>
    </w:p>
    <w:p w14:paraId="42382BF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Another characteristic often overlooked during initial evaluation is operational consistency.</w:t>
      </w:r>
    </w:p>
    <w:p w14:paraId="7FFC2D8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Production systems value predictability.</w:t>
      </w:r>
    </w:p>
    <w:p w14:paraId="086C4D3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Consistent latency distributions, stable quotas, reliable documentation, transparent maintenance schedules, and well-defined lifecycle policies simplify operational planning far more than occasional peak performance.</w:t>
      </w:r>
    </w:p>
    <w:p w14:paraId="3DDC274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Similarly, providers increasingly communicate planned maintenance windows, preview features, deprecation schedules, and service health information through dedicated status pages and operational documentation.</w:t>
      </w:r>
    </w:p>
    <w:p w14:paraId="41DAB96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Engineering teams should incorporate these operational characteristics into service evaluation rather than considering only inference quality.</w:t>
      </w:r>
    </w:p>
    <w:p w14:paraId="7F06DD75"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lastRenderedPageBreak/>
        <w:t>Measuring Service Characteristics</w:t>
      </w:r>
    </w:p>
    <w:p w14:paraId="456AD12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should independently measure provider behavior using representative workloads.</w:t>
      </w:r>
    </w:p>
    <w:p w14:paraId="2DE7BF5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Published service documentation describes intended operational behavior but cannot substitute for workload-specific measurement.</w:t>
      </w:r>
    </w:p>
    <w:p w14:paraId="2EA3EFC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Engineering teams commonly collect metrics including:</w:t>
      </w:r>
    </w:p>
    <w:p w14:paraId="62318AB7" w14:textId="77777777" w:rsidR="00370E1E" w:rsidRPr="0017187C" w:rsidRDefault="00370E1E" w:rsidP="00370E1E">
      <w:pPr>
        <w:numPr>
          <w:ilvl w:val="0"/>
          <w:numId w:val="9"/>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latency percentiles, </w:t>
      </w:r>
    </w:p>
    <w:p w14:paraId="21A372E3" w14:textId="77777777" w:rsidR="00370E1E" w:rsidRPr="0017187C" w:rsidRDefault="00370E1E" w:rsidP="00370E1E">
      <w:pPr>
        <w:numPr>
          <w:ilvl w:val="0"/>
          <w:numId w:val="9"/>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success rates, </w:t>
      </w:r>
    </w:p>
    <w:p w14:paraId="167B313B" w14:textId="77777777" w:rsidR="00370E1E" w:rsidRPr="0017187C" w:rsidRDefault="00370E1E" w:rsidP="00370E1E">
      <w:pPr>
        <w:numPr>
          <w:ilvl w:val="0"/>
          <w:numId w:val="9"/>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streaming performance, </w:t>
      </w:r>
    </w:p>
    <w:p w14:paraId="0F1C51D8" w14:textId="77777777" w:rsidR="00370E1E" w:rsidRPr="0017187C" w:rsidRDefault="00370E1E" w:rsidP="00370E1E">
      <w:pPr>
        <w:numPr>
          <w:ilvl w:val="0"/>
          <w:numId w:val="9"/>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rate-limit frequency, </w:t>
      </w:r>
    </w:p>
    <w:p w14:paraId="4C7C81CB" w14:textId="77777777" w:rsidR="00370E1E" w:rsidRPr="0017187C" w:rsidRDefault="00370E1E" w:rsidP="00370E1E">
      <w:pPr>
        <w:numPr>
          <w:ilvl w:val="0"/>
          <w:numId w:val="9"/>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retry effectiveness, </w:t>
      </w:r>
    </w:p>
    <w:p w14:paraId="5F8C16AB" w14:textId="77777777" w:rsidR="00370E1E" w:rsidRPr="0017187C" w:rsidRDefault="00370E1E" w:rsidP="00370E1E">
      <w:pPr>
        <w:numPr>
          <w:ilvl w:val="0"/>
          <w:numId w:val="9"/>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and regional variability. </w:t>
      </w:r>
    </w:p>
    <w:p w14:paraId="1C4E9AB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design of comprehensive observability systems—including metrics, distributed tracing, logging, dashboards, and incident investigation—is presented in Chapter 15. At this stage it is sufficient to recognize that commercial AI services should be measured using the same operational discipline applied to any distributed production dependency.</w:t>
      </w:r>
    </w:p>
    <w:p w14:paraId="0E92AE0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3-7. Important Service-Level Characteristics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26"/>
        <w:gridCol w:w="3402"/>
        <w:gridCol w:w="4127"/>
      </w:tblGrid>
      <w:tr w:rsidR="00370E1E" w:rsidRPr="0017187C" w14:paraId="6AA6F055" w14:textId="77777777" w:rsidTr="0017187C">
        <w:trPr>
          <w:tblHeader/>
          <w:tblCellSpacing w:w="15" w:type="dxa"/>
        </w:trPr>
        <w:tc>
          <w:tcPr>
            <w:tcW w:w="0" w:type="auto"/>
            <w:vAlign w:val="center"/>
            <w:hideMark/>
          </w:tcPr>
          <w:p w14:paraId="2C2B484B"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Characteristic</w:t>
            </w:r>
          </w:p>
        </w:tc>
        <w:tc>
          <w:tcPr>
            <w:tcW w:w="0" w:type="auto"/>
            <w:vAlign w:val="center"/>
            <w:hideMark/>
          </w:tcPr>
          <w:p w14:paraId="1381217E"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Engineering Significance</w:t>
            </w:r>
          </w:p>
        </w:tc>
        <w:tc>
          <w:tcPr>
            <w:tcW w:w="0" w:type="auto"/>
            <w:vAlign w:val="center"/>
            <w:hideMark/>
          </w:tcPr>
          <w:p w14:paraId="5BEE93BF"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Typical Architectural Response</w:t>
            </w:r>
          </w:p>
        </w:tc>
      </w:tr>
      <w:tr w:rsidR="00370E1E" w:rsidRPr="0017187C" w14:paraId="7C1D9461" w14:textId="77777777" w:rsidTr="0017187C">
        <w:trPr>
          <w:tblCellSpacing w:w="15" w:type="dxa"/>
        </w:trPr>
        <w:tc>
          <w:tcPr>
            <w:tcW w:w="0" w:type="auto"/>
            <w:vAlign w:val="center"/>
            <w:hideMark/>
          </w:tcPr>
          <w:p w14:paraId="215EE6F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Time to first token</w:t>
            </w:r>
          </w:p>
        </w:tc>
        <w:tc>
          <w:tcPr>
            <w:tcW w:w="0" w:type="auto"/>
            <w:vAlign w:val="center"/>
            <w:hideMark/>
          </w:tcPr>
          <w:p w14:paraId="50CE5AE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Determines perceived responsiveness for interactive applications.</w:t>
            </w:r>
          </w:p>
        </w:tc>
        <w:tc>
          <w:tcPr>
            <w:tcW w:w="0" w:type="auto"/>
            <w:vAlign w:val="center"/>
            <w:hideMark/>
          </w:tcPr>
          <w:p w14:paraId="1782485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Prefer streaming interfaces and geographically appropriate deployment regions.</w:t>
            </w:r>
          </w:p>
        </w:tc>
      </w:tr>
      <w:tr w:rsidR="00370E1E" w:rsidRPr="0017187C" w14:paraId="2CA42154" w14:textId="77777777" w:rsidTr="0017187C">
        <w:trPr>
          <w:tblCellSpacing w:w="15" w:type="dxa"/>
        </w:trPr>
        <w:tc>
          <w:tcPr>
            <w:tcW w:w="0" w:type="auto"/>
            <w:vAlign w:val="center"/>
            <w:hideMark/>
          </w:tcPr>
          <w:p w14:paraId="15D2539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Total response latency</w:t>
            </w:r>
          </w:p>
        </w:tc>
        <w:tc>
          <w:tcPr>
            <w:tcW w:w="0" w:type="auto"/>
            <w:vAlign w:val="center"/>
            <w:hideMark/>
          </w:tcPr>
          <w:p w14:paraId="40DD6F3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Influences workflow completion time.</w:t>
            </w:r>
          </w:p>
        </w:tc>
        <w:tc>
          <w:tcPr>
            <w:tcW w:w="0" w:type="auto"/>
            <w:vAlign w:val="center"/>
            <w:hideMark/>
          </w:tcPr>
          <w:p w14:paraId="09FF928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Optimize request size, batching, and provider selection.</w:t>
            </w:r>
          </w:p>
        </w:tc>
      </w:tr>
      <w:tr w:rsidR="00370E1E" w:rsidRPr="0017187C" w14:paraId="61B08A86" w14:textId="77777777" w:rsidTr="0017187C">
        <w:trPr>
          <w:tblCellSpacing w:w="15" w:type="dxa"/>
        </w:trPr>
        <w:tc>
          <w:tcPr>
            <w:tcW w:w="0" w:type="auto"/>
            <w:vAlign w:val="center"/>
            <w:hideMark/>
          </w:tcPr>
          <w:p w14:paraId="2F9F4B6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Availability</w:t>
            </w:r>
          </w:p>
        </w:tc>
        <w:tc>
          <w:tcPr>
            <w:tcW w:w="0" w:type="auto"/>
            <w:vAlign w:val="center"/>
            <w:hideMark/>
          </w:tcPr>
          <w:p w14:paraId="0D1CE852"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Determines application reliability.</w:t>
            </w:r>
          </w:p>
        </w:tc>
        <w:tc>
          <w:tcPr>
            <w:tcW w:w="0" w:type="auto"/>
            <w:vAlign w:val="center"/>
            <w:hideMark/>
          </w:tcPr>
          <w:p w14:paraId="290937DB"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Implement retries, fallback providers, and resilience mechanisms.</w:t>
            </w:r>
          </w:p>
        </w:tc>
      </w:tr>
      <w:tr w:rsidR="00370E1E" w:rsidRPr="0017187C" w14:paraId="62863CB4" w14:textId="77777777" w:rsidTr="0017187C">
        <w:trPr>
          <w:tblCellSpacing w:w="15" w:type="dxa"/>
        </w:trPr>
        <w:tc>
          <w:tcPr>
            <w:tcW w:w="0" w:type="auto"/>
            <w:vAlign w:val="center"/>
            <w:hideMark/>
          </w:tcPr>
          <w:p w14:paraId="4CBF18D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Rate limits</w:t>
            </w:r>
          </w:p>
        </w:tc>
        <w:tc>
          <w:tcPr>
            <w:tcW w:w="0" w:type="auto"/>
            <w:vAlign w:val="center"/>
            <w:hideMark/>
          </w:tcPr>
          <w:p w14:paraId="5A28A1A2"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Constrain throughput and scalability.</w:t>
            </w:r>
          </w:p>
        </w:tc>
        <w:tc>
          <w:tcPr>
            <w:tcW w:w="0" w:type="auto"/>
            <w:vAlign w:val="center"/>
            <w:hideMark/>
          </w:tcPr>
          <w:p w14:paraId="63CDA02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Apply admission control, exponential backoff, and workload scheduling.</w:t>
            </w:r>
          </w:p>
        </w:tc>
      </w:tr>
      <w:tr w:rsidR="00370E1E" w:rsidRPr="0017187C" w14:paraId="37018DC8" w14:textId="77777777" w:rsidTr="0017187C">
        <w:trPr>
          <w:tblCellSpacing w:w="15" w:type="dxa"/>
        </w:trPr>
        <w:tc>
          <w:tcPr>
            <w:tcW w:w="0" w:type="auto"/>
            <w:vAlign w:val="center"/>
            <w:hideMark/>
          </w:tcPr>
          <w:p w14:paraId="52D3B03D"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Regional deployment</w:t>
            </w:r>
          </w:p>
        </w:tc>
        <w:tc>
          <w:tcPr>
            <w:tcW w:w="0" w:type="auto"/>
            <w:vAlign w:val="center"/>
            <w:hideMark/>
          </w:tcPr>
          <w:p w14:paraId="1E1CEEC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Influences compliance and network latency.</w:t>
            </w:r>
          </w:p>
        </w:tc>
        <w:tc>
          <w:tcPr>
            <w:tcW w:w="0" w:type="auto"/>
            <w:vAlign w:val="center"/>
            <w:hideMark/>
          </w:tcPr>
          <w:p w14:paraId="5700066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Select deployment regions consistent with regulatory and operational requirements.</w:t>
            </w:r>
          </w:p>
        </w:tc>
      </w:tr>
      <w:tr w:rsidR="00370E1E" w:rsidRPr="0017187C" w14:paraId="12D5C7CB" w14:textId="77777777" w:rsidTr="0017187C">
        <w:trPr>
          <w:tblCellSpacing w:w="15" w:type="dxa"/>
        </w:trPr>
        <w:tc>
          <w:tcPr>
            <w:tcW w:w="0" w:type="auto"/>
            <w:vAlign w:val="center"/>
            <w:hideMark/>
          </w:tcPr>
          <w:p w14:paraId="51A903A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Lifecycle transparency</w:t>
            </w:r>
          </w:p>
        </w:tc>
        <w:tc>
          <w:tcPr>
            <w:tcW w:w="0" w:type="auto"/>
            <w:vAlign w:val="center"/>
            <w:hideMark/>
          </w:tcPr>
          <w:p w14:paraId="5BFD066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Supports predictable operations and maintenance.</w:t>
            </w:r>
          </w:p>
        </w:tc>
        <w:tc>
          <w:tcPr>
            <w:tcW w:w="0" w:type="auto"/>
            <w:vAlign w:val="center"/>
            <w:hideMark/>
          </w:tcPr>
          <w:p w14:paraId="14EAE812"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Monitor provider announcements and integrate regression testing before upgrades.</w:t>
            </w:r>
          </w:p>
        </w:tc>
      </w:tr>
    </w:tbl>
    <w:p w14:paraId="2E5E74A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Operational characteristics should therefore be viewed as first-class architectural requirements rather than implementation details. In many enterprise deployments, these characteristics ultimately determine whether an AI service can be adopted successfully.</w:t>
      </w:r>
    </w:p>
    <w:p w14:paraId="78AD6C66" w14:textId="77777777" w:rsidR="00370E1E" w:rsidRPr="00370E1E" w:rsidRDefault="0017187C" w:rsidP="00370E1E">
      <w:pPr>
        <w:rPr>
          <w:rFonts w:ascii="Calibri" w:eastAsia="Calibri" w:hAnsi="Calibri" w:cs="Times New Roman"/>
          <w:sz w:val="24"/>
        </w:rPr>
      </w:pPr>
      <w:r>
        <w:rPr>
          <w:rFonts w:ascii="Calibri" w:eastAsia="Calibri" w:hAnsi="Calibri" w:cs="Times New Roman"/>
          <w:sz w:val="24"/>
        </w:rPr>
        <w:pict w14:anchorId="5CCA58D3">
          <v:rect id="_x0000_i1030" style="width:0;height:1.5pt" o:hralign="center" o:hrstd="t" o:hr="t" fillcolor="#a0a0a0" stroked="f"/>
        </w:pict>
      </w:r>
    </w:p>
    <w:p w14:paraId="3024876E"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3.9 Model Versioning and Lifecycle Management</w:t>
      </w:r>
    </w:p>
    <w:p w14:paraId="046C62E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Unlike traditional software libraries, commercial foundation models evolve continuously under the control of the service provider. New capabilities are introduced, reasoning behavior changes, safety systems are refined, performance characteristics improve, and older versions are eventually retired.</w:t>
      </w:r>
    </w:p>
    <w:p w14:paraId="4D1AE68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continuous evolution presents both opportunities and operational risks.</w:t>
      </w:r>
    </w:p>
    <w:p w14:paraId="1C0A7BC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benefit from ongoing model improvements without retraining or redeploying models themselves. At the same time, applications consuming managed AI services must accommodate the reality that model behavior is not static.</w:t>
      </w:r>
    </w:p>
    <w:p w14:paraId="593B0D4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Consequently, model lifecycle management has become a fundamental aspect of production AI engineering.</w:t>
      </w:r>
    </w:p>
    <w:p w14:paraId="49795F65"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Models as Continuously Evolving Services</w:t>
      </w:r>
    </w:p>
    <w:p w14:paraId="504D702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Traditional software versioning assumes that applications explicitly select dependency versions and upgrade them according to organizational schedules.</w:t>
      </w:r>
    </w:p>
    <w:p w14:paraId="45D5109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AI services partially reverse this relationship.</w:t>
      </w:r>
    </w:p>
    <w:p w14:paraId="19EA4B1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Providers remain responsible for maintaining the underlying models, while customers consume continuously evolving services through documented interfaces.</w:t>
      </w:r>
    </w:p>
    <w:p w14:paraId="4C4EBFB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Some providers expose explicit version identifiers or dated model snapshots.</w:t>
      </w:r>
    </w:p>
    <w:p w14:paraId="041CAE1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Others offer stable aliases representing the currently recommended production version.</w:t>
      </w:r>
    </w:p>
    <w:p w14:paraId="5B4F521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Both approaches attempt to balance innovation with operational stability.</w:t>
      </w:r>
    </w:p>
    <w:p w14:paraId="0D0D1CD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Snapshot versions provide reproducibility.</w:t>
      </w:r>
    </w:p>
    <w:p w14:paraId="4B19225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Aliases simplify ongoing adoption of provider improvements.</w:t>
      </w:r>
    </w:p>
    <w:p w14:paraId="1E46B46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Neither approach is universally preferable; each serves different operational objectives.</w:t>
      </w:r>
    </w:p>
    <w:p w14:paraId="19839CA0"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Preview, General Availability, and Deprecation</w:t>
      </w:r>
    </w:p>
    <w:p w14:paraId="691C6B5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providers commonly organize model lifecycles into several stages.</w:t>
      </w:r>
    </w:p>
    <w:p w14:paraId="024F7BF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Preview releases allow customers to evaluate emerging capabilities before production support is guaranteed.</w:t>
      </w:r>
    </w:p>
    <w:p w14:paraId="3E53A0E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General Availability (GA) indicates that the provider considers the service suitable for production workloads and typically accompanies stronger operational commitments.</w:t>
      </w:r>
    </w:p>
    <w:p w14:paraId="294F8BA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Eventually, older models enter deprecation periods during which providers announce retirement schedules and encourage migration toward newer versions.</w:t>
      </w:r>
    </w:p>
    <w:p w14:paraId="6BADE4E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lifecycle stages allow organizations to balance early access against operational stability.</w:t>
      </w:r>
    </w:p>
    <w:p w14:paraId="093269B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Production systems supporting critical business functions frequently avoid preview models except within controlled evaluation environments.</w:t>
      </w:r>
    </w:p>
    <w:p w14:paraId="6E0DC979"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Behavioral Drift</w:t>
      </w:r>
    </w:p>
    <w:p w14:paraId="21F711C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One of the defining characteristics of foundation models is that improvements rarely affect only a single capability.</w:t>
      </w:r>
    </w:p>
    <w:p w14:paraId="1E72E69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Changes intended to improve reasoning may influence formatting behavior.</w:t>
      </w:r>
    </w:p>
    <w:p w14:paraId="39046DF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Safety adjustments may alter response style.</w:t>
      </w:r>
    </w:p>
    <w:p w14:paraId="79FB916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Tool-calling improvements may affect structured outputs.</w:t>
      </w:r>
    </w:p>
    <w:p w14:paraId="4305A26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Consequently, applications may experience </w:t>
      </w:r>
      <w:r w:rsidRPr="00370E1E">
        <w:rPr>
          <w:rFonts w:ascii="Times New Roman" w:eastAsia="Times New Roman" w:hAnsi="Times New Roman" w:cs="Times New Roman"/>
          <w:b/>
          <w:bCs/>
          <w:sz w:val="28"/>
          <w:szCs w:val="24"/>
        </w:rPr>
        <w:t>behavioral drift</w:t>
      </w:r>
      <w:r w:rsidRPr="00370E1E">
        <w:rPr>
          <w:rFonts w:ascii="Times New Roman" w:eastAsia="Times New Roman" w:hAnsi="Times New Roman" w:cs="Times New Roman"/>
          <w:sz w:val="28"/>
          <w:szCs w:val="24"/>
        </w:rPr>
        <w:t xml:space="preserve"> even when API contracts remain unchanged.</w:t>
      </w:r>
    </w:p>
    <w:p w14:paraId="4A34845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Behavioral drift does not necessarily indicate regressions.</w:t>
      </w:r>
    </w:p>
    <w:p w14:paraId="5BC6C50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Many changes represent genuine improvements.</w:t>
      </w:r>
    </w:p>
    <w:p w14:paraId="738207F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challenge is that application behavior may nevertheless change in ways requiring validation.</w:t>
      </w:r>
    </w:p>
    <w:p w14:paraId="5E7982A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For example, a document extraction pipeline depending upon highly consistent formatting may require modification after a model update even if overall reasoning quality has improved.</w:t>
      </w:r>
    </w:p>
    <w:p w14:paraId="7696F3CC"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lastRenderedPageBreak/>
        <w:t>Regression Testing</w:t>
      </w:r>
    </w:p>
    <w:p w14:paraId="1813C7D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Continuous model evolution makes regression testing an operational necessity rather than a quality assurance luxury.</w:t>
      </w:r>
    </w:p>
    <w:p w14:paraId="49E6E20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should maintain representative evaluation datasets reflecting actual production workloads.</w:t>
      </w:r>
    </w:p>
    <w:p w14:paraId="39799BE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Whenever models change, applications should be evaluated against these datasets to identify changes in correctness, latency, formatting, tool use, safety behavior, and overall application performance.</w:t>
      </w:r>
    </w:p>
    <w:p w14:paraId="095ECEB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Regression testing should include both automated evaluation and targeted human review where appropriate.</w:t>
      </w:r>
    </w:p>
    <w:p w14:paraId="152C847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design of evaluation pipelines, benchmark construction, and regression methodologies forms the subject of Chapter 13.</w:t>
      </w:r>
    </w:p>
    <w:p w14:paraId="67E1AD9A"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Migration Planning</w:t>
      </w:r>
    </w:p>
    <w:p w14:paraId="57CDE2E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Model retirement should be treated similarly to infrastructure migrations.</w:t>
      </w:r>
    </w:p>
    <w:p w14:paraId="1085CE3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should monitor provider announcements, understand deprecation schedules, allocate sufficient validation time, and perform controlled rollout rather than abrupt production replacement.</w:t>
      </w:r>
    </w:p>
    <w:p w14:paraId="784422B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Larger enterprises frequently evaluate new models in parallel with existing production deployments before gradually increasing traffic.</w:t>
      </w:r>
    </w:p>
    <w:p w14:paraId="68F3A19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phased migration approach reduces operational risk while allowing engineering teams to identify unexpected behavioral changes under realistic workloads.</w:t>
      </w:r>
    </w:p>
    <w:p w14:paraId="6589F33E"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Governance and Documentation</w:t>
      </w:r>
    </w:p>
    <w:p w14:paraId="78457AD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Lifecycle management also requires accurate documentation.</w:t>
      </w:r>
    </w:p>
    <w:p w14:paraId="1C87A5B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should record:</w:t>
      </w:r>
    </w:p>
    <w:p w14:paraId="1AEC2157" w14:textId="77777777" w:rsidR="00370E1E" w:rsidRPr="0017187C" w:rsidRDefault="00370E1E" w:rsidP="00370E1E">
      <w:pPr>
        <w:numPr>
          <w:ilvl w:val="0"/>
          <w:numId w:val="10"/>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approved production models, </w:t>
      </w:r>
    </w:p>
    <w:p w14:paraId="6FC7B642" w14:textId="77777777" w:rsidR="00370E1E" w:rsidRPr="0017187C" w:rsidRDefault="00370E1E" w:rsidP="00370E1E">
      <w:pPr>
        <w:numPr>
          <w:ilvl w:val="0"/>
          <w:numId w:val="10"/>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version identifiers, </w:t>
      </w:r>
    </w:p>
    <w:p w14:paraId="5BA7EFE5" w14:textId="77777777" w:rsidR="00370E1E" w:rsidRPr="0017187C" w:rsidRDefault="00370E1E" w:rsidP="00370E1E">
      <w:pPr>
        <w:numPr>
          <w:ilvl w:val="0"/>
          <w:numId w:val="10"/>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deployment regions, </w:t>
      </w:r>
    </w:p>
    <w:p w14:paraId="54AB1003" w14:textId="77777777" w:rsidR="00370E1E" w:rsidRPr="0017187C" w:rsidRDefault="00370E1E" w:rsidP="00370E1E">
      <w:pPr>
        <w:numPr>
          <w:ilvl w:val="0"/>
          <w:numId w:val="10"/>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evaluation results, </w:t>
      </w:r>
    </w:p>
    <w:p w14:paraId="41922B8A" w14:textId="77777777" w:rsidR="00370E1E" w:rsidRPr="0017187C" w:rsidRDefault="00370E1E" w:rsidP="00370E1E">
      <w:pPr>
        <w:numPr>
          <w:ilvl w:val="0"/>
          <w:numId w:val="10"/>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known limitations, </w:t>
      </w:r>
    </w:p>
    <w:p w14:paraId="1F9D2EEB" w14:textId="77777777" w:rsidR="00370E1E" w:rsidRPr="0017187C" w:rsidRDefault="00370E1E" w:rsidP="00370E1E">
      <w:pPr>
        <w:numPr>
          <w:ilvl w:val="0"/>
          <w:numId w:val="10"/>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migration history, </w:t>
      </w:r>
    </w:p>
    <w:p w14:paraId="6C1DA26B" w14:textId="77777777" w:rsidR="00370E1E" w:rsidRPr="0017187C" w:rsidRDefault="00370E1E" w:rsidP="00370E1E">
      <w:pPr>
        <w:numPr>
          <w:ilvl w:val="0"/>
          <w:numId w:val="10"/>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and organizational approval status. </w:t>
      </w:r>
    </w:p>
    <w:p w14:paraId="47ECD3C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These records simplify auditing, incident investigation, and future migration planning.</w:t>
      </w:r>
    </w:p>
    <w:p w14:paraId="6385BC0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As AI adoption expands across multiple business units, governance increasingly depends upon maintaining a clear inventory of approved model versions rather than allowing unrestricted model selection.</w:t>
      </w:r>
    </w:p>
    <w:p w14:paraId="1C8B5BF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Chapter 20 revisits this topic from the perspective of long-term platform maintenance.</w:t>
      </w:r>
    </w:p>
    <w:p w14:paraId="2954038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3-8. Typical Commercial Model Lifecycle</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598"/>
        <w:gridCol w:w="3726"/>
        <w:gridCol w:w="4031"/>
      </w:tblGrid>
      <w:tr w:rsidR="00370E1E" w:rsidRPr="0017187C" w14:paraId="19889ECF" w14:textId="77777777" w:rsidTr="0017187C">
        <w:trPr>
          <w:tblHeader/>
          <w:tblCellSpacing w:w="15" w:type="dxa"/>
        </w:trPr>
        <w:tc>
          <w:tcPr>
            <w:tcW w:w="0" w:type="auto"/>
            <w:vAlign w:val="center"/>
            <w:hideMark/>
          </w:tcPr>
          <w:p w14:paraId="17170724"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Lifecycle Stage</w:t>
            </w:r>
          </w:p>
        </w:tc>
        <w:tc>
          <w:tcPr>
            <w:tcW w:w="0" w:type="auto"/>
            <w:vAlign w:val="center"/>
            <w:hideMark/>
          </w:tcPr>
          <w:p w14:paraId="6979A80C"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Characteristics</w:t>
            </w:r>
          </w:p>
        </w:tc>
        <w:tc>
          <w:tcPr>
            <w:tcW w:w="0" w:type="auto"/>
            <w:vAlign w:val="center"/>
            <w:hideMark/>
          </w:tcPr>
          <w:p w14:paraId="7B30C87F"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Engineering Guidance</w:t>
            </w:r>
          </w:p>
        </w:tc>
      </w:tr>
      <w:tr w:rsidR="00370E1E" w:rsidRPr="0017187C" w14:paraId="4A86BA95" w14:textId="77777777" w:rsidTr="0017187C">
        <w:trPr>
          <w:tblCellSpacing w:w="15" w:type="dxa"/>
        </w:trPr>
        <w:tc>
          <w:tcPr>
            <w:tcW w:w="0" w:type="auto"/>
            <w:vAlign w:val="center"/>
            <w:hideMark/>
          </w:tcPr>
          <w:p w14:paraId="2941299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Preview</w:t>
            </w:r>
          </w:p>
        </w:tc>
        <w:tc>
          <w:tcPr>
            <w:tcW w:w="0" w:type="auto"/>
            <w:vAlign w:val="center"/>
            <w:hideMark/>
          </w:tcPr>
          <w:p w14:paraId="43E651A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Early access, evolving capabilities, limited operational guarantees</w:t>
            </w:r>
          </w:p>
        </w:tc>
        <w:tc>
          <w:tcPr>
            <w:tcW w:w="0" w:type="auto"/>
            <w:vAlign w:val="center"/>
            <w:hideMark/>
          </w:tcPr>
          <w:p w14:paraId="75D6BFBD"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Evaluate in controlled environments rather than production-critical systems.</w:t>
            </w:r>
          </w:p>
        </w:tc>
      </w:tr>
      <w:tr w:rsidR="00370E1E" w:rsidRPr="0017187C" w14:paraId="35C853DA" w14:textId="77777777" w:rsidTr="0017187C">
        <w:trPr>
          <w:tblCellSpacing w:w="15" w:type="dxa"/>
        </w:trPr>
        <w:tc>
          <w:tcPr>
            <w:tcW w:w="0" w:type="auto"/>
            <w:vAlign w:val="center"/>
            <w:hideMark/>
          </w:tcPr>
          <w:p w14:paraId="2DB0C8F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General Availability</w:t>
            </w:r>
          </w:p>
        </w:tc>
        <w:tc>
          <w:tcPr>
            <w:tcW w:w="0" w:type="auto"/>
            <w:vAlign w:val="center"/>
            <w:hideMark/>
          </w:tcPr>
          <w:p w14:paraId="721A4F3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Production-ready service with stronger operational commitments</w:t>
            </w:r>
          </w:p>
        </w:tc>
        <w:tc>
          <w:tcPr>
            <w:tcW w:w="0" w:type="auto"/>
            <w:vAlign w:val="center"/>
            <w:hideMark/>
          </w:tcPr>
          <w:p w14:paraId="765F017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Preferred choice for enterprise production deployments.</w:t>
            </w:r>
          </w:p>
        </w:tc>
      </w:tr>
      <w:tr w:rsidR="00370E1E" w:rsidRPr="0017187C" w14:paraId="11F3AB19" w14:textId="77777777" w:rsidTr="0017187C">
        <w:trPr>
          <w:tblCellSpacing w:w="15" w:type="dxa"/>
        </w:trPr>
        <w:tc>
          <w:tcPr>
            <w:tcW w:w="0" w:type="auto"/>
            <w:vAlign w:val="center"/>
            <w:hideMark/>
          </w:tcPr>
          <w:p w14:paraId="6145A46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Mature Production</w:t>
            </w:r>
          </w:p>
        </w:tc>
        <w:tc>
          <w:tcPr>
            <w:tcW w:w="0" w:type="auto"/>
            <w:vAlign w:val="center"/>
            <w:hideMark/>
          </w:tcPr>
          <w:p w14:paraId="47C07422"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Stable operational behavior and established ecosystem support</w:t>
            </w:r>
          </w:p>
        </w:tc>
        <w:tc>
          <w:tcPr>
            <w:tcW w:w="0" w:type="auto"/>
            <w:vAlign w:val="center"/>
            <w:hideMark/>
          </w:tcPr>
          <w:p w14:paraId="3D34141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Suitable for long-term production workloads, subject to ongoing evaluation.</w:t>
            </w:r>
          </w:p>
        </w:tc>
      </w:tr>
      <w:tr w:rsidR="00370E1E" w:rsidRPr="0017187C" w14:paraId="61FF2B10" w14:textId="77777777" w:rsidTr="0017187C">
        <w:trPr>
          <w:tblCellSpacing w:w="15" w:type="dxa"/>
        </w:trPr>
        <w:tc>
          <w:tcPr>
            <w:tcW w:w="0" w:type="auto"/>
            <w:vAlign w:val="center"/>
            <w:hideMark/>
          </w:tcPr>
          <w:p w14:paraId="4BF7916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Deprecation</w:t>
            </w:r>
          </w:p>
        </w:tc>
        <w:tc>
          <w:tcPr>
            <w:tcW w:w="0" w:type="auto"/>
            <w:vAlign w:val="center"/>
            <w:hideMark/>
          </w:tcPr>
          <w:p w14:paraId="73922CE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Provider announces retirement and migration timeline</w:t>
            </w:r>
          </w:p>
        </w:tc>
        <w:tc>
          <w:tcPr>
            <w:tcW w:w="0" w:type="auto"/>
            <w:vAlign w:val="center"/>
            <w:hideMark/>
          </w:tcPr>
          <w:p w14:paraId="49D0955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Begin validation of replacement models and schedule controlled migration.</w:t>
            </w:r>
          </w:p>
        </w:tc>
      </w:tr>
      <w:tr w:rsidR="00370E1E" w:rsidRPr="0017187C" w14:paraId="1A2BBCA9" w14:textId="77777777" w:rsidTr="0017187C">
        <w:trPr>
          <w:tblCellSpacing w:w="15" w:type="dxa"/>
        </w:trPr>
        <w:tc>
          <w:tcPr>
            <w:tcW w:w="0" w:type="auto"/>
            <w:vAlign w:val="center"/>
            <w:hideMark/>
          </w:tcPr>
          <w:p w14:paraId="1523DE9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Retirement</w:t>
            </w:r>
          </w:p>
        </w:tc>
        <w:tc>
          <w:tcPr>
            <w:tcW w:w="0" w:type="auto"/>
            <w:vAlign w:val="center"/>
            <w:hideMark/>
          </w:tcPr>
          <w:p w14:paraId="1C1E9E7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Model is removed from service</w:t>
            </w:r>
          </w:p>
        </w:tc>
        <w:tc>
          <w:tcPr>
            <w:tcW w:w="0" w:type="auto"/>
            <w:vAlign w:val="center"/>
            <w:hideMark/>
          </w:tcPr>
          <w:p w14:paraId="5DB23F1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Applications should already have completed migration before this stage.</w:t>
            </w:r>
          </w:p>
        </w:tc>
      </w:tr>
    </w:tbl>
    <w:p w14:paraId="1AF16EA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Model lifecycle management illustrates an important characteristic of commercial AI services: unlike self-hosted software, organizations do not control every aspect of the underlying technology. Successful platform engineering therefore depends on establishing processes that accommodate continuous model evolution while maintaining application reliability, reproducibility, and operational stability.</w:t>
      </w:r>
    </w:p>
    <w:p w14:paraId="3B2F76B4"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3.10 Beyond Inference: Managed AI Platform Capabilities</w:t>
      </w:r>
    </w:p>
    <w:p w14:paraId="26E9B66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first generation of commercial AI services focused almost exclusively on exposing foundation models through hosted inference APIs. Applications supplied prompts, received generated outputs, and remained responsible for implementing every surrounding capability, including prompt management, retrieval, evaluation, orchestration, governance, and operational tooling.</w:t>
      </w:r>
    </w:p>
    <w:p w14:paraId="6F074D2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Over the past several years, commercial AI platforms have evolved considerably beyond this narrow model. Rather than functioning solely as inference providers, they increasingly offer integrated platform services intended to support the complete lifecycle of AI application development and operation.</w:t>
      </w:r>
    </w:p>
    <w:p w14:paraId="0628CDA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evolution closely parallels earlier developments in cloud computing. Infrastructure-as-a-Service (IaaS) providers initially offered virtual machines and storage. Over time, cloud platforms incorporated managed databases, messaging systems, serverless computing, identity services, monitoring, and deployment tooling. Similarly, AI platforms are progressively expanding from managed inference toward comprehensive application platforms.</w:t>
      </w:r>
    </w:p>
    <w:p w14:paraId="666667E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From an architectural perspective, these additional capabilities should be understood as </w:t>
      </w:r>
      <w:r w:rsidRPr="00370E1E">
        <w:rPr>
          <w:rFonts w:ascii="Times New Roman" w:eastAsia="Times New Roman" w:hAnsi="Times New Roman" w:cs="Times New Roman"/>
          <w:b/>
          <w:bCs/>
          <w:sz w:val="28"/>
          <w:szCs w:val="24"/>
        </w:rPr>
        <w:t>platform services surrounding inference</w:t>
      </w:r>
      <w:r w:rsidRPr="00370E1E">
        <w:rPr>
          <w:rFonts w:ascii="Times New Roman" w:eastAsia="Times New Roman" w:hAnsi="Times New Roman" w:cs="Times New Roman"/>
          <w:sz w:val="28"/>
          <w:szCs w:val="24"/>
        </w:rPr>
        <w:t>, not as extensions of the foundation model itself.</w:t>
      </w:r>
    </w:p>
    <w:p w14:paraId="01AC8912"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Prompt Management</w:t>
      </w:r>
    </w:p>
    <w:p w14:paraId="531338F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As AI applications mature, prompts increasingly become managed software artifacts rather than strings embedded directly within application code.</w:t>
      </w:r>
    </w:p>
    <w:p w14:paraId="237CB21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Many commercial platforms now provide prompt management capabilities that allow organizations to store, version, review, test, and deploy prompts independently of application binaries.</w:t>
      </w:r>
    </w:p>
    <w:p w14:paraId="01C84DA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Centralized prompt management offers several operational benefits.</w:t>
      </w:r>
    </w:p>
    <w:p w14:paraId="7C58F0B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Engineering teams can apply change control, perform peer review, maintain version history, and coordinate prompt updates across multiple applications. Rollbacks become simpler, experimentation becomes more structured, and prompt evolution can follow software engineering practices already familiar from source code management.</w:t>
      </w:r>
    </w:p>
    <w:p w14:paraId="7B16800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Prompt management should not be interpreted as replacing application version control. Rather, it provides an additional layer of operational control for AI-specific assets whose evolution may differ from conventional software releases.</w:t>
      </w:r>
    </w:p>
    <w:p w14:paraId="293A99A2"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Evaluation Services</w:t>
      </w:r>
    </w:p>
    <w:p w14:paraId="4824B6E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platforms increasingly provide integrated evaluation frameworks capable of comparing prompts, models, or application outputs against representative datasets.</w:t>
      </w:r>
    </w:p>
    <w:p w14:paraId="438916E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services typically support automated execution of predefined test cases, statistical comparison between model versions, human review workflows, and reporting dashboards.</w:t>
      </w:r>
    </w:p>
    <w:p w14:paraId="7D40801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Such capabilities simplify experimentation and reduce the effort required to compare alternative models under consistent conditions.</w:t>
      </w:r>
    </w:p>
    <w:p w14:paraId="2E7F134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However, platform-provided evaluations should generally be viewed as complements rather than replacements for organization-specific evaluation pipelines. Providers cannot fully understand domain-specific correctness criteria, proprietary business requirements, or application-specific quality expectations.</w:t>
      </w:r>
    </w:p>
    <w:p w14:paraId="5C14511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Comprehensive evaluation methodology remains an organizational responsibility and is discussed extensively in Chapter 13.</w:t>
      </w:r>
    </w:p>
    <w:p w14:paraId="12785460"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Fine-Tuning and Customization</w:t>
      </w:r>
    </w:p>
    <w:p w14:paraId="2D49990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Many commercial platforms provide mechanisms for adapting foundation models to specialized organizational requirements.</w:t>
      </w:r>
    </w:p>
    <w:p w14:paraId="7B7F82B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Depending upon the provider, customization may include supervised fine-tuning, parameter-efficient adaptation techniques, reinforcement learning workflows, or domain-specific optimization pipelines.</w:t>
      </w:r>
    </w:p>
    <w:p w14:paraId="65C5BD8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capabilities enable organizations to improve performance for narrowly defined tasks without operating complete training infrastructure.</w:t>
      </w:r>
    </w:p>
    <w:p w14:paraId="6E03EBC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Nevertheless, fine-tuning introduces additional operational complexity.</w:t>
      </w:r>
    </w:p>
    <w:p w14:paraId="2779436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Customized models require lifecycle management, evaluation, governance, version control, and ongoing maintenance beyond that required for base models.</w:t>
      </w:r>
    </w:p>
    <w:p w14:paraId="721BA80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Furthermore, advances in prompting, retrieval-augmented generation (RAG), and tool use have reduced the number of scenarios where fine-tuning represents the preferred engineering solution.</w:t>
      </w:r>
    </w:p>
    <w:p w14:paraId="2A0AC83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should therefore treat fine-tuning as one architectural option among several rather than the default approach to improving application performance.</w:t>
      </w:r>
    </w:p>
    <w:p w14:paraId="7AAF1F7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Chapter 4 examines customization from the perspective of open-weight models, where organizations assume greater control over model training and deployment.</w:t>
      </w:r>
    </w:p>
    <w:p w14:paraId="2B5741B8"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Integrated Knowledge Services</w:t>
      </w:r>
    </w:p>
    <w:p w14:paraId="4D8104E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Another increasingly common platform capability involves managed retrieval and knowledge integration.</w:t>
      </w:r>
    </w:p>
    <w:p w14:paraId="69A5588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Rather than requiring organizations to construct complete retrieval pipelines independently, many providers now offer managed services supporting document ingestion, indexing, embedding generation, retrieval, and grounding.</w:t>
      </w:r>
    </w:p>
    <w:p w14:paraId="0741E14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These services reduce development effort and simplify initial adoption.</w:t>
      </w:r>
    </w:p>
    <w:p w14:paraId="056C170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However, they frequently expose provider-specific abstractions that differ substantially across platforms.</w:t>
      </w:r>
    </w:p>
    <w:p w14:paraId="1EBCC7F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anticipating multi-provider deployments or long-term portability should carefully evaluate the architectural implications of adopting tightly integrated retrieval services.</w:t>
      </w:r>
    </w:p>
    <w:p w14:paraId="4B4FB60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broader design of retrieval systems, ingestion pipelines, and vector databases is intentionally deferred to Chapters 10 through 12.</w:t>
      </w:r>
    </w:p>
    <w:p w14:paraId="4C062073"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Safety and Governance Services</w:t>
      </w:r>
    </w:p>
    <w:p w14:paraId="2217BEA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AI platforms increasingly incorporate configurable safety capabilities.</w:t>
      </w:r>
    </w:p>
    <w:p w14:paraId="03FB106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Examples include content filtering, prompt inspection, output moderation, configurable guardrails, policy enforcement, audit logging, and administrative controls governing model access.</w:t>
      </w:r>
    </w:p>
    <w:p w14:paraId="51B1D8B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platform services reduce the effort required to implement baseline governance controls.</w:t>
      </w:r>
    </w:p>
    <w:p w14:paraId="2ED3203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However, they should not be viewed as complete organizational governance solutions.</w:t>
      </w:r>
    </w:p>
    <w:p w14:paraId="7487F25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Enterprise governance typically extends beyond provider capabilities to include application-specific authorization, regulatory compliance, business policies, human review processes, and organizational risk management.</w:t>
      </w:r>
    </w:p>
    <w:p w14:paraId="1E68BFF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Chapter 14 examines these topics comprehensively.</w:t>
      </w:r>
    </w:p>
    <w:p w14:paraId="3398F771"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Development Environments</w:t>
      </w:r>
    </w:p>
    <w:p w14:paraId="0E5970F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Many platforms additionally provide browser-based development environments allowing engineers to experiment with prompts, compare models, inspect responses, evaluate structured outputs, and prototype applications before integration into production systems.</w:t>
      </w:r>
    </w:p>
    <w:p w14:paraId="184E543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environments improve developer productivity and reduce experimentation overhead.</w:t>
      </w:r>
    </w:p>
    <w:p w14:paraId="1001C88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Nevertheless, successful experiments performed within interactive playgrounds should always be validated within representative production environments before architectural conclusions are drawn.</w:t>
      </w:r>
    </w:p>
    <w:p w14:paraId="2F77ABC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Operational behavior frequently differs once applications incorporate authentication, retrieval, streaming, concurrency, tool execution, and production-scale workloads.</w:t>
      </w:r>
    </w:p>
    <w:p w14:paraId="1D04DF7C"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Platform Services Versus Application Responsibilities</w:t>
      </w:r>
    </w:p>
    <w:p w14:paraId="5EFE5FC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 recurring architectural principle emerges throughout these capabilities.</w:t>
      </w:r>
    </w:p>
    <w:p w14:paraId="5FAC426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Managed AI platforms increasingly provide reusable infrastructure supporting AI application development.</w:t>
      </w:r>
    </w:p>
    <w:p w14:paraId="6E7D759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However, organizations remain responsible for overall application architecture.</w:t>
      </w:r>
    </w:p>
    <w:p w14:paraId="5E13FBF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Business logic, workflow design, authorization decisions, observability, deployment processes, operational resilience, evaluation strategy, and cost optimization remain application concerns even when individual platform capabilities simplify their implementation.</w:t>
      </w:r>
    </w:p>
    <w:p w14:paraId="3FB606E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Recognizing this boundary prevents organizations from overestimating what managed platforms can reasonably provide.</w:t>
      </w:r>
    </w:p>
    <w:p w14:paraId="4532988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3-9. Typical Managed AI Platform Capabilities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72"/>
        <w:gridCol w:w="3248"/>
        <w:gridCol w:w="4235"/>
      </w:tblGrid>
      <w:tr w:rsidR="00370E1E" w:rsidRPr="0017187C" w14:paraId="2900F348" w14:textId="77777777" w:rsidTr="0017187C">
        <w:trPr>
          <w:tblHeader/>
          <w:tblCellSpacing w:w="15" w:type="dxa"/>
        </w:trPr>
        <w:tc>
          <w:tcPr>
            <w:tcW w:w="0" w:type="auto"/>
            <w:vAlign w:val="center"/>
            <w:hideMark/>
          </w:tcPr>
          <w:p w14:paraId="4112C5D1"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Platform Capability</w:t>
            </w:r>
          </w:p>
        </w:tc>
        <w:tc>
          <w:tcPr>
            <w:tcW w:w="0" w:type="auto"/>
            <w:vAlign w:val="center"/>
            <w:hideMark/>
          </w:tcPr>
          <w:p w14:paraId="083BBB0C"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Primary Purpose</w:t>
            </w:r>
          </w:p>
        </w:tc>
        <w:tc>
          <w:tcPr>
            <w:tcW w:w="0" w:type="auto"/>
            <w:vAlign w:val="center"/>
            <w:hideMark/>
          </w:tcPr>
          <w:p w14:paraId="76835FD9"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Architectural Considerations</w:t>
            </w:r>
          </w:p>
        </w:tc>
      </w:tr>
      <w:tr w:rsidR="00370E1E" w:rsidRPr="0017187C" w14:paraId="3C97143D" w14:textId="77777777" w:rsidTr="0017187C">
        <w:trPr>
          <w:tblCellSpacing w:w="15" w:type="dxa"/>
        </w:trPr>
        <w:tc>
          <w:tcPr>
            <w:tcW w:w="0" w:type="auto"/>
            <w:vAlign w:val="center"/>
            <w:hideMark/>
          </w:tcPr>
          <w:p w14:paraId="2481D6EB"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Prompt management</w:t>
            </w:r>
          </w:p>
        </w:tc>
        <w:tc>
          <w:tcPr>
            <w:tcW w:w="0" w:type="auto"/>
            <w:vAlign w:val="center"/>
            <w:hideMark/>
          </w:tcPr>
          <w:p w14:paraId="241EACF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Version and govern prompts independently of application code</w:t>
            </w:r>
          </w:p>
        </w:tc>
        <w:tc>
          <w:tcPr>
            <w:tcW w:w="0" w:type="auto"/>
            <w:vAlign w:val="center"/>
            <w:hideMark/>
          </w:tcPr>
          <w:p w14:paraId="47DE776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Supports change management but complements rather than replaces source control.</w:t>
            </w:r>
          </w:p>
        </w:tc>
      </w:tr>
      <w:tr w:rsidR="00370E1E" w:rsidRPr="0017187C" w14:paraId="32341DEF" w14:textId="77777777" w:rsidTr="0017187C">
        <w:trPr>
          <w:tblCellSpacing w:w="15" w:type="dxa"/>
        </w:trPr>
        <w:tc>
          <w:tcPr>
            <w:tcW w:w="0" w:type="auto"/>
            <w:vAlign w:val="center"/>
            <w:hideMark/>
          </w:tcPr>
          <w:p w14:paraId="0AF04AF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Evaluation services</w:t>
            </w:r>
          </w:p>
        </w:tc>
        <w:tc>
          <w:tcPr>
            <w:tcW w:w="0" w:type="auto"/>
            <w:vAlign w:val="center"/>
            <w:hideMark/>
          </w:tcPr>
          <w:p w14:paraId="3F79BC2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Compare prompts and models using managed workflows</w:t>
            </w:r>
          </w:p>
        </w:tc>
        <w:tc>
          <w:tcPr>
            <w:tcW w:w="0" w:type="auto"/>
            <w:vAlign w:val="center"/>
            <w:hideMark/>
          </w:tcPr>
          <w:p w14:paraId="3C3401C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Useful for experimentation but should be supplemented with workload-specific evaluation.</w:t>
            </w:r>
          </w:p>
        </w:tc>
      </w:tr>
      <w:tr w:rsidR="00370E1E" w:rsidRPr="0017187C" w14:paraId="135CA62E" w14:textId="77777777" w:rsidTr="0017187C">
        <w:trPr>
          <w:tblCellSpacing w:w="15" w:type="dxa"/>
        </w:trPr>
        <w:tc>
          <w:tcPr>
            <w:tcW w:w="0" w:type="auto"/>
            <w:vAlign w:val="center"/>
            <w:hideMark/>
          </w:tcPr>
          <w:p w14:paraId="146D24FB"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Fine-tuning</w:t>
            </w:r>
          </w:p>
        </w:tc>
        <w:tc>
          <w:tcPr>
            <w:tcW w:w="0" w:type="auto"/>
            <w:vAlign w:val="center"/>
            <w:hideMark/>
          </w:tcPr>
          <w:p w14:paraId="3A306BC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Adapt models to specialized domains or tasks</w:t>
            </w:r>
          </w:p>
        </w:tc>
        <w:tc>
          <w:tcPr>
            <w:tcW w:w="0" w:type="auto"/>
            <w:vAlign w:val="center"/>
            <w:hideMark/>
          </w:tcPr>
          <w:p w14:paraId="6EA38CC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Introduces additional lifecycle and governance responsibilities.</w:t>
            </w:r>
          </w:p>
        </w:tc>
      </w:tr>
      <w:tr w:rsidR="00370E1E" w:rsidRPr="0017187C" w14:paraId="50D67B6C" w14:textId="77777777" w:rsidTr="0017187C">
        <w:trPr>
          <w:tblCellSpacing w:w="15" w:type="dxa"/>
        </w:trPr>
        <w:tc>
          <w:tcPr>
            <w:tcW w:w="0" w:type="auto"/>
            <w:vAlign w:val="center"/>
            <w:hideMark/>
          </w:tcPr>
          <w:p w14:paraId="645FFE2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Knowledge integration</w:t>
            </w:r>
          </w:p>
        </w:tc>
        <w:tc>
          <w:tcPr>
            <w:tcW w:w="0" w:type="auto"/>
            <w:vAlign w:val="center"/>
            <w:hideMark/>
          </w:tcPr>
          <w:p w14:paraId="51A667B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Provide managed document ingestion and retrieval</w:t>
            </w:r>
          </w:p>
        </w:tc>
        <w:tc>
          <w:tcPr>
            <w:tcW w:w="0" w:type="auto"/>
            <w:vAlign w:val="center"/>
            <w:hideMark/>
          </w:tcPr>
          <w:p w14:paraId="77E61592"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Simplifies development but may increase provider dependence.</w:t>
            </w:r>
          </w:p>
        </w:tc>
      </w:tr>
      <w:tr w:rsidR="00370E1E" w:rsidRPr="0017187C" w14:paraId="496F06BC" w14:textId="77777777" w:rsidTr="0017187C">
        <w:trPr>
          <w:tblCellSpacing w:w="15" w:type="dxa"/>
        </w:trPr>
        <w:tc>
          <w:tcPr>
            <w:tcW w:w="0" w:type="auto"/>
            <w:vAlign w:val="center"/>
            <w:hideMark/>
          </w:tcPr>
          <w:p w14:paraId="4F49C1F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Safety services</w:t>
            </w:r>
          </w:p>
        </w:tc>
        <w:tc>
          <w:tcPr>
            <w:tcW w:w="0" w:type="auto"/>
            <w:vAlign w:val="center"/>
            <w:hideMark/>
          </w:tcPr>
          <w:p w14:paraId="5BA2F18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Moderate content and enforce baseline policies</w:t>
            </w:r>
          </w:p>
        </w:tc>
        <w:tc>
          <w:tcPr>
            <w:tcW w:w="0" w:type="auto"/>
            <w:vAlign w:val="center"/>
            <w:hideMark/>
          </w:tcPr>
          <w:p w14:paraId="1517B45D"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Should complement broader organizational governance.</w:t>
            </w:r>
          </w:p>
        </w:tc>
      </w:tr>
      <w:tr w:rsidR="00370E1E" w:rsidRPr="0017187C" w14:paraId="635F4DD0" w14:textId="77777777" w:rsidTr="0017187C">
        <w:trPr>
          <w:tblCellSpacing w:w="15" w:type="dxa"/>
        </w:trPr>
        <w:tc>
          <w:tcPr>
            <w:tcW w:w="0" w:type="auto"/>
            <w:vAlign w:val="center"/>
            <w:hideMark/>
          </w:tcPr>
          <w:p w14:paraId="436247EB"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Development environments</w:t>
            </w:r>
          </w:p>
        </w:tc>
        <w:tc>
          <w:tcPr>
            <w:tcW w:w="0" w:type="auto"/>
            <w:vAlign w:val="center"/>
            <w:hideMark/>
          </w:tcPr>
          <w:p w14:paraId="2C6DD23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Accelerate experimentation and prototyping</w:t>
            </w:r>
          </w:p>
        </w:tc>
        <w:tc>
          <w:tcPr>
            <w:tcW w:w="0" w:type="auto"/>
            <w:vAlign w:val="center"/>
            <w:hideMark/>
          </w:tcPr>
          <w:p w14:paraId="0C27867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Results should be validated under production conditions.</w:t>
            </w:r>
          </w:p>
        </w:tc>
      </w:tr>
    </w:tbl>
    <w:p w14:paraId="5A390DB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The expansion of managed platform capabilities reflects the growing maturity of commercial AI ecosystems. Organizations are no longer consuming isolated </w:t>
      </w:r>
      <w:r w:rsidRPr="00370E1E">
        <w:rPr>
          <w:rFonts w:ascii="Times New Roman" w:eastAsia="Times New Roman" w:hAnsi="Times New Roman" w:cs="Times New Roman"/>
          <w:sz w:val="28"/>
          <w:szCs w:val="24"/>
        </w:rPr>
        <w:lastRenderedPageBreak/>
        <w:t>inference APIs but increasingly adopting integrated development platforms whose value extends well beyond model execution.</w:t>
      </w:r>
    </w:p>
    <w:p w14:paraId="59CEECB5" w14:textId="77777777" w:rsidR="00370E1E" w:rsidRPr="00370E1E" w:rsidRDefault="0017187C" w:rsidP="00370E1E">
      <w:pPr>
        <w:rPr>
          <w:rFonts w:ascii="Calibri" w:eastAsia="Calibri" w:hAnsi="Calibri" w:cs="Times New Roman"/>
          <w:sz w:val="24"/>
        </w:rPr>
      </w:pPr>
      <w:r>
        <w:rPr>
          <w:rFonts w:ascii="Calibri" w:eastAsia="Calibri" w:hAnsi="Calibri" w:cs="Times New Roman"/>
          <w:sz w:val="24"/>
        </w:rPr>
        <w:pict w14:anchorId="59BE804D">
          <v:rect id="_x0000_i1031" style="width:0;height:1.5pt" o:hralign="center" o:hrstd="t" o:hr="t" fillcolor="#a0a0a0" stroked="f"/>
        </w:pict>
      </w:r>
    </w:p>
    <w:p w14:paraId="725BB870"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3.11 Enterprise Integration</w:t>
      </w:r>
    </w:p>
    <w:p w14:paraId="43BF94F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AI services rarely operate in isolation.</w:t>
      </w:r>
    </w:p>
    <w:p w14:paraId="27C3111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Within production environments, they become one component of broader enterprise systems that include identity providers, API gateways, observability platforms, workflow engines, business applications, security controls, databases, and networking infrastructure.</w:t>
      </w:r>
    </w:p>
    <w:p w14:paraId="01726F4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Consequently, evaluating a commercial AI platform requires understanding not only its model capabilities but also how effectively it integrates into existing enterprise architecture.</w:t>
      </w:r>
    </w:p>
    <w:p w14:paraId="1E23AFD1"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Identity Integration</w:t>
      </w:r>
    </w:p>
    <w:p w14:paraId="5A1CA12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Enterprise organizations typically maintain centralized identity infrastructure governing users, services, applications, and automated workloads.</w:t>
      </w:r>
    </w:p>
    <w:p w14:paraId="175FD57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AI platforms increasingly integrate with these systems through cloud Identity and Access Management (IAM), managed identities, workload identities, service principals, or federated authentication.</w:t>
      </w:r>
    </w:p>
    <w:p w14:paraId="528CE22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architectural objective is consistency.</w:t>
      </w:r>
    </w:p>
    <w:p w14:paraId="01CC437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Applications should authenticate AI services using the same mechanisms already employed for databases, messaging systems, storage services, and other cloud resources.</w:t>
      </w:r>
    </w:p>
    <w:p w14:paraId="1445E60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Introducing separate identity models solely for AI services increases operational complexity and complicates governance.</w:t>
      </w:r>
    </w:p>
    <w:p w14:paraId="58968FA8"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Network Integration</w:t>
      </w:r>
    </w:p>
    <w:p w14:paraId="23120D3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Network architecture represents another important consideration.</w:t>
      </w:r>
    </w:p>
    <w:p w14:paraId="0691505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Development environments often access AI services through public Internet endpoints using API keys.</w:t>
      </w:r>
    </w:p>
    <w:p w14:paraId="0FC317C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Production environments frequently impose substantially stricter networking requirements.</w:t>
      </w:r>
    </w:p>
    <w:p w14:paraId="4A73294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Commercial platforms increasingly support private connectivity through cloud networking services that eliminate exposure to public Internet routing while allowing AI services to remain integrated within enterprise virtual networks.</w:t>
      </w:r>
    </w:p>
    <w:p w14:paraId="3F0313F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Private connectivity also facilitates regulatory compliance, simplifies firewall management, and enables organizations to apply existing network security policies consistently across AI workloads.</w:t>
      </w:r>
    </w:p>
    <w:p w14:paraId="74217A5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From an architectural perspective, AI services should ideally become ordinary enterprise network dependencies rather than exceptional external systems requiring unique operational treatment.</w:t>
      </w:r>
    </w:p>
    <w:p w14:paraId="435E46DF"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Secret Management</w:t>
      </w:r>
    </w:p>
    <w:p w14:paraId="12D1C3F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Production systems should avoid embedding credentials directly within application code or deployment artifacts.</w:t>
      </w:r>
    </w:p>
    <w:p w14:paraId="1456896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Instead, authentication material should be managed using enterprise secret management solutions integrated with organizational deployment pipelines.</w:t>
      </w:r>
    </w:p>
    <w:p w14:paraId="56E13B1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Cloud-native environments commonly automate credential distribution using managed identities or short-lived authentication tokens, reducing reliance on persistent secrets.</w:t>
      </w:r>
    </w:p>
    <w:p w14:paraId="19A5781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Although secret management applies broadly across software systems, AI services often introduce additional credentials associated with multiple providers, increasing the importance of centralized credential governance.</w:t>
      </w:r>
    </w:p>
    <w:p w14:paraId="7BFCD8CD"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Audit Logging</w:t>
      </w:r>
    </w:p>
    <w:p w14:paraId="2E16377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Enterprise environments require visibility into operational activity.</w:t>
      </w:r>
    </w:p>
    <w:p w14:paraId="255BC2E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AI platforms therefore increasingly provide audit records documenting authentication events, administrative actions, model usage, configuration changes, and organizational activity.</w:t>
      </w:r>
    </w:p>
    <w:p w14:paraId="4C50E17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Audit logs support multiple organizational objectives.</w:t>
      </w:r>
    </w:p>
    <w:p w14:paraId="55E7AD3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Security teams investigate unauthorized access.</w:t>
      </w:r>
    </w:p>
    <w:p w14:paraId="33ECD5E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Compliance teams demonstrate regulatory adherence.</w:t>
      </w:r>
    </w:p>
    <w:p w14:paraId="1FD7886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Operations teams reconstruct production incidents.</w:t>
      </w:r>
    </w:p>
    <w:p w14:paraId="2A982D0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Finance teams allocate usage costs.</w:t>
      </w:r>
    </w:p>
    <w:p w14:paraId="2B0386E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Engineering teams analyze platform adoption.</w:t>
      </w:r>
    </w:p>
    <w:p w14:paraId="415B62A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The exact implementation varies among providers, but comprehensive auditing has become a standard enterprise capability.</w:t>
      </w:r>
    </w:p>
    <w:p w14:paraId="69E54C01"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SDKs and Client Libraries</w:t>
      </w:r>
    </w:p>
    <w:p w14:paraId="1CA1B54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Nearly every commercial provider supplies official Software Development Kits (SDKs) supporting multiple programming languages.</w:t>
      </w:r>
    </w:p>
    <w:p w14:paraId="02B53D3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libraries simplify authentication, request construction, streaming, structured outputs, file management, retries, and error handling.</w:t>
      </w:r>
    </w:p>
    <w:p w14:paraId="7DFB271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While SDKs reduce development effort, platform engineers should avoid coupling application architecture too tightly to provider-specific client libraries.</w:t>
      </w:r>
    </w:p>
    <w:p w14:paraId="2716DC8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Abstracting AI interactions behind organizational interfaces often simplifies testing, provider substitution, and long-term maintenance.</w:t>
      </w:r>
    </w:p>
    <w:p w14:paraId="3317ACC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architectural abstraction becomes increasingly valuable in multi-provider environments.</w:t>
      </w:r>
    </w:p>
    <w:p w14:paraId="2E4BC71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Chapter 6 examines gateway architectures supporting such abstraction.</w:t>
      </w:r>
    </w:p>
    <w:p w14:paraId="2C21F980"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Enterprise Compliance</w:t>
      </w:r>
    </w:p>
    <w:p w14:paraId="2E6D812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Large organizations increasingly evaluate commercial AI platforms according to compliance capabilities as carefully as model quality.</w:t>
      </w:r>
    </w:p>
    <w:p w14:paraId="3A00DDA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Relevant considerations may include:</w:t>
      </w:r>
    </w:p>
    <w:p w14:paraId="4E45499B" w14:textId="77777777" w:rsidR="00370E1E" w:rsidRPr="0017187C" w:rsidRDefault="00370E1E" w:rsidP="00370E1E">
      <w:pPr>
        <w:numPr>
          <w:ilvl w:val="0"/>
          <w:numId w:val="11"/>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data residency, </w:t>
      </w:r>
    </w:p>
    <w:p w14:paraId="5325A0A4" w14:textId="77777777" w:rsidR="00370E1E" w:rsidRPr="0017187C" w:rsidRDefault="00370E1E" w:rsidP="00370E1E">
      <w:pPr>
        <w:numPr>
          <w:ilvl w:val="0"/>
          <w:numId w:val="11"/>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encryption, </w:t>
      </w:r>
    </w:p>
    <w:p w14:paraId="65908B8B" w14:textId="77777777" w:rsidR="00370E1E" w:rsidRPr="0017187C" w:rsidRDefault="00370E1E" w:rsidP="00370E1E">
      <w:pPr>
        <w:numPr>
          <w:ilvl w:val="0"/>
          <w:numId w:val="11"/>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customer-managed encryption keys, </w:t>
      </w:r>
    </w:p>
    <w:p w14:paraId="754636C6" w14:textId="77777777" w:rsidR="00370E1E" w:rsidRPr="0017187C" w:rsidRDefault="00370E1E" w:rsidP="00370E1E">
      <w:pPr>
        <w:numPr>
          <w:ilvl w:val="0"/>
          <w:numId w:val="11"/>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regulatory certifications, </w:t>
      </w:r>
    </w:p>
    <w:p w14:paraId="21B03D9F" w14:textId="77777777" w:rsidR="00370E1E" w:rsidRPr="0017187C" w:rsidRDefault="00370E1E" w:rsidP="00370E1E">
      <w:pPr>
        <w:numPr>
          <w:ilvl w:val="0"/>
          <w:numId w:val="11"/>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audit capabilities, </w:t>
      </w:r>
    </w:p>
    <w:p w14:paraId="0138C1A0" w14:textId="77777777" w:rsidR="00370E1E" w:rsidRPr="0017187C" w:rsidRDefault="00370E1E" w:rsidP="00370E1E">
      <w:pPr>
        <w:numPr>
          <w:ilvl w:val="0"/>
          <w:numId w:val="11"/>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retention controls, </w:t>
      </w:r>
    </w:p>
    <w:p w14:paraId="7968C7D3" w14:textId="77777777" w:rsidR="00370E1E" w:rsidRPr="0017187C" w:rsidRDefault="00370E1E" w:rsidP="00370E1E">
      <w:pPr>
        <w:numPr>
          <w:ilvl w:val="0"/>
          <w:numId w:val="11"/>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organizational administration, </w:t>
      </w:r>
    </w:p>
    <w:p w14:paraId="43C6EC67" w14:textId="77777777" w:rsidR="00370E1E" w:rsidRPr="0017187C" w:rsidRDefault="00370E1E" w:rsidP="00370E1E">
      <w:pPr>
        <w:numPr>
          <w:ilvl w:val="0"/>
          <w:numId w:val="11"/>
        </w:numPr>
        <w:spacing w:before="100" w:beforeAutospacing="1" w:after="100" w:afterAutospacing="1" w:line="240" w:lineRule="auto"/>
        <w:rPr>
          <w:rFonts w:ascii="Times New Roman" w:eastAsia="Calibri" w:hAnsi="Times New Roman" w:cs="Times New Roman"/>
          <w:sz w:val="28"/>
          <w:szCs w:val="24"/>
        </w:rPr>
      </w:pPr>
      <w:r w:rsidRPr="0017187C">
        <w:rPr>
          <w:rFonts w:ascii="Times New Roman" w:eastAsia="Calibri" w:hAnsi="Times New Roman" w:cs="Times New Roman"/>
          <w:sz w:val="28"/>
          <w:szCs w:val="24"/>
        </w:rPr>
        <w:t xml:space="preserve">and contractual service commitments. </w:t>
      </w:r>
    </w:p>
    <w:p w14:paraId="41680F7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characteristics vary considerably among providers and frequently influence procurement decisions independently of model performance.</w:t>
      </w:r>
    </w:p>
    <w:p w14:paraId="5025750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However, compliance should not be viewed solely as a provider responsibility.</w:t>
      </w:r>
    </w:p>
    <w:p w14:paraId="4808A8D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remain accountable for application behavior, data governance, authorization policies, and regulatory obligations implemented within their own software systems.</w:t>
      </w:r>
    </w:p>
    <w:p w14:paraId="0F418178"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lastRenderedPageBreak/>
        <w:t>Integration as an Architectural Criterion</w:t>
      </w:r>
    </w:p>
    <w:p w14:paraId="5F1091C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 recurring pattern emerges across mature enterprise deployments.</w:t>
      </w:r>
    </w:p>
    <w:p w14:paraId="19B4D66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most successful AI platforms rarely require organizations to redesign existing operational practices.</w:t>
      </w:r>
    </w:p>
    <w:p w14:paraId="499140B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Instead, they integrate naturally with established identity systems, networking infrastructure, deployment pipelines, monitoring environments, governance processes, and security controls.</w:t>
      </w:r>
    </w:p>
    <w:p w14:paraId="646BD75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principle explains why enterprise platform selection often extends beyond comparing foundation models.</w:t>
      </w:r>
    </w:p>
    <w:p w14:paraId="1831D77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 technically superior model offering poor operational integration may ultimately increase organizational complexity compared with a slightly less capable model embedded within a mature enterprise platform.</w:t>
      </w:r>
    </w:p>
    <w:p w14:paraId="4B22B68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objective of platform engineering is therefore not simply maximizing model capability but minimizing overall architectural friction across the complete software lifecycle.</w:t>
      </w:r>
    </w:p>
    <w:p w14:paraId="0DC261B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3-10. Enterprise Integration Considerations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630"/>
        <w:gridCol w:w="3566"/>
        <w:gridCol w:w="4159"/>
      </w:tblGrid>
      <w:tr w:rsidR="00370E1E" w:rsidRPr="0017187C" w14:paraId="3B53208F" w14:textId="77777777" w:rsidTr="0017187C">
        <w:trPr>
          <w:tblHeader/>
          <w:tblCellSpacing w:w="15" w:type="dxa"/>
        </w:trPr>
        <w:tc>
          <w:tcPr>
            <w:tcW w:w="0" w:type="auto"/>
            <w:vAlign w:val="center"/>
            <w:hideMark/>
          </w:tcPr>
          <w:p w14:paraId="752C8F09"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Integration Area</w:t>
            </w:r>
          </w:p>
        </w:tc>
        <w:tc>
          <w:tcPr>
            <w:tcW w:w="0" w:type="auto"/>
            <w:vAlign w:val="center"/>
            <w:hideMark/>
          </w:tcPr>
          <w:p w14:paraId="49784461"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Typical Platform Capability</w:t>
            </w:r>
          </w:p>
        </w:tc>
        <w:tc>
          <w:tcPr>
            <w:tcW w:w="0" w:type="auto"/>
            <w:vAlign w:val="center"/>
            <w:hideMark/>
          </w:tcPr>
          <w:p w14:paraId="25E41DAC"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Architectural Importance</w:t>
            </w:r>
          </w:p>
        </w:tc>
      </w:tr>
      <w:tr w:rsidR="00370E1E" w:rsidRPr="0017187C" w14:paraId="1937024A" w14:textId="77777777" w:rsidTr="0017187C">
        <w:trPr>
          <w:tblCellSpacing w:w="15" w:type="dxa"/>
        </w:trPr>
        <w:tc>
          <w:tcPr>
            <w:tcW w:w="0" w:type="auto"/>
            <w:vAlign w:val="center"/>
            <w:hideMark/>
          </w:tcPr>
          <w:p w14:paraId="7F14D5F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Identity</w:t>
            </w:r>
          </w:p>
        </w:tc>
        <w:tc>
          <w:tcPr>
            <w:tcW w:w="0" w:type="auto"/>
            <w:vAlign w:val="center"/>
            <w:hideMark/>
          </w:tcPr>
          <w:p w14:paraId="5D60E0D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IAM integration, workload identities, managed identities</w:t>
            </w:r>
          </w:p>
        </w:tc>
        <w:tc>
          <w:tcPr>
            <w:tcW w:w="0" w:type="auto"/>
            <w:vAlign w:val="center"/>
            <w:hideMark/>
          </w:tcPr>
          <w:p w14:paraId="689E3A7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Enables centralized authentication and governance.</w:t>
            </w:r>
          </w:p>
        </w:tc>
      </w:tr>
      <w:tr w:rsidR="00370E1E" w:rsidRPr="0017187C" w14:paraId="309BC347" w14:textId="77777777" w:rsidTr="0017187C">
        <w:trPr>
          <w:tblCellSpacing w:w="15" w:type="dxa"/>
        </w:trPr>
        <w:tc>
          <w:tcPr>
            <w:tcW w:w="0" w:type="auto"/>
            <w:vAlign w:val="center"/>
            <w:hideMark/>
          </w:tcPr>
          <w:p w14:paraId="6E5F96C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Networking</w:t>
            </w:r>
          </w:p>
        </w:tc>
        <w:tc>
          <w:tcPr>
            <w:tcW w:w="0" w:type="auto"/>
            <w:vAlign w:val="center"/>
            <w:hideMark/>
          </w:tcPr>
          <w:p w14:paraId="6428AF4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Private endpoints, virtual network integration</w:t>
            </w:r>
          </w:p>
        </w:tc>
        <w:tc>
          <w:tcPr>
            <w:tcW w:w="0" w:type="auto"/>
            <w:vAlign w:val="center"/>
            <w:hideMark/>
          </w:tcPr>
          <w:p w14:paraId="07D9263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Supports security, compliance, and operational consistency.</w:t>
            </w:r>
          </w:p>
        </w:tc>
      </w:tr>
      <w:tr w:rsidR="00370E1E" w:rsidRPr="0017187C" w14:paraId="6CAE9809" w14:textId="77777777" w:rsidTr="0017187C">
        <w:trPr>
          <w:tblCellSpacing w:w="15" w:type="dxa"/>
        </w:trPr>
        <w:tc>
          <w:tcPr>
            <w:tcW w:w="0" w:type="auto"/>
            <w:vAlign w:val="center"/>
            <w:hideMark/>
          </w:tcPr>
          <w:p w14:paraId="629F569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Secret management</w:t>
            </w:r>
          </w:p>
        </w:tc>
        <w:tc>
          <w:tcPr>
            <w:tcW w:w="0" w:type="auto"/>
            <w:vAlign w:val="center"/>
            <w:hideMark/>
          </w:tcPr>
          <w:p w14:paraId="15C9592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Managed credential integration</w:t>
            </w:r>
          </w:p>
        </w:tc>
        <w:tc>
          <w:tcPr>
            <w:tcW w:w="0" w:type="auto"/>
            <w:vAlign w:val="center"/>
            <w:hideMark/>
          </w:tcPr>
          <w:p w14:paraId="686E5B3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Reduces operational risk associated with long-lived secrets.</w:t>
            </w:r>
          </w:p>
        </w:tc>
      </w:tr>
      <w:tr w:rsidR="00370E1E" w:rsidRPr="0017187C" w14:paraId="6CFE2216" w14:textId="77777777" w:rsidTr="0017187C">
        <w:trPr>
          <w:tblCellSpacing w:w="15" w:type="dxa"/>
        </w:trPr>
        <w:tc>
          <w:tcPr>
            <w:tcW w:w="0" w:type="auto"/>
            <w:vAlign w:val="center"/>
            <w:hideMark/>
          </w:tcPr>
          <w:p w14:paraId="010B748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Audit logging</w:t>
            </w:r>
          </w:p>
        </w:tc>
        <w:tc>
          <w:tcPr>
            <w:tcW w:w="0" w:type="auto"/>
            <w:vAlign w:val="center"/>
            <w:hideMark/>
          </w:tcPr>
          <w:p w14:paraId="2F8312A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Administrative and operational activity records</w:t>
            </w:r>
          </w:p>
        </w:tc>
        <w:tc>
          <w:tcPr>
            <w:tcW w:w="0" w:type="auto"/>
            <w:vAlign w:val="center"/>
            <w:hideMark/>
          </w:tcPr>
          <w:p w14:paraId="526E4FF4"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Supports security investigations, compliance, and operational analysis.</w:t>
            </w:r>
          </w:p>
        </w:tc>
      </w:tr>
      <w:tr w:rsidR="00370E1E" w:rsidRPr="0017187C" w14:paraId="04607611" w14:textId="77777777" w:rsidTr="0017187C">
        <w:trPr>
          <w:tblCellSpacing w:w="15" w:type="dxa"/>
        </w:trPr>
        <w:tc>
          <w:tcPr>
            <w:tcW w:w="0" w:type="auto"/>
            <w:vAlign w:val="center"/>
            <w:hideMark/>
          </w:tcPr>
          <w:p w14:paraId="6C6E917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SDKs</w:t>
            </w:r>
          </w:p>
        </w:tc>
        <w:tc>
          <w:tcPr>
            <w:tcW w:w="0" w:type="auto"/>
            <w:vAlign w:val="center"/>
            <w:hideMark/>
          </w:tcPr>
          <w:p w14:paraId="68CE61C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Official client libraries and tooling</w:t>
            </w:r>
          </w:p>
        </w:tc>
        <w:tc>
          <w:tcPr>
            <w:tcW w:w="0" w:type="auto"/>
            <w:vAlign w:val="center"/>
            <w:hideMark/>
          </w:tcPr>
          <w:p w14:paraId="508B203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Simplify development while requiring careful abstraction.</w:t>
            </w:r>
          </w:p>
        </w:tc>
      </w:tr>
      <w:tr w:rsidR="00370E1E" w:rsidRPr="0017187C" w14:paraId="05E6E507" w14:textId="77777777" w:rsidTr="0017187C">
        <w:trPr>
          <w:tblCellSpacing w:w="15" w:type="dxa"/>
        </w:trPr>
        <w:tc>
          <w:tcPr>
            <w:tcW w:w="0" w:type="auto"/>
            <w:vAlign w:val="center"/>
            <w:hideMark/>
          </w:tcPr>
          <w:p w14:paraId="039E1C9B"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Compliance</w:t>
            </w:r>
          </w:p>
        </w:tc>
        <w:tc>
          <w:tcPr>
            <w:tcW w:w="0" w:type="auto"/>
            <w:vAlign w:val="center"/>
            <w:hideMark/>
          </w:tcPr>
          <w:p w14:paraId="63BC232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Regional deployment, encryption, governance capabilities</w:t>
            </w:r>
          </w:p>
        </w:tc>
        <w:tc>
          <w:tcPr>
            <w:tcW w:w="0" w:type="auto"/>
            <w:vAlign w:val="center"/>
            <w:hideMark/>
          </w:tcPr>
          <w:p w14:paraId="439D558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Influences enterprise adoption beyond model quality.</w:t>
            </w:r>
          </w:p>
        </w:tc>
      </w:tr>
    </w:tbl>
    <w:p w14:paraId="05ECEDE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Enterprise integration ultimately determines how effectively commercial AI services become part of existing software ecosystems. Organizations evaluating </w:t>
      </w:r>
      <w:r w:rsidRPr="00370E1E">
        <w:rPr>
          <w:rFonts w:ascii="Times New Roman" w:eastAsia="Times New Roman" w:hAnsi="Times New Roman" w:cs="Times New Roman"/>
          <w:sz w:val="28"/>
          <w:szCs w:val="24"/>
        </w:rPr>
        <w:lastRenderedPageBreak/>
        <w:t>providers should therefore consider operational compatibility alongside model capability.</w:t>
      </w:r>
    </w:p>
    <w:p w14:paraId="6D6E63EB" w14:textId="77777777" w:rsidR="00370E1E" w:rsidRPr="00370E1E" w:rsidRDefault="0017187C" w:rsidP="00370E1E">
      <w:pPr>
        <w:rPr>
          <w:rFonts w:ascii="Calibri" w:eastAsia="Calibri" w:hAnsi="Calibri" w:cs="Times New Roman"/>
          <w:sz w:val="24"/>
        </w:rPr>
      </w:pPr>
      <w:r>
        <w:rPr>
          <w:rFonts w:ascii="Calibri" w:eastAsia="Calibri" w:hAnsi="Calibri" w:cs="Times New Roman"/>
          <w:sz w:val="24"/>
        </w:rPr>
        <w:pict w14:anchorId="7C4CE827">
          <v:rect id="_x0000_i1032" style="width:0;height:1.5pt" o:hralign="center" o:hrstd="t" o:hr="t" fillcolor="#a0a0a0" stroked="f"/>
        </w:pict>
      </w:r>
    </w:p>
    <w:p w14:paraId="3EFC1B64"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3.12 Vendor Lock-In and Portability</w:t>
      </w:r>
    </w:p>
    <w:p w14:paraId="68B3B04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Every managed platform introduces some degree of dependency upon its provider.</w:t>
      </w:r>
    </w:p>
    <w:p w14:paraId="507DA12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AI services are no exception.</w:t>
      </w:r>
    </w:p>
    <w:p w14:paraId="7E9C327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As organizations adopt provider-specific APIs, platform capabilities, operational workflows, and governance tooling, migration to alternative services may require increasing engineering effort. The objective of platform engineering is not to eliminate these dependencies entirely—an unrealistic goal—but to understand where they arise, evaluate their consequences, and make deliberate architectural decisions.</w:t>
      </w:r>
    </w:p>
    <w:p w14:paraId="49486B7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Vendor lock-in should therefore be viewed as a continuum rather than a binary condition.</w:t>
      </w:r>
    </w:p>
    <w:p w14:paraId="7A4EF66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Some dependencies are relatively superficial and can be removed with modest engineering effort. Others become deeply embedded within application architecture and operational processes, making migration substantially more expensive.</w:t>
      </w:r>
    </w:p>
    <w:p w14:paraId="42501FF7"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API Lock-In</w:t>
      </w:r>
    </w:p>
    <w:p w14:paraId="16E7307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most visible form of dependency arises from provider-specific APIs.</w:t>
      </w:r>
    </w:p>
    <w:p w14:paraId="3E3AB74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Although commercial AI interfaces have become increasingly similar, differences remain in request schemas, authentication models, streaming protocols, structured outputs, tool definitions, error handling, quota behavior, and lifecycle management.</w:t>
      </w:r>
    </w:p>
    <w:p w14:paraId="6D969A5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Applications interacting directly with provider SDKs frequently accumulate assumptions about these implementation details.</w:t>
      </w:r>
    </w:p>
    <w:p w14:paraId="45AB597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Replacing one provider may therefore require modifications extending well beyond endpoint configuration.</w:t>
      </w:r>
    </w:p>
    <w:p w14:paraId="5992FE1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situation resembles earlier cloud computing experiences, where nominally similar storage or messaging services nevertheless exposed different operational semantics.</w:t>
      </w:r>
    </w:p>
    <w:p w14:paraId="772BBC55"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lastRenderedPageBreak/>
        <w:t>Platform Feature Lock-In</w:t>
      </w:r>
    </w:p>
    <w:p w14:paraId="63E4F73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Managed platforms increasingly differentiate themselves through integrated capabilities extending beyond inference.</w:t>
      </w:r>
    </w:p>
    <w:p w14:paraId="61EE1B2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Prompt management systems, evaluation frameworks, knowledge services, safety controls, workflow builders, proprietary agent frameworks, and administrative tooling often expose provider-specific abstractions.</w:t>
      </w:r>
    </w:p>
    <w:p w14:paraId="06949D4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services may significantly accelerate development.</w:t>
      </w:r>
    </w:p>
    <w:p w14:paraId="0E61AAA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However, applications built directly upon proprietary platform capabilities frequently become more difficult to migrate because equivalent abstractions may not exist elsewhere.</w:t>
      </w:r>
    </w:p>
    <w:p w14:paraId="53DC423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does not imply that integrated platform features should be avoided.</w:t>
      </w:r>
    </w:p>
    <w:p w14:paraId="43E56D1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Rather, organizations should understand when convenience outweighs long-term portability requirements.</w:t>
      </w:r>
    </w:p>
    <w:p w14:paraId="53969971"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Model-Specific Lock-In</w:t>
      </w:r>
    </w:p>
    <w:p w14:paraId="5389639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Dependencies may also emerge through the behavior of individual models.</w:t>
      </w:r>
    </w:p>
    <w:p w14:paraId="58BE3BA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Prompt engineering strategies, structured output expectations, tool-calling behavior, and application evaluation datasets frequently become optimized for particular models over time.</w:t>
      </w:r>
    </w:p>
    <w:p w14:paraId="1504089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Even if two providers expose compatible APIs, differences in reasoning style, formatting, instruction following, and tool selection may require prompt adaptation during migration.</w:t>
      </w:r>
    </w:p>
    <w:p w14:paraId="56CA007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API compatibility therefore does not guarantee behavioral compatibility.</w:t>
      </w:r>
    </w:p>
    <w:p w14:paraId="1E80A1E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distinction has become increasingly important as providers adopt similar interface designs while continuing to differentiate their underlying models.</w:t>
      </w:r>
    </w:p>
    <w:p w14:paraId="47CF2DF9"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Data and Embedding Dependencies</w:t>
      </w:r>
    </w:p>
    <w:p w14:paraId="72237F3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Applications implementing retrieval-augmented generation often depend upon embedding models used during indexing.</w:t>
      </w:r>
    </w:p>
    <w:p w14:paraId="56D5934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Changing embedding models frequently requires regenerating vector representations across entire document collections.</w:t>
      </w:r>
    </w:p>
    <w:p w14:paraId="5A7F697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Similarly, provider-specific document processing pipelines, knowledge services, or proprietary retrieval infrastructure may complicate migration.</w:t>
      </w:r>
    </w:p>
    <w:p w14:paraId="64FD412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For organizations anticipating multi-provider strategies, these dependencies should be evaluated early during architectural design.</w:t>
      </w:r>
    </w:p>
    <w:p w14:paraId="62B8A5D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Chapters 10 through 12 examine these considerations in substantially greater depth.</w:t>
      </w:r>
    </w:p>
    <w:p w14:paraId="60BE356A"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Operational Dependencies</w:t>
      </w:r>
    </w:p>
    <w:p w14:paraId="7C14125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also become dependent upon provider-specific operational ecosystems.</w:t>
      </w:r>
    </w:p>
    <w:p w14:paraId="290FECC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Monitoring dashboards, administrative tooling, IAM integration, billing systems, deployment automation, support processes, and compliance workflows all contribute to organizational familiarity and operational efficiency.</w:t>
      </w:r>
    </w:p>
    <w:p w14:paraId="62FBFE4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Migrating providers therefore involves both technical changes and operational adaptation.</w:t>
      </w:r>
    </w:p>
    <w:p w14:paraId="78572ED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indirect costs are frequently underestimated during initial procurement decisions.</w:t>
      </w:r>
    </w:p>
    <w:p w14:paraId="43AD5675"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Strategies for Improving Portability</w:t>
      </w:r>
    </w:p>
    <w:p w14:paraId="6BDAAAA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Complete provider independence is rarely achievable without sacrificing valuable platform capabilities.</w:t>
      </w:r>
    </w:p>
    <w:p w14:paraId="3ED2CFC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Nevertheless, several architectural practices significantly improve long-term flexibility.</w:t>
      </w:r>
    </w:p>
    <w:p w14:paraId="387A7EE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Applications should isolate provider-specific interactions behind well-defined internal interfaces whenever practical.</w:t>
      </w:r>
    </w:p>
    <w:p w14:paraId="4E62594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Evaluation datasets should remain provider-independent.</w:t>
      </w:r>
    </w:p>
    <w:p w14:paraId="2E08B77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Business logic should not depend upon undocumented model behavior.</w:t>
      </w:r>
    </w:p>
    <w:p w14:paraId="1F73179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Structured outputs should rely upon standardized schemas rather than provider-specific formatting conventions.</w:t>
      </w:r>
    </w:p>
    <w:p w14:paraId="1D5BC62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Where appropriate, organizations may adopt abstraction layers capable of routing requests across multiple providers through a common interface. Examples include AI gateways, provider-neutral SDKs such as LiteLLM, and multi-provider routing </w:t>
      </w:r>
      <w:r w:rsidRPr="00370E1E">
        <w:rPr>
          <w:rFonts w:ascii="Times New Roman" w:eastAsia="Times New Roman" w:hAnsi="Times New Roman" w:cs="Times New Roman"/>
          <w:sz w:val="28"/>
          <w:szCs w:val="24"/>
        </w:rPr>
        <w:lastRenderedPageBreak/>
        <w:t>platforms such as OpenRouter. These approaches reduce application coupling while preserving access to diverse commercial services.</w:t>
      </w:r>
    </w:p>
    <w:p w14:paraId="64CDB40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However, abstraction itself introduces trade-offs.</w:t>
      </w:r>
    </w:p>
    <w:p w14:paraId="427FBBD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Generic interfaces may expose only the intersection of provider capabilities, delaying adoption of innovative platform features until abstractions evolve accordingly.</w:t>
      </w:r>
    </w:p>
    <w:p w14:paraId="3957194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Chapter 6 examines these architectural trade-offs in detail.</w:t>
      </w:r>
    </w:p>
    <w:p w14:paraId="5D7091C7"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Deliberate Rather Than Accidental Dependencies</w:t>
      </w:r>
    </w:p>
    <w:p w14:paraId="42955DD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Perhaps the most important engineering principle is intentionality.</w:t>
      </w:r>
    </w:p>
    <w:p w14:paraId="773E56D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Vendor lock-in becomes problematic primarily when organizations discover dependencies unexpectedly after they have accumulated.</w:t>
      </w:r>
    </w:p>
    <w:p w14:paraId="2D97B1A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Conversely, consciously accepting provider-specific capabilities in exchange for measurable operational benefits often represents a rational engineering decision.</w:t>
      </w:r>
    </w:p>
    <w:p w14:paraId="2F88460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Platform engineering therefore seeks informed trade-offs rather than universal portability.</w:t>
      </w:r>
    </w:p>
    <w:p w14:paraId="19F3C1B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3-11. Common Sources of Vendor Lock-In</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14"/>
        <w:gridCol w:w="3707"/>
        <w:gridCol w:w="3734"/>
      </w:tblGrid>
      <w:tr w:rsidR="00370E1E" w:rsidRPr="0017187C" w14:paraId="6ADB1011" w14:textId="77777777" w:rsidTr="0017187C">
        <w:trPr>
          <w:tblHeader/>
          <w:tblCellSpacing w:w="15" w:type="dxa"/>
        </w:trPr>
        <w:tc>
          <w:tcPr>
            <w:tcW w:w="0" w:type="auto"/>
            <w:vAlign w:val="center"/>
            <w:hideMark/>
          </w:tcPr>
          <w:p w14:paraId="375AE896"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Source of Dependency</w:t>
            </w:r>
          </w:p>
        </w:tc>
        <w:tc>
          <w:tcPr>
            <w:tcW w:w="0" w:type="auto"/>
            <w:vAlign w:val="center"/>
            <w:hideMark/>
          </w:tcPr>
          <w:p w14:paraId="3599A64C"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Typical Cause</w:t>
            </w:r>
          </w:p>
        </w:tc>
        <w:tc>
          <w:tcPr>
            <w:tcW w:w="0" w:type="auto"/>
            <w:vAlign w:val="center"/>
            <w:hideMark/>
          </w:tcPr>
          <w:p w14:paraId="628D8959"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Mitigation Strategy</w:t>
            </w:r>
          </w:p>
        </w:tc>
      </w:tr>
      <w:tr w:rsidR="00370E1E" w:rsidRPr="0017187C" w14:paraId="0B127ADB" w14:textId="77777777" w:rsidTr="0017187C">
        <w:trPr>
          <w:tblCellSpacing w:w="15" w:type="dxa"/>
        </w:trPr>
        <w:tc>
          <w:tcPr>
            <w:tcW w:w="0" w:type="auto"/>
            <w:vAlign w:val="center"/>
            <w:hideMark/>
          </w:tcPr>
          <w:p w14:paraId="71045C3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API implementation</w:t>
            </w:r>
          </w:p>
        </w:tc>
        <w:tc>
          <w:tcPr>
            <w:tcW w:w="0" w:type="auto"/>
            <w:vAlign w:val="center"/>
            <w:hideMark/>
          </w:tcPr>
          <w:p w14:paraId="4F53073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Provider-specific request formats, SDKs, and authentication</w:t>
            </w:r>
          </w:p>
        </w:tc>
        <w:tc>
          <w:tcPr>
            <w:tcW w:w="0" w:type="auto"/>
            <w:vAlign w:val="center"/>
            <w:hideMark/>
          </w:tcPr>
          <w:p w14:paraId="3F49BE3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Introduce internal abstraction layers or AI gateways where appropriate.</w:t>
            </w:r>
          </w:p>
        </w:tc>
      </w:tr>
      <w:tr w:rsidR="00370E1E" w:rsidRPr="0017187C" w14:paraId="5EA95993" w14:textId="77777777" w:rsidTr="0017187C">
        <w:trPr>
          <w:tblCellSpacing w:w="15" w:type="dxa"/>
        </w:trPr>
        <w:tc>
          <w:tcPr>
            <w:tcW w:w="0" w:type="auto"/>
            <w:vAlign w:val="center"/>
            <w:hideMark/>
          </w:tcPr>
          <w:p w14:paraId="5EFFCC3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Platform services</w:t>
            </w:r>
          </w:p>
        </w:tc>
        <w:tc>
          <w:tcPr>
            <w:tcW w:w="0" w:type="auto"/>
            <w:vAlign w:val="center"/>
            <w:hideMark/>
          </w:tcPr>
          <w:p w14:paraId="164B589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Proprietary prompt management, evaluation, or workflow capabilities</w:t>
            </w:r>
          </w:p>
        </w:tc>
        <w:tc>
          <w:tcPr>
            <w:tcW w:w="0" w:type="auto"/>
            <w:vAlign w:val="center"/>
            <w:hideMark/>
          </w:tcPr>
          <w:p w14:paraId="639177A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Adopt integrated services selectively based on long-term architectural priorities.</w:t>
            </w:r>
          </w:p>
        </w:tc>
      </w:tr>
      <w:tr w:rsidR="00370E1E" w:rsidRPr="0017187C" w14:paraId="54F75337" w14:textId="77777777" w:rsidTr="0017187C">
        <w:trPr>
          <w:tblCellSpacing w:w="15" w:type="dxa"/>
        </w:trPr>
        <w:tc>
          <w:tcPr>
            <w:tcW w:w="0" w:type="auto"/>
            <w:vAlign w:val="center"/>
            <w:hideMark/>
          </w:tcPr>
          <w:p w14:paraId="21DE56E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Model behavior</w:t>
            </w:r>
          </w:p>
        </w:tc>
        <w:tc>
          <w:tcPr>
            <w:tcW w:w="0" w:type="auto"/>
            <w:vAlign w:val="center"/>
            <w:hideMark/>
          </w:tcPr>
          <w:p w14:paraId="69B901C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Prompt optimization and workflow assumptions tailored to specific models</w:t>
            </w:r>
          </w:p>
        </w:tc>
        <w:tc>
          <w:tcPr>
            <w:tcW w:w="0" w:type="auto"/>
            <w:vAlign w:val="center"/>
            <w:hideMark/>
          </w:tcPr>
          <w:p w14:paraId="798741E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Maintain representative evaluation datasets and validate migration candidates.</w:t>
            </w:r>
          </w:p>
        </w:tc>
      </w:tr>
      <w:tr w:rsidR="00370E1E" w:rsidRPr="0017187C" w14:paraId="179A44F8" w14:textId="77777777" w:rsidTr="0017187C">
        <w:trPr>
          <w:tblCellSpacing w:w="15" w:type="dxa"/>
        </w:trPr>
        <w:tc>
          <w:tcPr>
            <w:tcW w:w="0" w:type="auto"/>
            <w:vAlign w:val="center"/>
            <w:hideMark/>
          </w:tcPr>
          <w:p w14:paraId="2F405633"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Embeddings and retrieval</w:t>
            </w:r>
          </w:p>
        </w:tc>
        <w:tc>
          <w:tcPr>
            <w:tcW w:w="0" w:type="auto"/>
            <w:vAlign w:val="center"/>
            <w:hideMark/>
          </w:tcPr>
          <w:p w14:paraId="5237A79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Dependence on provider-specific embedding models or managed retrieval services</w:t>
            </w:r>
          </w:p>
        </w:tc>
        <w:tc>
          <w:tcPr>
            <w:tcW w:w="0" w:type="auto"/>
            <w:vAlign w:val="center"/>
            <w:hideMark/>
          </w:tcPr>
          <w:p w14:paraId="3C25F7A5"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Prefer modular retrieval architectures and document embedding lifecycle decisions.</w:t>
            </w:r>
          </w:p>
        </w:tc>
      </w:tr>
      <w:tr w:rsidR="00370E1E" w:rsidRPr="0017187C" w14:paraId="13B2E2A5" w14:textId="77777777" w:rsidTr="0017187C">
        <w:trPr>
          <w:tblCellSpacing w:w="15" w:type="dxa"/>
        </w:trPr>
        <w:tc>
          <w:tcPr>
            <w:tcW w:w="0" w:type="auto"/>
            <w:vAlign w:val="center"/>
            <w:hideMark/>
          </w:tcPr>
          <w:p w14:paraId="1454914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Operational ecosystem</w:t>
            </w:r>
          </w:p>
        </w:tc>
        <w:tc>
          <w:tcPr>
            <w:tcW w:w="0" w:type="auto"/>
            <w:vAlign w:val="center"/>
            <w:hideMark/>
          </w:tcPr>
          <w:p w14:paraId="0B55E03B"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Monitoring, IAM integration, administrative tooling, and governance workflows</w:t>
            </w:r>
          </w:p>
        </w:tc>
        <w:tc>
          <w:tcPr>
            <w:tcW w:w="0" w:type="auto"/>
            <w:vAlign w:val="center"/>
            <w:hideMark/>
          </w:tcPr>
          <w:p w14:paraId="7887FAF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Evaluate migration effort as part of procurement rather than after deployment.</w:t>
            </w:r>
          </w:p>
        </w:tc>
      </w:tr>
    </w:tbl>
    <w:p w14:paraId="50AD876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Vendor lock-in is therefore best understood as an architectural trade-off rather than an inherent flaw. Managed AI platforms derive much of their value from offering capabilities beyond raw inference, and those capabilities inevitably create varying degrees of dependency. The responsibility of platform engineering is to ensure that such dependencies are explicit, proportionate to the value they deliver, and aligned with the organization's long-term architectural objectives.</w:t>
      </w:r>
    </w:p>
    <w:p w14:paraId="2C30E58B"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3.13 Common Misconceptions About Commercial AI Platforms</w:t>
      </w:r>
    </w:p>
    <w:p w14:paraId="6AE2DEE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rapid adoption of commercial AI services has produced a number of persistent misconceptions. Many originate from early experimentation with language models, while others arise from marketing narratives or the understandable tendency to compare AI services with traditional software APIs.</w:t>
      </w:r>
    </w:p>
    <w:p w14:paraId="1C8D78B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misconceptions can lead organizations toward architectures that perform well in demonstrations but encounter significant operational challenges in production. Platform engineering therefore requires separating assumptions that hold for small-scale experimentation from practices appropriate for long-lived enterprise systems.</w:t>
      </w:r>
    </w:p>
    <w:p w14:paraId="7A5BEA0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section examines several of the most common misconceptions encountered in production AI adoption.</w:t>
      </w:r>
    </w:p>
    <w:p w14:paraId="332EE710"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"The Best Benchmark Model Is Always the Best Production Choice"</w:t>
      </w:r>
    </w:p>
    <w:p w14:paraId="296331D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Perhaps the most widespread misconception is that benchmark rankings directly determine production suitability.</w:t>
      </w:r>
    </w:p>
    <w:p w14:paraId="5D7C0DE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Benchmark performance is undeniably valuable. Standardized evaluations provide objective measurements across specific tasks and enable meaningful comparisons between competing models. However, benchmarks intentionally simplify reality. They evaluate controlled problems under predefined conditions rather than complete software systems operating within production environments.</w:t>
      </w:r>
    </w:p>
    <w:p w14:paraId="7B2F0A7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 model leading a reasoning benchmark may exhibit higher latency, increased operational cost, stricter rate limits, or less predictable structured output behavior than another model that achieves slightly lower benchmark scores.</w:t>
      </w:r>
    </w:p>
    <w:p w14:paraId="56B29C5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Similarly, enterprise applications frequently optimize for characteristics not directly represented by public benchmarks, including operational stability, API maturity, regional availability, governance integration, and long-term version management.</w:t>
      </w:r>
    </w:p>
    <w:p w14:paraId="1D24157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Consequently, benchmark results should inform engineering decisions rather than determine them.</w:t>
      </w:r>
    </w:p>
    <w:p w14:paraId="0C582CA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should validate candidate models against representative application workloads before making architectural commitments.</w:t>
      </w:r>
    </w:p>
    <w:p w14:paraId="2DB4F162"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"Commercial APIs Eliminate Infrastructure Engineering"</w:t>
      </w:r>
    </w:p>
    <w:p w14:paraId="119D0EB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Managed AI services substantially reduce operational complexity compared with self-hosted inference infrastructure.</w:t>
      </w:r>
    </w:p>
    <w:p w14:paraId="514AAC0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However, they do not eliminate infrastructure engineering.</w:t>
      </w:r>
    </w:p>
    <w:p w14:paraId="38B6FDD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Applications still require API gateways, authentication, networking, deployment automation, monitoring, evaluation pipelines, caching strategies, secret management, incident response procedures, and operational governance.</w:t>
      </w:r>
    </w:p>
    <w:p w14:paraId="5F35AEE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 many organizations, infrastructure responsibilities shift rather than disappear.</w:t>
      </w:r>
    </w:p>
    <w:p w14:paraId="298470F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Instead of operating GPU clusters, platform teams increasingly operate the surrounding ecosystem that integrates commercial AI services into enterprise software environments.</w:t>
      </w:r>
    </w:p>
    <w:p w14:paraId="58EDCC4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distinction explains why organizations adopting managed AI services continue to invest heavily in platform engineering despite delegating inference infrastructure to external providers.</w:t>
      </w:r>
    </w:p>
    <w:p w14:paraId="35C1B95F"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"The Provider Handles Security"</w:t>
      </w:r>
    </w:p>
    <w:p w14:paraId="63F1509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providers invest extensively in infrastructure security, physical data center protection, network isolation, service authentication, vulnerability management, and operational resilience.</w:t>
      </w:r>
    </w:p>
    <w:p w14:paraId="3BADC45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responsibilities, however, represent only one layer of overall system security.</w:t>
      </w:r>
    </w:p>
    <w:p w14:paraId="14511CE3"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remain responsible for protecting application data, implementing authorization logic, validating tool execution, governing prompt construction, securing business workflows, managing secrets, enforcing organizational policies, and satisfying regulatory obligations.</w:t>
      </w:r>
    </w:p>
    <w:p w14:paraId="06CDF28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Security therefore follows a shared responsibility model similar to cloud computing.</w:t>
      </w:r>
    </w:p>
    <w:p w14:paraId="25DEED0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Provider capabilities reduce operational burden but do not replace application security architecture.</w:t>
      </w:r>
    </w:p>
    <w:p w14:paraId="74371AC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Chapter 14 examines this distinction in depth.</w:t>
      </w:r>
    </w:p>
    <w:p w14:paraId="010B0EDA"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"Model Quality Improves Automatically"</w:t>
      </w:r>
    </w:p>
    <w:p w14:paraId="20456A7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Providers continuously improve foundation models.</w:t>
      </w:r>
    </w:p>
    <w:p w14:paraId="2212CDB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improvements often increase reasoning quality, expand multimodal capabilities, strengthen instruction following, or reduce hallucination rates for certain tasks.</w:t>
      </w:r>
    </w:p>
    <w:p w14:paraId="466BEE4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Nevertheless, improvements remain workload-dependent.</w:t>
      </w:r>
    </w:p>
    <w:p w14:paraId="35A1838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Behavior that benefits one application may require adjustments within another.</w:t>
      </w:r>
    </w:p>
    <w:p w14:paraId="103FD71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Changes to response formatting, safety systems, or reasoning strategies can influence downstream workflows even when overall model capability increases.</w:t>
      </w:r>
    </w:p>
    <w:p w14:paraId="7C2C642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should therefore validate new model versions before production deployment rather than assuming that newer automatically means better for every application.</w:t>
      </w:r>
    </w:p>
    <w:p w14:paraId="4E0B063B"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"Switching Providers Is Easy"</w:t>
      </w:r>
    </w:p>
    <w:p w14:paraId="17FAEC2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API convergence has significantly reduced migration effort compared with the early commercial AI ecosystem.</w:t>
      </w:r>
    </w:p>
    <w:p w14:paraId="1042BBD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Many providers now support similar request structures, streaming interfaces, structured outputs, and tool-calling patterns.</w:t>
      </w:r>
    </w:p>
    <w:p w14:paraId="6B2DAE07"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Despite these similarities, migration rarely consists of changing a configuration value.</w:t>
      </w:r>
    </w:p>
    <w:p w14:paraId="527A2AD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Applications accumulate dependencies upon model behavior, operational processes, authentication mechanisms, quotas, lifecycle policies, evaluation datasets, and organizational workflows.</w:t>
      </w:r>
    </w:p>
    <w:p w14:paraId="33CA745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Successful migration therefore requires planning, testing, and operational coordination comparable to other major infrastructure changes.</w:t>
      </w:r>
    </w:p>
    <w:p w14:paraId="78DD04B7"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"Managed Platforms Replace Internal Engineering Expertise"</w:t>
      </w:r>
    </w:p>
    <w:p w14:paraId="520AD0A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Commercial AI platforms simplify many aspects of AI adoption, but they do not eliminate the need for technical expertise.</w:t>
      </w:r>
    </w:p>
    <w:p w14:paraId="03F3470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Indeed, as infrastructure complexity decreases, architectural complexity often becomes more important.</w:t>
      </w:r>
    </w:p>
    <w:p w14:paraId="26F7848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Organizations must still understand workload characteristics, evaluation methodology, governance, operational resilience, system integration, and software architecture.</w:t>
      </w:r>
    </w:p>
    <w:p w14:paraId="00A4B58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Platform engineering therefore evolves rather than disappears.</w:t>
      </w:r>
    </w:p>
    <w:p w14:paraId="49D46DC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emphasis shifts from operating inference infrastructure toward designing reliable AI-enabled software systems.</w:t>
      </w:r>
    </w:p>
    <w:p w14:paraId="7585646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b/>
          <w:bCs/>
          <w:sz w:val="28"/>
          <w:szCs w:val="24"/>
        </w:rPr>
        <w:t>Table 3-12. Common Misconceptions and Engineering Reality</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533"/>
        <w:gridCol w:w="3799"/>
        <w:gridCol w:w="3023"/>
      </w:tblGrid>
      <w:tr w:rsidR="00370E1E" w:rsidRPr="0017187C" w14:paraId="5A1D4319" w14:textId="77777777" w:rsidTr="0017187C">
        <w:trPr>
          <w:tblHeader/>
          <w:tblCellSpacing w:w="15" w:type="dxa"/>
        </w:trPr>
        <w:tc>
          <w:tcPr>
            <w:tcW w:w="0" w:type="auto"/>
            <w:vAlign w:val="center"/>
            <w:hideMark/>
          </w:tcPr>
          <w:p w14:paraId="1969D6A8"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Misconception</w:t>
            </w:r>
          </w:p>
        </w:tc>
        <w:tc>
          <w:tcPr>
            <w:tcW w:w="0" w:type="auto"/>
            <w:vAlign w:val="center"/>
            <w:hideMark/>
          </w:tcPr>
          <w:p w14:paraId="0C5C9BAA"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Engineering Reality</w:t>
            </w:r>
          </w:p>
        </w:tc>
        <w:tc>
          <w:tcPr>
            <w:tcW w:w="0" w:type="auto"/>
            <w:vAlign w:val="center"/>
            <w:hideMark/>
          </w:tcPr>
          <w:p w14:paraId="57CC77D0" w14:textId="77777777" w:rsidR="00370E1E" w:rsidRPr="0017187C" w:rsidRDefault="00370E1E" w:rsidP="00370E1E">
            <w:pPr>
              <w:jc w:val="center"/>
              <w:rPr>
                <w:rFonts w:ascii="Times New Roman" w:eastAsia="Calibri" w:hAnsi="Times New Roman" w:cs="Times New Roman"/>
                <w:b/>
                <w:bCs/>
                <w:sz w:val="24"/>
              </w:rPr>
            </w:pPr>
            <w:r w:rsidRPr="0017187C">
              <w:rPr>
                <w:rFonts w:ascii="Times New Roman" w:eastAsia="Calibri" w:hAnsi="Times New Roman" w:cs="Times New Roman"/>
                <w:b/>
                <w:bCs/>
                <w:sz w:val="24"/>
              </w:rPr>
              <w:t>Practical Guidance</w:t>
            </w:r>
          </w:p>
        </w:tc>
      </w:tr>
      <w:tr w:rsidR="00370E1E" w:rsidRPr="0017187C" w14:paraId="4E1D9D12" w14:textId="77777777" w:rsidTr="0017187C">
        <w:trPr>
          <w:tblCellSpacing w:w="15" w:type="dxa"/>
        </w:trPr>
        <w:tc>
          <w:tcPr>
            <w:tcW w:w="0" w:type="auto"/>
            <w:vAlign w:val="center"/>
            <w:hideMark/>
          </w:tcPr>
          <w:p w14:paraId="2FA3FC6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The highest benchmark score guarantees the best production model.</w:t>
            </w:r>
          </w:p>
        </w:tc>
        <w:tc>
          <w:tcPr>
            <w:tcW w:w="0" w:type="auto"/>
            <w:vAlign w:val="center"/>
            <w:hideMark/>
          </w:tcPr>
          <w:p w14:paraId="41180CCF"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Production success depends upon workload characteristics, operational behavior, and integration requirements in addition to model quality.</w:t>
            </w:r>
          </w:p>
        </w:tc>
        <w:tc>
          <w:tcPr>
            <w:tcW w:w="0" w:type="auto"/>
            <w:vAlign w:val="center"/>
            <w:hideMark/>
          </w:tcPr>
          <w:p w14:paraId="52B03CE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Evaluate representative production workloads rather than relying solely on public benchmarks.</w:t>
            </w:r>
          </w:p>
        </w:tc>
      </w:tr>
      <w:tr w:rsidR="00370E1E" w:rsidRPr="0017187C" w14:paraId="12A67DED" w14:textId="77777777" w:rsidTr="0017187C">
        <w:trPr>
          <w:tblCellSpacing w:w="15" w:type="dxa"/>
        </w:trPr>
        <w:tc>
          <w:tcPr>
            <w:tcW w:w="0" w:type="auto"/>
            <w:vAlign w:val="center"/>
            <w:hideMark/>
          </w:tcPr>
          <w:p w14:paraId="611FA0F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Managed AI services eliminate infrastructure engineering.</w:t>
            </w:r>
          </w:p>
        </w:tc>
        <w:tc>
          <w:tcPr>
            <w:tcW w:w="0" w:type="auto"/>
            <w:vAlign w:val="center"/>
            <w:hideMark/>
          </w:tcPr>
          <w:p w14:paraId="157007DE"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Infrastructure responsibilities shift toward integration, governance, deployment, and operations.</w:t>
            </w:r>
          </w:p>
        </w:tc>
        <w:tc>
          <w:tcPr>
            <w:tcW w:w="0" w:type="auto"/>
            <w:vAlign w:val="center"/>
            <w:hideMark/>
          </w:tcPr>
          <w:p w14:paraId="05EA9017"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Continue investing in platform engineering capabilities despite outsourcing inference infrastructure.</w:t>
            </w:r>
          </w:p>
        </w:tc>
      </w:tr>
      <w:tr w:rsidR="00370E1E" w:rsidRPr="0017187C" w14:paraId="3C9E1072" w14:textId="77777777" w:rsidTr="0017187C">
        <w:trPr>
          <w:tblCellSpacing w:w="15" w:type="dxa"/>
        </w:trPr>
        <w:tc>
          <w:tcPr>
            <w:tcW w:w="0" w:type="auto"/>
            <w:vAlign w:val="center"/>
            <w:hideMark/>
          </w:tcPr>
          <w:p w14:paraId="1839B016"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Providers are responsible for all security.</w:t>
            </w:r>
          </w:p>
        </w:tc>
        <w:tc>
          <w:tcPr>
            <w:tcW w:w="0" w:type="auto"/>
            <w:vAlign w:val="center"/>
            <w:hideMark/>
          </w:tcPr>
          <w:p w14:paraId="7824FE4D"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Security follows a shared responsibility model.</w:t>
            </w:r>
          </w:p>
        </w:tc>
        <w:tc>
          <w:tcPr>
            <w:tcW w:w="0" w:type="auto"/>
            <w:vAlign w:val="center"/>
            <w:hideMark/>
          </w:tcPr>
          <w:p w14:paraId="3E3CC6A9"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Combine provider safeguards with organizational security architecture.</w:t>
            </w:r>
          </w:p>
        </w:tc>
      </w:tr>
      <w:tr w:rsidR="00370E1E" w:rsidRPr="0017187C" w14:paraId="2564898C" w14:textId="77777777" w:rsidTr="0017187C">
        <w:trPr>
          <w:tblCellSpacing w:w="15" w:type="dxa"/>
        </w:trPr>
        <w:tc>
          <w:tcPr>
            <w:tcW w:w="0" w:type="auto"/>
            <w:vAlign w:val="center"/>
            <w:hideMark/>
          </w:tcPr>
          <w:p w14:paraId="16E9B118"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Newer model versions are always better.</w:t>
            </w:r>
          </w:p>
        </w:tc>
        <w:tc>
          <w:tcPr>
            <w:tcW w:w="0" w:type="auto"/>
            <w:vAlign w:val="center"/>
            <w:hideMark/>
          </w:tcPr>
          <w:p w14:paraId="1E3BAABB"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Model improvements may introduce behavioral changes affecting existing applications.</w:t>
            </w:r>
          </w:p>
        </w:tc>
        <w:tc>
          <w:tcPr>
            <w:tcW w:w="0" w:type="auto"/>
            <w:vAlign w:val="center"/>
            <w:hideMark/>
          </w:tcPr>
          <w:p w14:paraId="72118692"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Validate upgrades using regression testing before deployment.</w:t>
            </w:r>
          </w:p>
        </w:tc>
      </w:tr>
      <w:tr w:rsidR="00370E1E" w:rsidRPr="0017187C" w14:paraId="7F5B9278" w14:textId="77777777" w:rsidTr="0017187C">
        <w:trPr>
          <w:tblCellSpacing w:w="15" w:type="dxa"/>
        </w:trPr>
        <w:tc>
          <w:tcPr>
            <w:tcW w:w="0" w:type="auto"/>
            <w:vAlign w:val="center"/>
            <w:hideMark/>
          </w:tcPr>
          <w:p w14:paraId="1CFD991A"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Compatible APIs guarantee easy migration.</w:t>
            </w:r>
          </w:p>
        </w:tc>
        <w:tc>
          <w:tcPr>
            <w:tcW w:w="0" w:type="auto"/>
            <w:vAlign w:val="center"/>
            <w:hideMark/>
          </w:tcPr>
          <w:p w14:paraId="47E73AB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Behavioral, operational, and governance differences remain significant.</w:t>
            </w:r>
          </w:p>
        </w:tc>
        <w:tc>
          <w:tcPr>
            <w:tcW w:w="0" w:type="auto"/>
            <w:vAlign w:val="center"/>
            <w:hideMark/>
          </w:tcPr>
          <w:p w14:paraId="0CC5124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Plan migrations as engineering projects rather than configuration changes.</w:t>
            </w:r>
          </w:p>
        </w:tc>
      </w:tr>
      <w:tr w:rsidR="00370E1E" w:rsidRPr="0017187C" w14:paraId="1777E878" w14:textId="77777777" w:rsidTr="0017187C">
        <w:trPr>
          <w:tblCellSpacing w:w="15" w:type="dxa"/>
        </w:trPr>
        <w:tc>
          <w:tcPr>
            <w:tcW w:w="0" w:type="auto"/>
            <w:vAlign w:val="center"/>
            <w:hideMark/>
          </w:tcPr>
          <w:p w14:paraId="770F13E1"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Managed platforms eliminate the need for AI expertise.</w:t>
            </w:r>
          </w:p>
        </w:tc>
        <w:tc>
          <w:tcPr>
            <w:tcW w:w="0" w:type="auto"/>
            <w:vAlign w:val="center"/>
            <w:hideMark/>
          </w:tcPr>
          <w:p w14:paraId="187A9C8C"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Architectural understanding remains essential for successful production systems.</w:t>
            </w:r>
          </w:p>
        </w:tc>
        <w:tc>
          <w:tcPr>
            <w:tcW w:w="0" w:type="auto"/>
            <w:vAlign w:val="center"/>
            <w:hideMark/>
          </w:tcPr>
          <w:p w14:paraId="32D45970" w14:textId="77777777" w:rsidR="00370E1E" w:rsidRPr="0017187C" w:rsidRDefault="00370E1E" w:rsidP="00370E1E">
            <w:pPr>
              <w:rPr>
                <w:rFonts w:ascii="Times New Roman" w:eastAsia="Calibri" w:hAnsi="Times New Roman" w:cs="Times New Roman"/>
                <w:sz w:val="24"/>
              </w:rPr>
            </w:pPr>
            <w:r w:rsidRPr="0017187C">
              <w:rPr>
                <w:rFonts w:ascii="Times New Roman" w:eastAsia="Calibri" w:hAnsi="Times New Roman" w:cs="Times New Roman"/>
                <w:sz w:val="24"/>
              </w:rPr>
              <w:t>Develop internal engineering practices alongside platform adoption.</w:t>
            </w:r>
          </w:p>
        </w:tc>
      </w:tr>
    </w:tbl>
    <w:p w14:paraId="6E1E01B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Recognizing these misconceptions encourages more realistic architectural planning and reduces the likelihood of unexpected operational challenges as AI systems mature beyond prototype deployments.</w:t>
      </w:r>
    </w:p>
    <w:p w14:paraId="10346CDA" w14:textId="77777777" w:rsidR="00370E1E" w:rsidRPr="00370E1E" w:rsidRDefault="0017187C" w:rsidP="00370E1E">
      <w:pPr>
        <w:rPr>
          <w:rFonts w:ascii="Calibri" w:eastAsia="Calibri" w:hAnsi="Calibri" w:cs="Times New Roman"/>
          <w:sz w:val="24"/>
        </w:rPr>
      </w:pPr>
      <w:r>
        <w:rPr>
          <w:rFonts w:ascii="Calibri" w:eastAsia="Calibri" w:hAnsi="Calibri" w:cs="Times New Roman"/>
          <w:sz w:val="24"/>
        </w:rPr>
        <w:pict w14:anchorId="2D732CBC">
          <v:rect id="_x0000_i1033" style="width:0;height:1.5pt" o:hralign="center" o:hrstd="t" o:hr="t" fillcolor="#a0a0a0" stroked="f"/>
        </w:pict>
      </w:r>
    </w:p>
    <w:p w14:paraId="4640907B"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3.14 Chapter Summary</w:t>
      </w:r>
    </w:p>
    <w:p w14:paraId="35F39BB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Commercial AI services have become the dominant mechanism through which organizations adopt frontier foundation models. Rather than operating inference infrastructure directly, engineering teams increasingly consume AI capabilities as managed services offering APIs, operational tooling, enterprise governance, identity integration, and lifecycle management.</w:t>
      </w:r>
    </w:p>
    <w:p w14:paraId="5DAAB8C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evolution reflects a broader trend already familiar from cloud computing. Infrastructure responsibilities associated with model hosting, accelerator management, distributed inference, and capacity planning are delegated to specialized providers, allowing organizations to focus more directly on application architecture and business functionality.</w:t>
      </w:r>
    </w:p>
    <w:p w14:paraId="7980056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However, managed AI services should not be understood simply as hosted language models.</w:t>
      </w:r>
    </w:p>
    <w:p w14:paraId="3F5B5EF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Throughout this chapter, commercial platforms have been examined as distributed software systems comprising multiple architectural layers. Foundation models represent only one component within broader platforms that also include authentication, networking, governance, operational reliability, lifecycle management, evaluation tooling, safety mechanisms, and enterprise integration.</w:t>
      </w:r>
    </w:p>
    <w:p w14:paraId="2F55EB0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Several architectural themes recur throughout modern commercial AI platforms.</w:t>
      </w:r>
    </w:p>
    <w:p w14:paraId="0E26ADE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First, the industry is converging toward common interaction patterns. Streaming APIs, structured outputs, tool calling, multimodal interfaces, and unified response APIs have become increasingly consistent across providers, reducing—but not eliminating—the effort required to support multiple platforms.</w:t>
      </w:r>
    </w:p>
    <w:p w14:paraId="7CEA7DD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Second, operational characteristics frequently matter as much as model capability. Latency, availability, regional deployment, quota management, lifecycle transparency, documentation quality, and enterprise support all influence long-term production success.</w:t>
      </w:r>
    </w:p>
    <w:p w14:paraId="4AEB664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Third, commercial platforms increasingly compete through integrated ecosystems rather than through inference alone. Prompt management, evaluation services, managed retrieval, governance capabilities, fine-tuning workflows, and administrative tooling collectively transform AI platforms into comprehensive application development environments.</w:t>
      </w:r>
    </w:p>
    <w:p w14:paraId="43C0316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This expansion introduces corresponding architectural trade-offs.</w:t>
      </w:r>
    </w:p>
    <w:p w14:paraId="3F32F97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Integrated platform services accelerate development and simplify operations but may increase provider dependence. Platform engineers must therefore balance short-term productivity against long-term portability, recognizing that some degree of vendor lock-in is an inherent consequence of consuming managed services.</w:t>
      </w:r>
    </w:p>
    <w:p w14:paraId="2198BF3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The chapter has also emphasized that commercial AI adoption does not eliminate engineering responsibility.</w:t>
      </w:r>
    </w:p>
    <w:p w14:paraId="7BEC864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Organizations remain accountable for application architecture, workload-specific evaluation, security, governance, deployment, observability, resilience, operational maintenance, and financial management. Managed platforms reduce infrastructure complexity without replacing sound engineering practices.</w:t>
      </w:r>
    </w:p>
    <w:p w14:paraId="3BE8682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Finally, model selection has been presented as a continuous engineering process rather than a one-time procurement decision. Foundation models evolve rapidly, commercial services continuously introduce new capabilities, and application requirements change over time. Successful organizations therefore establish repeatable evaluation processes, maintain representative regression datasets, monitor provider lifecycle announcements, and periodically reassess architectural decisions.</w:t>
      </w:r>
    </w:p>
    <w:p w14:paraId="5DF14F1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subsequent chapters build upon these concepts by examining situations in which organizations choose to operate models themselves rather than relying exclusively on commercial AI services. Chapter 4 explores open-weight foundation models, software licensing, self-hosted deployment options, and the engineering trade-offs associated with assuming direct operational control over model infrastructure.</w:t>
      </w:r>
    </w:p>
    <w:p w14:paraId="0D748099" w14:textId="77777777" w:rsidR="00370E1E" w:rsidRPr="00370E1E" w:rsidRDefault="0017187C" w:rsidP="00370E1E">
      <w:pPr>
        <w:rPr>
          <w:rFonts w:ascii="Calibri" w:eastAsia="Calibri" w:hAnsi="Calibri" w:cs="Times New Roman"/>
          <w:sz w:val="24"/>
        </w:rPr>
      </w:pPr>
      <w:r>
        <w:rPr>
          <w:rFonts w:ascii="Calibri" w:eastAsia="Calibri" w:hAnsi="Calibri" w:cs="Times New Roman"/>
          <w:sz w:val="24"/>
        </w:rPr>
        <w:pict w14:anchorId="3687F8D8">
          <v:rect id="_x0000_i1034" style="width:0;height:1.5pt" o:hralign="center" o:hrstd="t" o:hr="t" fillcolor="#a0a0a0" stroked="f"/>
        </w:pict>
      </w:r>
    </w:p>
    <w:p w14:paraId="4976337D" w14:textId="77777777" w:rsidR="00370E1E" w:rsidRPr="00370E1E" w:rsidRDefault="00370E1E" w:rsidP="00370E1E">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370E1E">
        <w:rPr>
          <w:rFonts w:ascii="Times New Roman" w:eastAsia="Times New Roman" w:hAnsi="Times New Roman" w:cs="Times New Roman"/>
          <w:b/>
          <w:bCs/>
          <w:kern w:val="36"/>
          <w:sz w:val="52"/>
          <w:szCs w:val="48"/>
        </w:rPr>
        <w:t>3.15 References</w:t>
      </w:r>
    </w:p>
    <w:p w14:paraId="56A22E4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 references below emphasize authoritative and durable sources. Where multiple editions of the same guidance exist, the most recent stable publication available at the time of writing should generally be preferred.</w:t>
      </w:r>
    </w:p>
    <w:p w14:paraId="26D755C2"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Research Papers</w:t>
      </w:r>
    </w:p>
    <w:p w14:paraId="2E01AAC6"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Bommasani, R., Hudson, D. A., Adeli, E., et al. (2021). </w:t>
      </w:r>
      <w:r w:rsidRPr="00370E1E">
        <w:rPr>
          <w:rFonts w:ascii="Times New Roman" w:eastAsia="Times New Roman" w:hAnsi="Times New Roman" w:cs="Times New Roman"/>
          <w:i/>
          <w:iCs/>
          <w:sz w:val="28"/>
          <w:szCs w:val="24"/>
        </w:rPr>
        <w:t>On the Opportunities and Risks of Foundation Models.</w:t>
      </w:r>
      <w:r w:rsidRPr="00370E1E">
        <w:rPr>
          <w:rFonts w:ascii="Times New Roman" w:eastAsia="Times New Roman" w:hAnsi="Times New Roman" w:cs="Times New Roman"/>
          <w:sz w:val="28"/>
          <w:szCs w:val="24"/>
        </w:rPr>
        <w:t xml:space="preserve"> Stanford Center for Research on Foundation Models (CRFM).</w:t>
      </w:r>
    </w:p>
    <w:p w14:paraId="110149B8"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5" w:tgtFrame="_new" w:history="1">
        <w:r w:rsidR="00370E1E" w:rsidRPr="00370E1E">
          <w:rPr>
            <w:rFonts w:ascii="Times New Roman" w:eastAsia="Times New Roman" w:hAnsi="Times New Roman" w:cs="Times New Roman"/>
            <w:color w:val="0000FF"/>
            <w:sz w:val="28"/>
            <w:szCs w:val="24"/>
            <w:u w:val="single"/>
          </w:rPr>
          <w:t>https://arxiv.org/abs/2108.07258</w:t>
        </w:r>
      </w:hyperlink>
    </w:p>
    <w:p w14:paraId="7975DED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Wei, J., Tay, Y., Bommasani, R., et al. (2022). </w:t>
      </w:r>
      <w:r w:rsidRPr="00370E1E">
        <w:rPr>
          <w:rFonts w:ascii="Times New Roman" w:eastAsia="Times New Roman" w:hAnsi="Times New Roman" w:cs="Times New Roman"/>
          <w:i/>
          <w:iCs/>
          <w:sz w:val="28"/>
          <w:szCs w:val="24"/>
        </w:rPr>
        <w:t>Emergent Abilities of Large Language Models.</w:t>
      </w:r>
    </w:p>
    <w:p w14:paraId="39F418B5"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6" w:tgtFrame="_new" w:history="1">
        <w:r w:rsidR="00370E1E" w:rsidRPr="00370E1E">
          <w:rPr>
            <w:rFonts w:ascii="Times New Roman" w:eastAsia="Times New Roman" w:hAnsi="Times New Roman" w:cs="Times New Roman"/>
            <w:color w:val="0000FF"/>
            <w:sz w:val="28"/>
            <w:szCs w:val="24"/>
            <w:u w:val="single"/>
          </w:rPr>
          <w:t>https://arxiv.org/abs/2206.07682</w:t>
        </w:r>
      </w:hyperlink>
    </w:p>
    <w:p w14:paraId="6464AFC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OpenAI. (2023). </w:t>
      </w:r>
      <w:r w:rsidRPr="00370E1E">
        <w:rPr>
          <w:rFonts w:ascii="Times New Roman" w:eastAsia="Times New Roman" w:hAnsi="Times New Roman" w:cs="Times New Roman"/>
          <w:i/>
          <w:iCs/>
          <w:sz w:val="28"/>
          <w:szCs w:val="24"/>
        </w:rPr>
        <w:t>GPT-4 Technical Report.</w:t>
      </w:r>
    </w:p>
    <w:p w14:paraId="05B8E900"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7" w:tgtFrame="_new" w:history="1">
        <w:r w:rsidR="00370E1E" w:rsidRPr="00370E1E">
          <w:rPr>
            <w:rFonts w:ascii="Times New Roman" w:eastAsia="Times New Roman" w:hAnsi="Times New Roman" w:cs="Times New Roman"/>
            <w:color w:val="0000FF"/>
            <w:sz w:val="28"/>
            <w:szCs w:val="24"/>
            <w:u w:val="single"/>
          </w:rPr>
          <w:t>https://arxiv.org/abs/2303.08774</w:t>
        </w:r>
      </w:hyperlink>
    </w:p>
    <w:p w14:paraId="21CF47D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Anthropic. (2024). </w:t>
      </w:r>
      <w:r w:rsidRPr="00370E1E">
        <w:rPr>
          <w:rFonts w:ascii="Times New Roman" w:eastAsia="Times New Roman" w:hAnsi="Times New Roman" w:cs="Times New Roman"/>
          <w:i/>
          <w:iCs/>
          <w:sz w:val="28"/>
          <w:szCs w:val="24"/>
        </w:rPr>
        <w:t>The Claude 3 Model Family: Opus, Sonnet, Haiku.</w:t>
      </w:r>
    </w:p>
    <w:p w14:paraId="2803EEB4"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8" w:tgtFrame="_new" w:history="1">
        <w:r w:rsidR="00370E1E" w:rsidRPr="00370E1E">
          <w:rPr>
            <w:rFonts w:ascii="Times New Roman" w:eastAsia="Times New Roman" w:hAnsi="Times New Roman" w:cs="Times New Roman"/>
            <w:color w:val="0000FF"/>
            <w:sz w:val="28"/>
            <w:szCs w:val="24"/>
            <w:u w:val="single"/>
          </w:rPr>
          <w:t>https://www.anthropic.com/research/claude-3-family</w:t>
        </w:r>
      </w:hyperlink>
    </w:p>
    <w:p w14:paraId="39E942F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Fu, X., et al. (2024). </w:t>
      </w:r>
      <w:r w:rsidRPr="00370E1E">
        <w:rPr>
          <w:rFonts w:ascii="Times New Roman" w:eastAsia="Times New Roman" w:hAnsi="Times New Roman" w:cs="Times New Roman"/>
          <w:i/>
          <w:iCs/>
          <w:sz w:val="28"/>
          <w:szCs w:val="24"/>
        </w:rPr>
        <w:t>LiveBench: A Challenging, Contamination-Free LLM Benchmark.</w:t>
      </w:r>
    </w:p>
    <w:p w14:paraId="44B9B8F8"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9" w:tgtFrame="_new" w:history="1">
        <w:r w:rsidR="00370E1E" w:rsidRPr="00370E1E">
          <w:rPr>
            <w:rFonts w:ascii="Times New Roman" w:eastAsia="Times New Roman" w:hAnsi="Times New Roman" w:cs="Times New Roman"/>
            <w:color w:val="0000FF"/>
            <w:sz w:val="28"/>
            <w:szCs w:val="24"/>
            <w:u w:val="single"/>
          </w:rPr>
          <w:t>https://livebench.ai/</w:t>
        </w:r>
      </w:hyperlink>
    </w:p>
    <w:p w14:paraId="23F9DC62"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Princeton University, Salesforce Research, et al. (continuously maintained). </w:t>
      </w:r>
      <w:r w:rsidRPr="00370E1E">
        <w:rPr>
          <w:rFonts w:ascii="Times New Roman" w:eastAsia="Times New Roman" w:hAnsi="Times New Roman" w:cs="Times New Roman"/>
          <w:i/>
          <w:iCs/>
          <w:sz w:val="28"/>
          <w:szCs w:val="24"/>
        </w:rPr>
        <w:t>SWE-bench: Can Language Models Resolve Real GitHub Issues?</w:t>
      </w:r>
    </w:p>
    <w:p w14:paraId="438870B8"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10" w:tgtFrame="_new" w:history="1">
        <w:r w:rsidR="00370E1E" w:rsidRPr="00370E1E">
          <w:rPr>
            <w:rFonts w:ascii="Times New Roman" w:eastAsia="Times New Roman" w:hAnsi="Times New Roman" w:cs="Times New Roman"/>
            <w:color w:val="0000FF"/>
            <w:sz w:val="28"/>
            <w:szCs w:val="24"/>
            <w:u w:val="single"/>
          </w:rPr>
          <w:t>https://www.swebench.com/</w:t>
        </w:r>
      </w:hyperlink>
    </w:p>
    <w:p w14:paraId="645929D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 xml:space="preserve">Center for Research on Foundation Models (CRFM). </w:t>
      </w:r>
      <w:r w:rsidRPr="00370E1E">
        <w:rPr>
          <w:rFonts w:ascii="Times New Roman" w:eastAsia="Times New Roman" w:hAnsi="Times New Roman" w:cs="Times New Roman"/>
          <w:i/>
          <w:iCs/>
          <w:sz w:val="28"/>
          <w:szCs w:val="24"/>
        </w:rPr>
        <w:t>HELM (Holistic Evaluation of Language Models).</w:t>
      </w:r>
    </w:p>
    <w:p w14:paraId="4BA8207C"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11" w:tgtFrame="_new" w:history="1">
        <w:r w:rsidR="00370E1E" w:rsidRPr="00370E1E">
          <w:rPr>
            <w:rFonts w:ascii="Times New Roman" w:eastAsia="Times New Roman" w:hAnsi="Times New Roman" w:cs="Times New Roman"/>
            <w:color w:val="0000FF"/>
            <w:sz w:val="28"/>
            <w:szCs w:val="24"/>
            <w:u w:val="single"/>
          </w:rPr>
          <w:t>https://crfm.stanford.edu/helm/</w:t>
        </w:r>
      </w:hyperlink>
    </w:p>
    <w:p w14:paraId="0BF31209"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Official Documentation</w:t>
      </w:r>
    </w:p>
    <w:p w14:paraId="0707A6B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OpenAI Platform Documentation</w:t>
      </w:r>
    </w:p>
    <w:p w14:paraId="4B933383"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12" w:tgtFrame="_new" w:history="1">
        <w:r w:rsidR="00370E1E" w:rsidRPr="00370E1E">
          <w:rPr>
            <w:rFonts w:ascii="Times New Roman" w:eastAsia="Times New Roman" w:hAnsi="Times New Roman" w:cs="Times New Roman"/>
            <w:color w:val="0000FF"/>
            <w:sz w:val="28"/>
            <w:szCs w:val="24"/>
            <w:u w:val="single"/>
          </w:rPr>
          <w:t>https://platform.openai.com/docs</w:t>
        </w:r>
      </w:hyperlink>
    </w:p>
    <w:p w14:paraId="692C068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OpenAI API Documentation – Responses API</w:t>
      </w:r>
    </w:p>
    <w:p w14:paraId="59042085"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13" w:tgtFrame="_new" w:history="1">
        <w:r w:rsidR="00370E1E" w:rsidRPr="00370E1E">
          <w:rPr>
            <w:rFonts w:ascii="Times New Roman" w:eastAsia="Times New Roman" w:hAnsi="Times New Roman" w:cs="Times New Roman"/>
            <w:color w:val="0000FF"/>
            <w:sz w:val="28"/>
            <w:szCs w:val="24"/>
            <w:u w:val="single"/>
          </w:rPr>
          <w:t>https://platform.openai.com/docs/api-reference/responses</w:t>
        </w:r>
      </w:hyperlink>
    </w:p>
    <w:p w14:paraId="0E606B3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Anthropic Documentation</w:t>
      </w:r>
    </w:p>
    <w:p w14:paraId="23FE72E7"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14" w:tgtFrame="_new" w:history="1">
        <w:r w:rsidR="00370E1E" w:rsidRPr="00370E1E">
          <w:rPr>
            <w:rFonts w:ascii="Times New Roman" w:eastAsia="Times New Roman" w:hAnsi="Times New Roman" w:cs="Times New Roman"/>
            <w:color w:val="0000FF"/>
            <w:sz w:val="28"/>
            <w:szCs w:val="24"/>
            <w:u w:val="single"/>
          </w:rPr>
          <w:t>https://docs.anthropic.com/</w:t>
        </w:r>
      </w:hyperlink>
    </w:p>
    <w:p w14:paraId="738AD1C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Google Cloud Vertex AI Documentation</w:t>
      </w:r>
    </w:p>
    <w:p w14:paraId="2F9F5CB2"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15" w:tgtFrame="_new" w:history="1">
        <w:r w:rsidR="00370E1E" w:rsidRPr="00370E1E">
          <w:rPr>
            <w:rFonts w:ascii="Times New Roman" w:eastAsia="Times New Roman" w:hAnsi="Times New Roman" w:cs="Times New Roman"/>
            <w:color w:val="0000FF"/>
            <w:sz w:val="28"/>
            <w:szCs w:val="24"/>
            <w:u w:val="single"/>
          </w:rPr>
          <w:t>https://cloud.google.com/vertex-ai/docs</w:t>
        </w:r>
      </w:hyperlink>
    </w:p>
    <w:p w14:paraId="0FB3ED9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Microsoft Azure AI Foundry Documentation</w:t>
      </w:r>
    </w:p>
    <w:p w14:paraId="04AD5913"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16" w:tgtFrame="_new" w:history="1">
        <w:r w:rsidR="00370E1E" w:rsidRPr="00370E1E">
          <w:rPr>
            <w:rFonts w:ascii="Times New Roman" w:eastAsia="Times New Roman" w:hAnsi="Times New Roman" w:cs="Times New Roman"/>
            <w:color w:val="0000FF"/>
            <w:sz w:val="28"/>
            <w:szCs w:val="24"/>
            <w:u w:val="single"/>
          </w:rPr>
          <w:t>https://learn.microsoft.com/azure/ai-foundry/</w:t>
        </w:r>
      </w:hyperlink>
    </w:p>
    <w:p w14:paraId="093EE461"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Amazon Bedrock User Guide</w:t>
      </w:r>
    </w:p>
    <w:p w14:paraId="4CCC12BD"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17" w:tgtFrame="_new" w:history="1">
        <w:r w:rsidR="00370E1E" w:rsidRPr="00370E1E">
          <w:rPr>
            <w:rFonts w:ascii="Times New Roman" w:eastAsia="Times New Roman" w:hAnsi="Times New Roman" w:cs="Times New Roman"/>
            <w:color w:val="0000FF"/>
            <w:sz w:val="28"/>
            <w:szCs w:val="24"/>
            <w:u w:val="single"/>
          </w:rPr>
          <w:t>https://docs.aws.amazon.com/bedrock/</w:t>
        </w:r>
      </w:hyperlink>
    </w:p>
    <w:p w14:paraId="4BF7AAA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lastRenderedPageBreak/>
        <w:t>Amazon Bedrock API Reference</w:t>
      </w:r>
    </w:p>
    <w:p w14:paraId="775AF29A"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18" w:tgtFrame="_new" w:history="1">
        <w:r w:rsidR="00370E1E" w:rsidRPr="00370E1E">
          <w:rPr>
            <w:rFonts w:ascii="Times New Roman" w:eastAsia="Times New Roman" w:hAnsi="Times New Roman" w:cs="Times New Roman"/>
            <w:color w:val="0000FF"/>
            <w:sz w:val="28"/>
            <w:szCs w:val="24"/>
            <w:u w:val="single"/>
          </w:rPr>
          <w:t>https://docs.aws.amazon.com/bedrock/latest/APIReference/</w:t>
        </w:r>
      </w:hyperlink>
    </w:p>
    <w:p w14:paraId="7719FCA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Hugging Face Hub Documentation</w:t>
      </w:r>
    </w:p>
    <w:p w14:paraId="3AFE4C23"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19" w:tgtFrame="_new" w:history="1">
        <w:r w:rsidR="00370E1E" w:rsidRPr="00370E1E">
          <w:rPr>
            <w:rFonts w:ascii="Times New Roman" w:eastAsia="Times New Roman" w:hAnsi="Times New Roman" w:cs="Times New Roman"/>
            <w:color w:val="0000FF"/>
            <w:sz w:val="28"/>
            <w:szCs w:val="24"/>
            <w:u w:val="single"/>
          </w:rPr>
          <w:t>https://huggingface.co/docs</w:t>
        </w:r>
      </w:hyperlink>
    </w:p>
    <w:p w14:paraId="48BBC0D8"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OpenRouter Documentation</w:t>
      </w:r>
    </w:p>
    <w:p w14:paraId="65E1E80C"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20" w:tgtFrame="_new" w:history="1">
        <w:r w:rsidR="00370E1E" w:rsidRPr="00370E1E">
          <w:rPr>
            <w:rFonts w:ascii="Times New Roman" w:eastAsia="Times New Roman" w:hAnsi="Times New Roman" w:cs="Times New Roman"/>
            <w:color w:val="0000FF"/>
            <w:sz w:val="28"/>
            <w:szCs w:val="24"/>
            <w:u w:val="single"/>
          </w:rPr>
          <w:t>https://openrouter.ai/docs</w:t>
        </w:r>
      </w:hyperlink>
    </w:p>
    <w:p w14:paraId="268FFC7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LiteLLM Documentation</w:t>
      </w:r>
    </w:p>
    <w:p w14:paraId="7CD413A0"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21" w:tgtFrame="_new" w:history="1">
        <w:r w:rsidR="00370E1E" w:rsidRPr="00370E1E">
          <w:rPr>
            <w:rFonts w:ascii="Times New Roman" w:eastAsia="Times New Roman" w:hAnsi="Times New Roman" w:cs="Times New Roman"/>
            <w:color w:val="0000FF"/>
            <w:sz w:val="28"/>
            <w:szCs w:val="24"/>
            <w:u w:val="single"/>
          </w:rPr>
          <w:t>https://docs.litellm.ai/</w:t>
        </w:r>
      </w:hyperlink>
    </w:p>
    <w:p w14:paraId="6F01D12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Model Context Protocol Specification</w:t>
      </w:r>
    </w:p>
    <w:p w14:paraId="33C14133"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22" w:tgtFrame="_new" w:history="1">
        <w:r w:rsidR="00370E1E" w:rsidRPr="00370E1E">
          <w:rPr>
            <w:rFonts w:ascii="Times New Roman" w:eastAsia="Times New Roman" w:hAnsi="Times New Roman" w:cs="Times New Roman"/>
            <w:color w:val="0000FF"/>
            <w:sz w:val="28"/>
            <w:szCs w:val="24"/>
            <w:u w:val="single"/>
          </w:rPr>
          <w:t>https://modelcontextprotocol.io/</w:t>
        </w:r>
      </w:hyperlink>
    </w:p>
    <w:p w14:paraId="17EF0364"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Engineering Blogs and Technical Articles</w:t>
      </w:r>
    </w:p>
    <w:p w14:paraId="4761E034"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OpenAI Engineering Blog</w:t>
      </w:r>
    </w:p>
    <w:p w14:paraId="10E312AB"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23" w:tgtFrame="_new" w:history="1">
        <w:r w:rsidR="00370E1E" w:rsidRPr="00370E1E">
          <w:rPr>
            <w:rFonts w:ascii="Times New Roman" w:eastAsia="Times New Roman" w:hAnsi="Times New Roman" w:cs="Times New Roman"/>
            <w:color w:val="0000FF"/>
            <w:sz w:val="28"/>
            <w:szCs w:val="24"/>
            <w:u w:val="single"/>
          </w:rPr>
          <w:t>https://openai.com/news/</w:t>
        </w:r>
      </w:hyperlink>
    </w:p>
    <w:p w14:paraId="724FF38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Anthropic Engineering and Research</w:t>
      </w:r>
    </w:p>
    <w:p w14:paraId="003F425E"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24" w:tgtFrame="_new" w:history="1">
        <w:r w:rsidR="00370E1E" w:rsidRPr="00370E1E">
          <w:rPr>
            <w:rFonts w:ascii="Times New Roman" w:eastAsia="Times New Roman" w:hAnsi="Times New Roman" w:cs="Times New Roman"/>
            <w:color w:val="0000FF"/>
            <w:sz w:val="28"/>
            <w:szCs w:val="24"/>
            <w:u w:val="single"/>
          </w:rPr>
          <w:t>https://www.anthropic.com/engineering</w:t>
        </w:r>
      </w:hyperlink>
    </w:p>
    <w:p w14:paraId="15E1B10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Google Cloud Architecture Center</w:t>
      </w:r>
    </w:p>
    <w:p w14:paraId="0E51C2E0"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25" w:tgtFrame="_new" w:history="1">
        <w:r w:rsidR="00370E1E" w:rsidRPr="00370E1E">
          <w:rPr>
            <w:rFonts w:ascii="Times New Roman" w:eastAsia="Times New Roman" w:hAnsi="Times New Roman" w:cs="Times New Roman"/>
            <w:color w:val="0000FF"/>
            <w:sz w:val="28"/>
            <w:szCs w:val="24"/>
            <w:u w:val="single"/>
          </w:rPr>
          <w:t>https://cloud.google.com/architecture</w:t>
        </w:r>
      </w:hyperlink>
    </w:p>
    <w:p w14:paraId="71ADBEF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AWS Machine Learning Blog</w:t>
      </w:r>
    </w:p>
    <w:p w14:paraId="31848AA4"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26" w:tgtFrame="_new" w:history="1">
        <w:r w:rsidR="00370E1E" w:rsidRPr="00370E1E">
          <w:rPr>
            <w:rFonts w:ascii="Times New Roman" w:eastAsia="Times New Roman" w:hAnsi="Times New Roman" w:cs="Times New Roman"/>
            <w:color w:val="0000FF"/>
            <w:sz w:val="28"/>
            <w:szCs w:val="24"/>
            <w:u w:val="single"/>
          </w:rPr>
          <w:t>https://aws.amazon.com/blogs/machine-learning/</w:t>
        </w:r>
      </w:hyperlink>
    </w:p>
    <w:p w14:paraId="44C7915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Microsoft Azure AI Blog</w:t>
      </w:r>
    </w:p>
    <w:p w14:paraId="37208A2E"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27" w:tgtFrame="_new" w:history="1">
        <w:r w:rsidR="00370E1E" w:rsidRPr="00370E1E">
          <w:rPr>
            <w:rFonts w:ascii="Times New Roman" w:eastAsia="Times New Roman" w:hAnsi="Times New Roman" w:cs="Times New Roman"/>
            <w:color w:val="0000FF"/>
            <w:sz w:val="28"/>
            <w:szCs w:val="24"/>
            <w:u w:val="single"/>
          </w:rPr>
          <w:t>https://azure.microsoft.com/blog/</w:t>
        </w:r>
      </w:hyperlink>
    </w:p>
    <w:p w14:paraId="7661E80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Hugging Face Blog</w:t>
      </w:r>
    </w:p>
    <w:p w14:paraId="250FC5F7"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28" w:tgtFrame="_new" w:history="1">
        <w:r w:rsidR="00370E1E" w:rsidRPr="00370E1E">
          <w:rPr>
            <w:rFonts w:ascii="Times New Roman" w:eastAsia="Times New Roman" w:hAnsi="Times New Roman" w:cs="Times New Roman"/>
            <w:color w:val="0000FF"/>
            <w:sz w:val="28"/>
            <w:szCs w:val="24"/>
            <w:u w:val="single"/>
          </w:rPr>
          <w:t>https://huggingface.co/blog</w:t>
        </w:r>
      </w:hyperlink>
    </w:p>
    <w:p w14:paraId="692A51CB"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Cloudflare Blog – AI and Inference</w:t>
      </w:r>
    </w:p>
    <w:p w14:paraId="1790DA60"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29" w:tgtFrame="_new" w:history="1">
        <w:r w:rsidR="00370E1E" w:rsidRPr="00370E1E">
          <w:rPr>
            <w:rFonts w:ascii="Times New Roman" w:eastAsia="Times New Roman" w:hAnsi="Times New Roman" w:cs="Times New Roman"/>
            <w:color w:val="0000FF"/>
            <w:sz w:val="28"/>
            <w:szCs w:val="24"/>
            <w:u w:val="single"/>
          </w:rPr>
          <w:t>https://blog.cloudflare.com/tag/ai/</w:t>
        </w:r>
      </w:hyperlink>
    </w:p>
    <w:p w14:paraId="2B16517E"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NVIDIA Technical Blog – Generative AI</w:t>
      </w:r>
    </w:p>
    <w:p w14:paraId="12412698"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30" w:tgtFrame="_new" w:history="1">
        <w:r w:rsidR="00370E1E" w:rsidRPr="00370E1E">
          <w:rPr>
            <w:rFonts w:ascii="Times New Roman" w:eastAsia="Times New Roman" w:hAnsi="Times New Roman" w:cs="Times New Roman"/>
            <w:color w:val="0000FF"/>
            <w:sz w:val="28"/>
            <w:szCs w:val="24"/>
            <w:u w:val="single"/>
          </w:rPr>
          <w:t>https://developer.nvidia.com/blog/</w:t>
        </w:r>
      </w:hyperlink>
    </w:p>
    <w:p w14:paraId="68724432"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Benchmarks and Evaluation Resources</w:t>
      </w:r>
    </w:p>
    <w:p w14:paraId="02AF2E19"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Artificial Analysis</w:t>
      </w:r>
    </w:p>
    <w:p w14:paraId="15883932"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31" w:tgtFrame="_new" w:history="1">
        <w:r w:rsidR="00370E1E" w:rsidRPr="00370E1E">
          <w:rPr>
            <w:rFonts w:ascii="Times New Roman" w:eastAsia="Times New Roman" w:hAnsi="Times New Roman" w:cs="Times New Roman"/>
            <w:color w:val="0000FF"/>
            <w:sz w:val="28"/>
            <w:szCs w:val="24"/>
            <w:u w:val="single"/>
          </w:rPr>
          <w:t>https://artificialanalysis.ai/</w:t>
        </w:r>
      </w:hyperlink>
    </w:p>
    <w:p w14:paraId="2606EAEA"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LiveBench</w:t>
      </w:r>
    </w:p>
    <w:p w14:paraId="726EE2E1"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32" w:tgtFrame="_new" w:history="1">
        <w:r w:rsidR="00370E1E" w:rsidRPr="00370E1E">
          <w:rPr>
            <w:rFonts w:ascii="Times New Roman" w:eastAsia="Times New Roman" w:hAnsi="Times New Roman" w:cs="Times New Roman"/>
            <w:color w:val="0000FF"/>
            <w:sz w:val="28"/>
            <w:szCs w:val="24"/>
            <w:u w:val="single"/>
          </w:rPr>
          <w:t>https://livebench.ai/</w:t>
        </w:r>
      </w:hyperlink>
    </w:p>
    <w:p w14:paraId="2302C3B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SWE-bench</w:t>
      </w:r>
    </w:p>
    <w:p w14:paraId="3C1AB4DF"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33" w:tgtFrame="_new" w:history="1">
        <w:r w:rsidR="00370E1E" w:rsidRPr="00370E1E">
          <w:rPr>
            <w:rFonts w:ascii="Times New Roman" w:eastAsia="Times New Roman" w:hAnsi="Times New Roman" w:cs="Times New Roman"/>
            <w:color w:val="0000FF"/>
            <w:sz w:val="28"/>
            <w:szCs w:val="24"/>
            <w:u w:val="single"/>
          </w:rPr>
          <w:t>https://www.swebench.com/</w:t>
        </w:r>
      </w:hyperlink>
    </w:p>
    <w:p w14:paraId="679998BD"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HELM</w:t>
      </w:r>
    </w:p>
    <w:p w14:paraId="0A8580AD"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34" w:tgtFrame="_new" w:history="1">
        <w:r w:rsidR="00370E1E" w:rsidRPr="00370E1E">
          <w:rPr>
            <w:rFonts w:ascii="Times New Roman" w:eastAsia="Times New Roman" w:hAnsi="Times New Roman" w:cs="Times New Roman"/>
            <w:color w:val="0000FF"/>
            <w:sz w:val="28"/>
            <w:szCs w:val="24"/>
            <w:u w:val="single"/>
          </w:rPr>
          <w:t>https://crfm.stanford.edu/helm/</w:t>
        </w:r>
      </w:hyperlink>
    </w:p>
    <w:p w14:paraId="3EA6238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Humanity's Last Exam</w:t>
      </w:r>
    </w:p>
    <w:p w14:paraId="06AE7C44"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35" w:tgtFrame="_new" w:history="1">
        <w:r w:rsidR="00370E1E" w:rsidRPr="00370E1E">
          <w:rPr>
            <w:rFonts w:ascii="Times New Roman" w:eastAsia="Times New Roman" w:hAnsi="Times New Roman" w:cs="Times New Roman"/>
            <w:color w:val="0000FF"/>
            <w:sz w:val="28"/>
            <w:szCs w:val="24"/>
            <w:u w:val="single"/>
          </w:rPr>
          <w:t>https://lastexam.ai/</w:t>
        </w:r>
      </w:hyperlink>
    </w:p>
    <w:p w14:paraId="6EE1FE56" w14:textId="77777777" w:rsidR="00370E1E" w:rsidRPr="00370E1E" w:rsidRDefault="00370E1E" w:rsidP="00370E1E">
      <w:pPr>
        <w:keepNext/>
        <w:keepLines/>
        <w:spacing w:before="40" w:after="0"/>
        <w:outlineLvl w:val="1"/>
        <w:rPr>
          <w:rFonts w:ascii="Calibri Light" w:eastAsia="Times New Roman" w:hAnsi="Calibri Light" w:cs="Times New Roman"/>
          <w:color w:val="2F5496"/>
          <w:sz w:val="28"/>
          <w:szCs w:val="26"/>
        </w:rPr>
      </w:pPr>
      <w:r w:rsidRPr="00370E1E">
        <w:rPr>
          <w:rFonts w:ascii="Calibri Light" w:eastAsia="Times New Roman" w:hAnsi="Calibri Light" w:cs="Times New Roman"/>
          <w:color w:val="2F5496"/>
          <w:sz w:val="28"/>
          <w:szCs w:val="26"/>
        </w:rPr>
        <w:t>Standards and Specifications</w:t>
      </w:r>
    </w:p>
    <w:p w14:paraId="6EE72DF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OpenAPI Specification</w:t>
      </w:r>
    </w:p>
    <w:p w14:paraId="35DA4467"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36" w:tgtFrame="_new" w:history="1">
        <w:r w:rsidR="00370E1E" w:rsidRPr="00370E1E">
          <w:rPr>
            <w:rFonts w:ascii="Times New Roman" w:eastAsia="Times New Roman" w:hAnsi="Times New Roman" w:cs="Times New Roman"/>
            <w:color w:val="0000FF"/>
            <w:sz w:val="28"/>
            <w:szCs w:val="24"/>
            <w:u w:val="single"/>
          </w:rPr>
          <w:t>https://spec.openapis.org/</w:t>
        </w:r>
      </w:hyperlink>
    </w:p>
    <w:p w14:paraId="117EF2C5"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JSON Schema Specification</w:t>
      </w:r>
    </w:p>
    <w:p w14:paraId="4E3430C1"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37" w:tgtFrame="_new" w:history="1">
        <w:r w:rsidR="00370E1E" w:rsidRPr="00370E1E">
          <w:rPr>
            <w:rFonts w:ascii="Times New Roman" w:eastAsia="Times New Roman" w:hAnsi="Times New Roman" w:cs="Times New Roman"/>
            <w:color w:val="0000FF"/>
            <w:sz w:val="28"/>
            <w:szCs w:val="24"/>
            <w:u w:val="single"/>
          </w:rPr>
          <w:t>https://json-schema.org/</w:t>
        </w:r>
      </w:hyperlink>
    </w:p>
    <w:p w14:paraId="433F3700"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OAuth 2.0 Authorization Framework (RFC 6749)</w:t>
      </w:r>
    </w:p>
    <w:p w14:paraId="6B2DE180"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38" w:tgtFrame="_new" w:history="1">
        <w:r w:rsidR="00370E1E" w:rsidRPr="00370E1E">
          <w:rPr>
            <w:rFonts w:ascii="Times New Roman" w:eastAsia="Times New Roman" w:hAnsi="Times New Roman" w:cs="Times New Roman"/>
            <w:color w:val="0000FF"/>
            <w:sz w:val="28"/>
            <w:szCs w:val="24"/>
            <w:u w:val="single"/>
          </w:rPr>
          <w:t>https://www.rfc-editor.org/rfc/rfc6749</w:t>
        </w:r>
      </w:hyperlink>
    </w:p>
    <w:p w14:paraId="5A30D7EC"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OAuth 2.0 Bearer Token Usage (RFC 6750)</w:t>
      </w:r>
    </w:p>
    <w:p w14:paraId="1ED84C48"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39" w:tgtFrame="_new" w:history="1">
        <w:r w:rsidR="00370E1E" w:rsidRPr="00370E1E">
          <w:rPr>
            <w:rFonts w:ascii="Times New Roman" w:eastAsia="Times New Roman" w:hAnsi="Times New Roman" w:cs="Times New Roman"/>
            <w:color w:val="0000FF"/>
            <w:sz w:val="28"/>
            <w:szCs w:val="24"/>
            <w:u w:val="single"/>
          </w:rPr>
          <w:t>https://www.rfc-editor.org/rfc/rfc6750</w:t>
        </w:r>
      </w:hyperlink>
    </w:p>
    <w:p w14:paraId="6AF32DEF" w14:textId="77777777" w:rsidR="00370E1E"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Server-Sent Events (HTML Living Standard)</w:t>
      </w:r>
    </w:p>
    <w:p w14:paraId="0E362A7B" w14:textId="77777777" w:rsidR="00370E1E" w:rsidRPr="00370E1E" w:rsidRDefault="0017187C" w:rsidP="00370E1E">
      <w:pPr>
        <w:spacing w:before="100" w:beforeAutospacing="1" w:after="100" w:afterAutospacing="1" w:line="240" w:lineRule="auto"/>
        <w:rPr>
          <w:rFonts w:ascii="Times New Roman" w:eastAsia="Times New Roman" w:hAnsi="Times New Roman" w:cs="Times New Roman"/>
          <w:sz w:val="28"/>
          <w:szCs w:val="24"/>
        </w:rPr>
      </w:pPr>
      <w:hyperlink r:id="rId40" w:tgtFrame="_new" w:history="1">
        <w:r w:rsidR="00370E1E" w:rsidRPr="00370E1E">
          <w:rPr>
            <w:rFonts w:ascii="Times New Roman" w:eastAsia="Times New Roman" w:hAnsi="Times New Roman" w:cs="Times New Roman"/>
            <w:color w:val="0000FF"/>
            <w:sz w:val="28"/>
            <w:szCs w:val="24"/>
            <w:u w:val="single"/>
          </w:rPr>
          <w:t>https://html.spec.whatwg.org/multipage/server-sent-events.html</w:t>
        </w:r>
      </w:hyperlink>
    </w:p>
    <w:p w14:paraId="41D0E21A" w14:textId="7A07C06F" w:rsidR="00FB1517" w:rsidRPr="00370E1E" w:rsidRDefault="00370E1E" w:rsidP="00370E1E">
      <w:pPr>
        <w:spacing w:before="100" w:beforeAutospacing="1" w:after="100" w:afterAutospacing="1" w:line="240" w:lineRule="auto"/>
        <w:rPr>
          <w:rFonts w:ascii="Times New Roman" w:eastAsia="Times New Roman" w:hAnsi="Times New Roman" w:cs="Times New Roman"/>
          <w:sz w:val="28"/>
          <w:szCs w:val="24"/>
        </w:rPr>
      </w:pPr>
      <w:r w:rsidRPr="00370E1E">
        <w:rPr>
          <w:rFonts w:ascii="Times New Roman" w:eastAsia="Times New Roman" w:hAnsi="Times New Roman" w:cs="Times New Roman"/>
          <w:sz w:val="28"/>
          <w:szCs w:val="24"/>
        </w:rPr>
        <w:t>These references provide the evidence base for the architectural concepts presented throughout this chapter and serve as primary resources for readers wishing to explore provider documentation, evaluation methodologies, enterprise integration patterns, and evolving industry standards in greater technical depth.</w:t>
      </w:r>
    </w:p>
    <w:sectPr w:rsidR="00FB1517" w:rsidRPr="00370E1E" w:rsidSect="00B3619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04998"/>
    <w:multiLevelType w:val="multilevel"/>
    <w:tmpl w:val="1B20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81CC4"/>
    <w:multiLevelType w:val="multilevel"/>
    <w:tmpl w:val="7C3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613D7"/>
    <w:multiLevelType w:val="multilevel"/>
    <w:tmpl w:val="813A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76845"/>
    <w:multiLevelType w:val="multilevel"/>
    <w:tmpl w:val="E366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52FF5"/>
    <w:multiLevelType w:val="multilevel"/>
    <w:tmpl w:val="1B8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C2C4D"/>
    <w:multiLevelType w:val="multilevel"/>
    <w:tmpl w:val="9C72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60A73"/>
    <w:multiLevelType w:val="multilevel"/>
    <w:tmpl w:val="3742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164DA7"/>
    <w:multiLevelType w:val="multilevel"/>
    <w:tmpl w:val="693A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9778B"/>
    <w:multiLevelType w:val="multilevel"/>
    <w:tmpl w:val="DD28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117E7"/>
    <w:multiLevelType w:val="multilevel"/>
    <w:tmpl w:val="610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81F28"/>
    <w:multiLevelType w:val="multilevel"/>
    <w:tmpl w:val="FEFA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28432D"/>
    <w:multiLevelType w:val="multilevel"/>
    <w:tmpl w:val="BCB2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544EAB"/>
    <w:multiLevelType w:val="multilevel"/>
    <w:tmpl w:val="9C62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4"/>
  </w:num>
  <w:num w:numId="4">
    <w:abstractNumId w:val="5"/>
  </w:num>
  <w:num w:numId="5">
    <w:abstractNumId w:val="7"/>
  </w:num>
  <w:num w:numId="6">
    <w:abstractNumId w:val="2"/>
  </w:num>
  <w:num w:numId="7">
    <w:abstractNumId w:val="6"/>
  </w:num>
  <w:num w:numId="8">
    <w:abstractNumId w:val="11"/>
  </w:num>
  <w:num w:numId="9">
    <w:abstractNumId w:val="10"/>
  </w:num>
  <w:num w:numId="10">
    <w:abstractNumId w:val="3"/>
  </w:num>
  <w:num w:numId="11">
    <w:abstractNumId w:val="0"/>
  </w:num>
  <w:num w:numId="12">
    <w:abstractNumId w:val="1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BC3"/>
    <w:rsid w:val="0017187C"/>
    <w:rsid w:val="00370E1E"/>
    <w:rsid w:val="007E6BC3"/>
    <w:rsid w:val="00B36192"/>
    <w:rsid w:val="00FB1517"/>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79A45"/>
  <w15:chartTrackingRefBased/>
  <w15:docId w15:val="{48FAE9B7-C33A-4032-B0E3-1E569D1E1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370E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semiHidden/>
    <w:unhideWhenUsed/>
    <w:qFormat/>
    <w:rsid w:val="00370E1E"/>
    <w:pPr>
      <w:keepNext/>
      <w:keepLines/>
      <w:spacing w:before="40" w:after="0"/>
      <w:outlineLvl w:val="1"/>
    </w:pPr>
    <w:rPr>
      <w:rFonts w:ascii="Calibri Light" w:eastAsia="Times New Roman" w:hAnsi="Calibri Light" w:cs="Times New Roman"/>
      <w:color w:val="2F5496"/>
      <w:sz w:val="26"/>
      <w:szCs w:val="26"/>
    </w:rPr>
  </w:style>
  <w:style w:type="paragraph" w:styleId="3">
    <w:name w:val="heading 3"/>
    <w:basedOn w:val="a"/>
    <w:next w:val="a"/>
    <w:link w:val="30"/>
    <w:uiPriority w:val="9"/>
    <w:semiHidden/>
    <w:unhideWhenUsed/>
    <w:qFormat/>
    <w:rsid w:val="00370E1E"/>
    <w:pPr>
      <w:keepNext/>
      <w:keepLines/>
      <w:spacing w:before="40" w:after="0"/>
      <w:outlineLvl w:val="2"/>
    </w:pPr>
    <w:rPr>
      <w:rFonts w:ascii="Calibri Light" w:eastAsia="Times New Roman" w:hAnsi="Calibri Light" w:cs="Times New Roman"/>
      <w:color w:val="1F3763"/>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70E1E"/>
    <w:rPr>
      <w:rFonts w:ascii="Times New Roman" w:eastAsia="Times New Roman" w:hAnsi="Times New Roman" w:cs="Times New Roman"/>
      <w:b/>
      <w:bCs/>
      <w:kern w:val="36"/>
      <w:sz w:val="48"/>
      <w:szCs w:val="48"/>
    </w:rPr>
  </w:style>
  <w:style w:type="paragraph" w:customStyle="1" w:styleId="21">
    <w:name w:val="Заголовок 21"/>
    <w:basedOn w:val="a"/>
    <w:next w:val="a"/>
    <w:uiPriority w:val="9"/>
    <w:semiHidden/>
    <w:unhideWhenUsed/>
    <w:qFormat/>
    <w:rsid w:val="00370E1E"/>
    <w:pPr>
      <w:keepNext/>
      <w:keepLines/>
      <w:spacing w:before="40" w:after="0"/>
      <w:outlineLvl w:val="1"/>
    </w:pPr>
    <w:rPr>
      <w:rFonts w:ascii="Calibri Light" w:eastAsia="Times New Roman" w:hAnsi="Calibri Light" w:cs="Times New Roman"/>
      <w:color w:val="2F5496"/>
      <w:sz w:val="26"/>
      <w:szCs w:val="26"/>
    </w:rPr>
  </w:style>
  <w:style w:type="paragraph" w:customStyle="1" w:styleId="31">
    <w:name w:val="Заголовок 31"/>
    <w:basedOn w:val="a"/>
    <w:next w:val="a"/>
    <w:uiPriority w:val="9"/>
    <w:semiHidden/>
    <w:unhideWhenUsed/>
    <w:qFormat/>
    <w:rsid w:val="00370E1E"/>
    <w:pPr>
      <w:keepNext/>
      <w:keepLines/>
      <w:spacing w:before="40" w:after="0"/>
      <w:outlineLvl w:val="2"/>
    </w:pPr>
    <w:rPr>
      <w:rFonts w:ascii="Calibri Light" w:eastAsia="Times New Roman" w:hAnsi="Calibri Light" w:cs="Times New Roman"/>
      <w:color w:val="1F3763"/>
      <w:sz w:val="24"/>
      <w:szCs w:val="24"/>
    </w:rPr>
  </w:style>
  <w:style w:type="numbering" w:customStyle="1" w:styleId="11">
    <w:name w:val="Нет списка1"/>
    <w:next w:val="a2"/>
    <w:uiPriority w:val="99"/>
    <w:semiHidden/>
    <w:unhideWhenUsed/>
    <w:rsid w:val="00370E1E"/>
  </w:style>
  <w:style w:type="character" w:customStyle="1" w:styleId="20">
    <w:name w:val="Заголовок 2 Знак"/>
    <w:basedOn w:val="a0"/>
    <w:link w:val="2"/>
    <w:uiPriority w:val="9"/>
    <w:semiHidden/>
    <w:rsid w:val="00370E1E"/>
    <w:rPr>
      <w:rFonts w:ascii="Calibri Light" w:eastAsia="Times New Roman" w:hAnsi="Calibri Light" w:cs="Times New Roman"/>
      <w:color w:val="2F5496"/>
      <w:sz w:val="26"/>
      <w:szCs w:val="26"/>
    </w:rPr>
  </w:style>
  <w:style w:type="character" w:customStyle="1" w:styleId="30">
    <w:name w:val="Заголовок 3 Знак"/>
    <w:basedOn w:val="a0"/>
    <w:link w:val="3"/>
    <w:uiPriority w:val="9"/>
    <w:semiHidden/>
    <w:rsid w:val="00370E1E"/>
    <w:rPr>
      <w:rFonts w:ascii="Calibri Light" w:eastAsia="Times New Roman" w:hAnsi="Calibri Light" w:cs="Times New Roman"/>
      <w:color w:val="1F3763"/>
      <w:sz w:val="24"/>
      <w:szCs w:val="24"/>
    </w:rPr>
  </w:style>
  <w:style w:type="paragraph" w:styleId="a3">
    <w:name w:val="Normal (Web)"/>
    <w:basedOn w:val="a"/>
    <w:uiPriority w:val="99"/>
    <w:semiHidden/>
    <w:unhideWhenUsed/>
    <w:rsid w:val="00370E1E"/>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370E1E"/>
    <w:rPr>
      <w:b/>
      <w:bCs/>
    </w:rPr>
  </w:style>
  <w:style w:type="character" w:styleId="a5">
    <w:name w:val="Emphasis"/>
    <w:basedOn w:val="a0"/>
    <w:uiPriority w:val="20"/>
    <w:qFormat/>
    <w:rsid w:val="00370E1E"/>
    <w:rPr>
      <w:i/>
      <w:iCs/>
    </w:rPr>
  </w:style>
  <w:style w:type="paragraph" w:customStyle="1" w:styleId="12">
    <w:name w:val="Без интервала1"/>
    <w:next w:val="a6"/>
    <w:uiPriority w:val="1"/>
    <w:qFormat/>
    <w:rsid w:val="00370E1E"/>
    <w:pPr>
      <w:spacing w:after="0" w:line="240" w:lineRule="auto"/>
    </w:pPr>
  </w:style>
  <w:style w:type="character" w:customStyle="1" w:styleId="whitespace-normal">
    <w:name w:val="whitespace-normal"/>
    <w:basedOn w:val="a0"/>
    <w:rsid w:val="00370E1E"/>
  </w:style>
  <w:style w:type="character" w:styleId="a7">
    <w:name w:val="Hyperlink"/>
    <w:basedOn w:val="a0"/>
    <w:uiPriority w:val="99"/>
    <w:semiHidden/>
    <w:unhideWhenUsed/>
    <w:rsid w:val="00370E1E"/>
    <w:rPr>
      <w:color w:val="0000FF"/>
      <w:u w:val="single"/>
    </w:rPr>
  </w:style>
  <w:style w:type="character" w:customStyle="1" w:styleId="13">
    <w:name w:val="Просмотренная гиперссылка1"/>
    <w:basedOn w:val="a0"/>
    <w:uiPriority w:val="99"/>
    <w:semiHidden/>
    <w:unhideWhenUsed/>
    <w:rsid w:val="00370E1E"/>
    <w:rPr>
      <w:color w:val="954F72"/>
      <w:u w:val="single"/>
    </w:rPr>
  </w:style>
  <w:style w:type="character" w:customStyle="1" w:styleId="210">
    <w:name w:val="Заголовок 2 Знак1"/>
    <w:basedOn w:val="a0"/>
    <w:uiPriority w:val="9"/>
    <w:semiHidden/>
    <w:rsid w:val="00370E1E"/>
    <w:rPr>
      <w:rFonts w:asciiTheme="majorHAnsi" w:eastAsiaTheme="majorEastAsia" w:hAnsiTheme="majorHAnsi" w:cstheme="majorBidi"/>
      <w:color w:val="2F5496" w:themeColor="accent1" w:themeShade="BF"/>
      <w:sz w:val="26"/>
      <w:szCs w:val="26"/>
    </w:rPr>
  </w:style>
  <w:style w:type="character" w:customStyle="1" w:styleId="310">
    <w:name w:val="Заголовок 3 Знак1"/>
    <w:basedOn w:val="a0"/>
    <w:uiPriority w:val="9"/>
    <w:semiHidden/>
    <w:rsid w:val="00370E1E"/>
    <w:rPr>
      <w:rFonts w:asciiTheme="majorHAnsi" w:eastAsiaTheme="majorEastAsia" w:hAnsiTheme="majorHAnsi" w:cstheme="majorBidi"/>
      <w:color w:val="1F3763" w:themeColor="accent1" w:themeShade="7F"/>
      <w:sz w:val="24"/>
      <w:szCs w:val="24"/>
    </w:rPr>
  </w:style>
  <w:style w:type="paragraph" w:styleId="a6">
    <w:name w:val="No Spacing"/>
    <w:uiPriority w:val="1"/>
    <w:qFormat/>
    <w:rsid w:val="00370E1E"/>
    <w:pPr>
      <w:spacing w:after="0" w:line="240" w:lineRule="auto"/>
    </w:pPr>
  </w:style>
  <w:style w:type="character" w:styleId="a8">
    <w:name w:val="FollowedHyperlink"/>
    <w:basedOn w:val="a0"/>
    <w:uiPriority w:val="99"/>
    <w:semiHidden/>
    <w:unhideWhenUsed/>
    <w:rsid w:val="00370E1E"/>
    <w:rPr>
      <w:color w:val="954F72" w:themeColor="followedHyperlink"/>
      <w:u w:val="single"/>
    </w:rPr>
  </w:style>
  <w:style w:type="character" w:styleId="a9">
    <w:name w:val="annotation reference"/>
    <w:basedOn w:val="a0"/>
    <w:uiPriority w:val="99"/>
    <w:semiHidden/>
    <w:unhideWhenUsed/>
    <w:rsid w:val="0017187C"/>
    <w:rPr>
      <w:sz w:val="16"/>
      <w:szCs w:val="16"/>
    </w:rPr>
  </w:style>
  <w:style w:type="paragraph" w:styleId="aa">
    <w:name w:val="annotation text"/>
    <w:basedOn w:val="a"/>
    <w:link w:val="ab"/>
    <w:uiPriority w:val="99"/>
    <w:semiHidden/>
    <w:unhideWhenUsed/>
    <w:rsid w:val="0017187C"/>
    <w:pPr>
      <w:spacing w:line="240" w:lineRule="auto"/>
    </w:pPr>
    <w:rPr>
      <w:sz w:val="20"/>
      <w:szCs w:val="20"/>
    </w:rPr>
  </w:style>
  <w:style w:type="character" w:customStyle="1" w:styleId="ab">
    <w:name w:val="Текст примечания Знак"/>
    <w:basedOn w:val="a0"/>
    <w:link w:val="aa"/>
    <w:uiPriority w:val="99"/>
    <w:semiHidden/>
    <w:rsid w:val="0017187C"/>
    <w:rPr>
      <w:sz w:val="20"/>
      <w:szCs w:val="20"/>
    </w:rPr>
  </w:style>
  <w:style w:type="paragraph" w:styleId="ac">
    <w:name w:val="annotation subject"/>
    <w:basedOn w:val="aa"/>
    <w:next w:val="aa"/>
    <w:link w:val="ad"/>
    <w:uiPriority w:val="99"/>
    <w:semiHidden/>
    <w:unhideWhenUsed/>
    <w:rsid w:val="0017187C"/>
    <w:rPr>
      <w:b/>
      <w:bCs/>
    </w:rPr>
  </w:style>
  <w:style w:type="character" w:customStyle="1" w:styleId="ad">
    <w:name w:val="Тема примечания Знак"/>
    <w:basedOn w:val="ab"/>
    <w:link w:val="ac"/>
    <w:uiPriority w:val="99"/>
    <w:semiHidden/>
    <w:rsid w:val="0017187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latform.openai.com/docs/api-reference/responses" TargetMode="External"/><Relationship Id="rId18" Type="http://schemas.openxmlformats.org/officeDocument/2006/relationships/hyperlink" Target="https://docs.aws.amazon.com/bedrock/latest/APIReference/" TargetMode="External"/><Relationship Id="rId26" Type="http://schemas.openxmlformats.org/officeDocument/2006/relationships/hyperlink" Target="https://aws.amazon.com/blogs/machine-learning/" TargetMode="External"/><Relationship Id="rId39" Type="http://schemas.openxmlformats.org/officeDocument/2006/relationships/hyperlink" Target="https://www.rfc-editor.org/rfc/rfc6750" TargetMode="External"/><Relationship Id="rId21" Type="http://schemas.openxmlformats.org/officeDocument/2006/relationships/hyperlink" Target="https://docs.litellm.ai/" TargetMode="External"/><Relationship Id="rId34" Type="http://schemas.openxmlformats.org/officeDocument/2006/relationships/hyperlink" Target="https://crfm.stanford.edu/helm/" TargetMode="External"/><Relationship Id="rId42" Type="http://schemas.openxmlformats.org/officeDocument/2006/relationships/theme" Target="theme/theme1.xml"/><Relationship Id="rId7" Type="http://schemas.openxmlformats.org/officeDocument/2006/relationships/hyperlink" Target="https://arxiv.org/abs/2303.08774" TargetMode="External"/><Relationship Id="rId2" Type="http://schemas.openxmlformats.org/officeDocument/2006/relationships/styles" Target="styles.xml"/><Relationship Id="rId16" Type="http://schemas.openxmlformats.org/officeDocument/2006/relationships/hyperlink" Target="https://learn.microsoft.com/azure/ai-foundry/" TargetMode="External"/><Relationship Id="rId20" Type="http://schemas.openxmlformats.org/officeDocument/2006/relationships/hyperlink" Target="https://openrouter.ai/docs" TargetMode="External"/><Relationship Id="rId29" Type="http://schemas.openxmlformats.org/officeDocument/2006/relationships/hyperlink" Target="https://blog.cloudflare.com/tag/ai/"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rxiv.org/abs/2206.07682" TargetMode="External"/><Relationship Id="rId11" Type="http://schemas.openxmlformats.org/officeDocument/2006/relationships/hyperlink" Target="https://crfm.stanford.edu/helm/" TargetMode="External"/><Relationship Id="rId24" Type="http://schemas.openxmlformats.org/officeDocument/2006/relationships/hyperlink" Target="https://www.anthropic.com/engineering" TargetMode="External"/><Relationship Id="rId32" Type="http://schemas.openxmlformats.org/officeDocument/2006/relationships/hyperlink" Target="https://livebench.ai/" TargetMode="External"/><Relationship Id="rId37" Type="http://schemas.openxmlformats.org/officeDocument/2006/relationships/hyperlink" Target="https://json-schema.org/" TargetMode="External"/><Relationship Id="rId40" Type="http://schemas.openxmlformats.org/officeDocument/2006/relationships/hyperlink" Target="https://html.spec.whatwg.org/multipage/server-sent-events.html" TargetMode="External"/><Relationship Id="rId5" Type="http://schemas.openxmlformats.org/officeDocument/2006/relationships/hyperlink" Target="https://arxiv.org/abs/2108.07258" TargetMode="External"/><Relationship Id="rId15" Type="http://schemas.openxmlformats.org/officeDocument/2006/relationships/hyperlink" Target="https://cloud.google.com/vertex-ai/docs" TargetMode="External"/><Relationship Id="rId23" Type="http://schemas.openxmlformats.org/officeDocument/2006/relationships/hyperlink" Target="https://openai.com/news/" TargetMode="External"/><Relationship Id="rId28" Type="http://schemas.openxmlformats.org/officeDocument/2006/relationships/hyperlink" Target="https://huggingface.co/blog" TargetMode="External"/><Relationship Id="rId36" Type="http://schemas.openxmlformats.org/officeDocument/2006/relationships/hyperlink" Target="https://spec.openapis.org/" TargetMode="External"/><Relationship Id="rId10" Type="http://schemas.openxmlformats.org/officeDocument/2006/relationships/hyperlink" Target="https://www.swebench.com/" TargetMode="External"/><Relationship Id="rId19" Type="http://schemas.openxmlformats.org/officeDocument/2006/relationships/hyperlink" Target="https://huggingface.co/docs" TargetMode="External"/><Relationship Id="rId31" Type="http://schemas.openxmlformats.org/officeDocument/2006/relationships/hyperlink" Target="https://artificialanalysis.ai/" TargetMode="External"/><Relationship Id="rId4" Type="http://schemas.openxmlformats.org/officeDocument/2006/relationships/webSettings" Target="webSettings.xml"/><Relationship Id="rId9" Type="http://schemas.openxmlformats.org/officeDocument/2006/relationships/hyperlink" Target="https://livebench.ai/" TargetMode="External"/><Relationship Id="rId14" Type="http://schemas.openxmlformats.org/officeDocument/2006/relationships/hyperlink" Target="https://docs.anthropic.com/" TargetMode="External"/><Relationship Id="rId22" Type="http://schemas.openxmlformats.org/officeDocument/2006/relationships/hyperlink" Target="https://modelcontextprotocol.io/" TargetMode="External"/><Relationship Id="rId27" Type="http://schemas.openxmlformats.org/officeDocument/2006/relationships/hyperlink" Target="https://azure.microsoft.com/blog/" TargetMode="External"/><Relationship Id="rId30" Type="http://schemas.openxmlformats.org/officeDocument/2006/relationships/hyperlink" Target="https://developer.nvidia.com/blog/" TargetMode="External"/><Relationship Id="rId35" Type="http://schemas.openxmlformats.org/officeDocument/2006/relationships/hyperlink" Target="https://lastexam.ai/" TargetMode="External"/><Relationship Id="rId8" Type="http://schemas.openxmlformats.org/officeDocument/2006/relationships/hyperlink" Target="https://www.anthropic.com/research/claude-3-family" TargetMode="External"/><Relationship Id="rId3" Type="http://schemas.openxmlformats.org/officeDocument/2006/relationships/settings" Target="settings.xml"/><Relationship Id="rId12" Type="http://schemas.openxmlformats.org/officeDocument/2006/relationships/hyperlink" Target="https://platform.openai.com/docs" TargetMode="External"/><Relationship Id="rId17" Type="http://schemas.openxmlformats.org/officeDocument/2006/relationships/hyperlink" Target="https://docs.aws.amazon.com/bedrock/" TargetMode="External"/><Relationship Id="rId25" Type="http://schemas.openxmlformats.org/officeDocument/2006/relationships/hyperlink" Target="https://cloud.google.com/architecture" TargetMode="External"/><Relationship Id="rId33" Type="http://schemas.openxmlformats.org/officeDocument/2006/relationships/hyperlink" Target="https://www.swebench.com/" TargetMode="External"/><Relationship Id="rId38" Type="http://schemas.openxmlformats.org/officeDocument/2006/relationships/hyperlink" Target="https://www.rfc-editor.org/rfc/rfc674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52</Pages>
  <Words>15143</Words>
  <Characters>86319</Characters>
  <Application>Microsoft Office Word</Application>
  <DocSecurity>0</DocSecurity>
  <Lines>719</Lines>
  <Paragraphs>202</Paragraphs>
  <ScaleCrop>false</ScaleCrop>
  <Company/>
  <LinksUpToDate>false</LinksUpToDate>
  <CharactersWithSpaces>101260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Шевцов Богдан</dc:creator>
  <cp:keywords/>
  <dc:description/>
  <cp:lastModifiedBy>Шевцов Богдан</cp:lastModifiedBy>
  <cp:revision>3</cp:revision>
  <dcterms:created xsi:type="dcterms:W3CDTF">2026-08-07T16:30:00Z</dcterms:created>
  <dcterms:modified xsi:type="dcterms:W3CDTF">2026-08-07T17:32:00Z</dcterms:modified>
</cp:coreProperties>
</file>