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D486C" w14:textId="2EF7BD42" w:rsidR="00E801C6" w:rsidRPr="00E801C6" w:rsidRDefault="00E801C6" w:rsidP="00E801C6">
      <w:pPr>
        <w:pStyle w:val="1"/>
      </w:pPr>
      <w:r>
        <w:t>4.</w:t>
      </w:r>
      <w:r w:rsidRPr="00E801C6">
        <w:t xml:space="preserve"> Open-Weight Models, Licensing, and Model Selection</w:t>
      </w:r>
    </w:p>
    <w:p w14:paraId="20A46E18" w14:textId="3DFFEA9C"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Introduction</w:t>
      </w:r>
    </w:p>
    <w:p w14:paraId="78807151" w14:textId="4A3C6215"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emergence of open-weight foundation models has fundamentally changed how organizations design and operate AI platforms. Only a few years ago, deploying state-of-the-art large language models generally meant consuming proprietary APIs operated by a small number of vendors. Today, enterprises can choose from a rapidly expanding ecosystem of openly distributed model weights, serving frameworks, optimization toolchains, and deployment platforms. This shift has transformed model selection from a procurement decision into an architectural discipline involving infrastructure design, licensing analysis, hardware planning, operational readiness, and long-term platform governance.</w:t>
      </w:r>
    </w:p>
    <w:p w14:paraId="6E007F55" w14:textId="098BAB14"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As discussed in Chapter 3, commercial AI platforms offer compelling advantages, including fully managed infrastructure, predictable APIs, integrated safety mechanisms, and continuous model improvements without operational overhead for customers. These characteristics make managed services an attractive option for many production workloads. However, they also introduce dependencies on external providers, recurring inference costs, limited control over model internals, and constraints on customization. Open-weight models address many of these limitations by allowing organizations to deploy and operate models within their own infrastructure or trusted cloud environments.</w:t>
      </w:r>
    </w:p>
    <w:p w14:paraId="41F1DF23" w14:textId="4E2EE3E0"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term open-weight has become increasingly important because it accurately reflects the current state of the industry. Although many publicly released models are often described as "open source," relatively few satisfy the formal definition of open-source software established by the Open Source Initiative (OSI). In many cases, model weights are publicly downloadable while training datasets, training code, reinforcement learning pipelines, or portions of the development process remain proprietary. Some licenses also impose restrictions on redistribution, acceptable use, or commercial deployment. Consequently, the industry has gradually adopted open-weight as a more precise engineering term that distinguishes publicly available model parameters from fully open-source software projects.</w:t>
      </w:r>
    </w:p>
    <w:p w14:paraId="5799A1BC" w14:textId="77E8D865"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 xml:space="preserve">For platform engineers, this distinction is not merely semantic. Licensing determines whether a model can be redistributed, embedded into commercial products, fine-tuned for customer-specific applications, or deployed in regulated environments. A technically excellent model may be unsuitable for production simply because its license conflicts with organizational requirements. Conversely, a model with slightly lower benchmark performance may prove significantly more </w:t>
      </w:r>
      <w:r w:rsidRPr="00E801C6">
        <w:rPr>
          <w:rFonts w:ascii="Times New Roman" w:eastAsia="Times New Roman" w:hAnsi="Times New Roman" w:cs="Times New Roman"/>
          <w:sz w:val="28"/>
          <w:szCs w:val="24"/>
        </w:rPr>
        <w:lastRenderedPageBreak/>
        <w:t>valuable if it offers permissive licensing, predictable release cycles, and strong ecosystem support.</w:t>
      </w:r>
    </w:p>
    <w:p w14:paraId="6339DD4C" w14:textId="3AC29A98"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Model selection also extends far beyond benchmark rankings. Public leaderboards frequently emphasize narrow academic tasks that do not necessarily correlate with production performance. Organizations rarely optimize for benchmark scores alone. Instead, they evaluate multiple engineering dimensions simultaneously, including inference latency, memory requirements, multilingual capabilities, context length, hardware compatibility, deployment flexibility, ecosystem maturity, documentation quality, security posture, licensing constraints, and expected maintenance effort. The optimal model for a customer support chatbot differs substantially from the optimal model for software engineering assistance, document analysis, or autonomous agent execution.</w:t>
      </w:r>
    </w:p>
    <w:p w14:paraId="1312931A" w14:textId="56B19574"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open-weight ecosystem has also become increasingly heterogeneous. Modern foundation models differ not only in parameter count but also in architectural design. Dense transformer models coexist with Mixture-of-Experts (MoE) architectures that activate only a subset of parameters during inference. Some models prioritize multilingual capabilities, while others specialize in reasoning, coding, mathematical problem solving, or multimodal understanding. Context windows have expanded from a few thousand tokens to hundreds of thousands—and, in some cases, millions—introducing new trade-offs between memory consumption, inference latency, and retrieval strategies. Quantization formats, model compression techniques, and hardware optimization have likewise diversified, allowing organizations to deploy increasingly capable models on commodity hardware as well as large GPU clusters.</w:t>
      </w:r>
    </w:p>
    <w:p w14:paraId="469B731C" w14:textId="75BF73FB"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This chapter examines these developments from the perspective of AI platform engineering rather than machine learning research. The objective is not to explain transformer mathematics or training algorithms in depth, but to provide a structured framework for evaluating open-weight models as production infrastructure components. The discussion begins with the historical evolution of the ecosystem, followed by an examination of architectural characteristics, licensing models, benchmark interpretation, hardware implications, quantization, ecosystem maturity, and practical model selection strategies.</w:t>
      </w:r>
    </w:p>
    <w:p w14:paraId="78EF6C47" w14:textId="52C19460"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 xml:space="preserve">Several implementation topics introduced here are explored in greater detail later in the book. In particular, Chapter 5 examines how selected models are executed by modern inference engines, including scheduling algorithms, key-value (KV) cache management, continuous batching, tensor parallelism, speculative decoding, and serving architectures. Chapter 13 discusses systematic model evaluation and regression testing, while Chapters 15 through 17 address deployment, observability, and operational cost management. Throughout this chapter, the focus </w:t>
      </w:r>
      <w:r w:rsidRPr="00E801C6">
        <w:rPr>
          <w:rFonts w:ascii="Times New Roman" w:eastAsia="Times New Roman" w:hAnsi="Times New Roman" w:cs="Times New Roman"/>
          <w:sz w:val="28"/>
          <w:szCs w:val="24"/>
        </w:rPr>
        <w:lastRenderedPageBreak/>
        <w:t>remains on selecting appropriate models rather than on the mechanics of serving or operating them.</w:t>
      </w:r>
    </w:p>
    <w:p w14:paraId="3C5A71EC" w14:textId="4CD15327" w:rsidR="00E801C6" w:rsidRPr="00E801C6" w:rsidRDefault="00E801C6" w:rsidP="00E801C6">
      <w:pPr>
        <w:pStyle w:val="1"/>
      </w:pPr>
      <w:r w:rsidRPr="00E801C6">
        <w:t>4.1 Evolution of Open-Weight Foundation Models</w:t>
      </w:r>
    </w:p>
    <w:p w14:paraId="1C4BE10D" w14:textId="4600E4CA"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contemporary open-weight ecosystem did not emerge from a single technological breakthrough. Instead, it evolved through a series of shifts in research culture, hardware capabilities, software tooling, and industry incentives. Understanding this evolution provides important context for current model selection decisions because many characteristics of today's ecosystem—including licensing models, community practices, benchmark methodologies, and deployment tooling—reflect design decisions made over several generations of language models.</w:t>
      </w:r>
    </w:p>
    <w:p w14:paraId="37BB6D33" w14:textId="2B55E9EF"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trajectory can be divided into three broad phases. The first phase was dominated by research-oriented transformer models intended primarily for experimentation rather than production deployment. The second phase began with the release of Meta's LLaMA models, which demonstrated that highly capable foundation models could be distributed beyond a small group of cloud providers. The third phase is characterized by a mature and highly competitive ecosystem in which numerous organizations publish open-weight models optimized for different deployment scenarios, hardware configurations, and application domains.</w:t>
      </w:r>
    </w:p>
    <w:p w14:paraId="70D10398" w14:textId="3C137D7A"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Each phase expanded not only model capabilities but also the surrounding infrastructure. Improvements in tokenizers, inference engines, quantization methods, model repositories, evaluation frameworks, and serving platforms have become as important as improvements in model quality itself. Consequently, selecting an open-weight model today requires evaluating an entire ecosystem rather than a single neural network.</w:t>
      </w:r>
    </w:p>
    <w:p w14:paraId="64DC3F4B" w14:textId="7CE549D1" w:rsidR="00E801C6" w:rsidRPr="00E801C6" w:rsidRDefault="00E801C6" w:rsidP="00EC18F3">
      <w:pPr>
        <w:pStyle w:val="2"/>
      </w:pPr>
      <w:r w:rsidRPr="00E801C6">
        <w:t>Early Transformer Releases</w:t>
      </w:r>
    </w:p>
    <w:p w14:paraId="54C4777B" w14:textId="64BC0B74"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Before the transformer architecture was introduced, most natural language processing systems relied on recurrent neural networks (RNNs), long short-term memory (LSTM) networks, or gated recurrent units (GRUs). These architectures processed tokens sequentially, limiting parallelization during training and making it increasingly difficult to scale to larger datasets and longer contexts.</w:t>
      </w:r>
    </w:p>
    <w:p w14:paraId="7CBAC3D0" w14:textId="676605A8"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 xml:space="preserve">The publication of </w:t>
      </w:r>
      <w:r w:rsidRPr="00EC18F3">
        <w:rPr>
          <w:rFonts w:ascii="Times New Roman" w:eastAsia="Times New Roman" w:hAnsi="Times New Roman" w:cs="Times New Roman"/>
          <w:b/>
          <w:bCs/>
          <w:sz w:val="28"/>
          <w:szCs w:val="24"/>
        </w:rPr>
        <w:t>Attention Is All You Need</w:t>
      </w:r>
      <w:r w:rsidRPr="00E801C6">
        <w:rPr>
          <w:rFonts w:ascii="Times New Roman" w:eastAsia="Times New Roman" w:hAnsi="Times New Roman" w:cs="Times New Roman"/>
          <w:sz w:val="28"/>
          <w:szCs w:val="24"/>
        </w:rPr>
        <w:t xml:space="preserve"> in 2017 fundamentally altered this landscape by introducing the Transformer architecture. Self-attention enabled models to process sequences in parallel while capturing long-range dependencies more effectively than recurrent architectures. Although the original paper focused </w:t>
      </w:r>
      <w:r w:rsidRPr="00E801C6">
        <w:rPr>
          <w:rFonts w:ascii="Times New Roman" w:eastAsia="Times New Roman" w:hAnsi="Times New Roman" w:cs="Times New Roman"/>
          <w:sz w:val="28"/>
          <w:szCs w:val="24"/>
        </w:rPr>
        <w:lastRenderedPageBreak/>
        <w:t>on machine translation, the architectural principles quickly generalized to many other language understanding and generation tasks.</w:t>
      </w:r>
    </w:p>
    <w:p w14:paraId="5842D327" w14:textId="4FF3F59E"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first generation of transformer-based language models was primarily research-driven. Models such as BERT, GPT, GPT-2, RoBERTa, XLNet, T5, and BART were designed to investigate different training objectives, architectural variations, and scaling behaviors. Their releases established many of the concepts that continue to influence modern language models, including masked language modeling, autoregressive generation, transfer learning, and large-scale pretraining.</w:t>
      </w:r>
    </w:p>
    <w:p w14:paraId="20352803" w14:textId="324CC831" w:rsid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Despite their importance, these early models rarely entered enterprise production unchanged. Several factors limited their practical deployment.</w:t>
      </w:r>
    </w:p>
    <w:p w14:paraId="3F664D9D" w14:textId="46A8D61E" w:rsid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First, many models were designed to solve narrow benchmark tasks rather than serve as general-purpose assistants. BERT, for example, excelled at text classification and question answering but was not intended for free-form text generation. GPT-2 demonstrated impressive generative capabilities but lacked instruction-following behavior expected by production users.</w:t>
      </w:r>
    </w:p>
    <w:p w14:paraId="3B66ED7D" w14:textId="562B2054"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Second, deployment tooling remained immature. There were few optimized inference engines, quantization techniques were relatively primitive, GPU memory requirements were substantial, and serving large transformer models often required extensive custom engineering. Organizations interested in deploying these models frequently built proprietary serving systems because standardized infrastructure had not yet emerged.</w:t>
      </w:r>
    </w:p>
    <w:p w14:paraId="1B22EBA8" w14:textId="4F8411C7"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Third, licensing practices varied considerably. Some models were fully open source, while others imposed restrictions on commercial use or delayed public release due to concerns regarding misuse. The ecosystem lacked consistent conventions for model distribution, documentation, or metadata.</w:t>
      </w:r>
    </w:p>
    <w:p w14:paraId="01F530F0" w14:textId="18AAE247"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Finally, model capabilities themselves remained limited. Context windows were relatively short, multilingual support was inconsistent, reasoning ability was modest, and instruction tuning had not yet become standard practice. Deployments therefore required extensive application-specific engineering, including prompt design, retrieval augmentation, fine-tuning, and post-processing logic.</w:t>
      </w:r>
    </w:p>
    <w:p w14:paraId="366314D2" w14:textId="77777777"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Nevertheless, this early period established several foundational engineering principles that remain relevant today. Transfer learning demonstrated that a single pretrained model could support many downstream tasks. Scaling experiments suggested that increasing model size and training data produced predictable improvements under appropriate conditions. Researchers also began recognizing that infrastructure—rather than model architecture alone—would become a critical factor in practical AI deployment.</w:t>
      </w:r>
    </w:p>
    <w:p w14:paraId="12228786" w14:textId="77777777" w:rsidR="00E801C6" w:rsidRPr="00E801C6" w:rsidRDefault="00E801C6" w:rsidP="00E801C6">
      <w:pPr>
        <w:rPr>
          <w:rFonts w:ascii="Times New Roman" w:eastAsia="Times New Roman" w:hAnsi="Times New Roman" w:cs="Times New Roman"/>
          <w:sz w:val="28"/>
          <w:szCs w:val="24"/>
        </w:rPr>
      </w:pPr>
    </w:p>
    <w:p w14:paraId="47419967" w14:textId="734F878B"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lastRenderedPageBreak/>
        <w:t>Perhaps the most important legacy of this period was cultural rather than technical. Research communities increasingly embraced reproducibility through publicly released checkpoints, benchmark datasets, and open software frameworks. This culture laid the foundation for the collaborative ecosystem that would later accelerate the development of open-weight foundation models.</w:t>
      </w:r>
    </w:p>
    <w:p w14:paraId="2D9847F0" w14:textId="09854B0B" w:rsidR="00E801C6" w:rsidRPr="00E801C6" w:rsidRDefault="00E801C6" w:rsidP="00E801C6">
      <w:pPr>
        <w:pStyle w:val="2"/>
      </w:pPr>
      <w:r w:rsidRPr="00E801C6">
        <w:t>The LLaMA Turning Point</w:t>
      </w:r>
    </w:p>
    <w:p w14:paraId="68275FA0" w14:textId="1620AF51"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release of the first LLaMA (Large Language Model Meta AI) family represented a defining moment in the evolution of open-weight language models. Although earlier transformer models had been publicly available, LLaMA demonstrated that relatively compact foundation models could achieve performance approaching much larger proprietary systems while remaining practical to deploy on accessible hardware.</w:t>
      </w:r>
    </w:p>
    <w:p w14:paraId="29F95BFF" w14:textId="7EF26780"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significance of LLaMA extended beyond benchmark results. It fundamentally changed expectations regarding who could build and operate competitive language models.</w:t>
      </w:r>
    </w:p>
    <w:p w14:paraId="00659B21" w14:textId="347998BB"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Before LLaMA, many organizations assumed that state-of-the-art language models required infrastructure available only to hyperscale cloud providers. The prevailing perception was that meaningful AI deployment depended on continuous access to proprietary APIs hosted by a handful of vendors. LLaMA challenged this assumption by showing that carefully trained models with comparatively modest parameter counts could deliver strong performance across a broad range of language tasks.</w:t>
      </w:r>
    </w:p>
    <w:p w14:paraId="075529BE" w14:textId="37E501E5"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Although the initial release was distributed under a controlled access process rather than unrestricted public distribution, the broader research community rapidly began experimenting with instruction tuning, fine-tuning, quantization, and deployment optimizations. Numerous derivative projects appeared within months, extending the original models to specialized domains including programming, mathematics, multilingual interaction, legal reasoning, biomedical applications, and conversational assistants.</w:t>
      </w:r>
    </w:p>
    <w:p w14:paraId="5006B2EB" w14:textId="67867E5D"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Several developments accelerated simultaneously.</w:t>
      </w:r>
    </w:p>
    <w:p w14:paraId="2C0AC22E" w14:textId="77777777"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Instruction tuning became significantly more accessible. Rather than training models from scratch, researchers and organizations could adapt existing foundation models using comparatively modest computational resources. This democratized model customization and enabled domain-specific assistants that previously would have required prohibitively expensive training efforts.</w:t>
      </w:r>
    </w:p>
    <w:p w14:paraId="33C82C43" w14:textId="77777777" w:rsidR="00E801C6" w:rsidRPr="00E801C6" w:rsidRDefault="00E801C6" w:rsidP="00E801C6">
      <w:pPr>
        <w:rPr>
          <w:rFonts w:ascii="Times New Roman" w:eastAsia="Times New Roman" w:hAnsi="Times New Roman" w:cs="Times New Roman"/>
          <w:sz w:val="28"/>
          <w:szCs w:val="24"/>
        </w:rPr>
      </w:pPr>
    </w:p>
    <w:p w14:paraId="1CE03684" w14:textId="2DAA9D43"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lastRenderedPageBreak/>
        <w:t>Quantization techniques also advanced rapidly. Community-developed methods reduced memory requirements while preserving much of the original model quality, allowing increasingly capable models to execute on consumer GPUs, high-end workstations, and eventually even laptop-class hardware. These developments substantially broadened the range of organizations capable of experimenting with self-hosted language models.</w:t>
      </w:r>
    </w:p>
    <w:p w14:paraId="46A13C4C" w14:textId="055FE743"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surrounding software ecosystem expanded at an equally remarkable pace. Projects focused on optimized inference, efficient attention implementations, secure model serialization, tokenizer improvements, and standardized model repositories emerged within a relatively short period. Instead of isolated research artifacts, language models became components within an increasingly sophisticated infrastructure ecosystem.</w:t>
      </w:r>
    </w:p>
    <w:p w14:paraId="4C4904AF" w14:textId="4B37B999"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release of Llama 2 further accelerated enterprise adoption by introducing licensing terms explicitly designed to support many commercial deployment scenarios. This reduced uncertainty for organizations considering production use while simultaneously encouraging software vendors to invest in compatible tooling. Subsequent model generations continued expanding context lengths, multilingual capabilities, reasoning performance, and multimodal functionality.</w:t>
      </w:r>
    </w:p>
    <w:p w14:paraId="0F2F1642" w14:textId="33D80EA1"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Perhaps the most lasting consequence of the LLaMA era was the emergence of genuine competition within the open-weight ecosystem. Multiple organizations—including Mistral AI, Alibaba (Qwen), Google (Gemma), Microsoft (Phi), IBM (Granite), DeepSeek, Allen Institute for AI (OLMo), and others—began publishing increasingly capable foundation models with distinct architectural priorities and licensing strategies. Innovation was no longer concentrated within a small number of research laboratories. Instead, the ecosystem evolved into a competitive environment in which advances in architecture, optimization, tooling, and deployment occurred at an unprecedented pace.</w:t>
      </w:r>
    </w:p>
    <w:p w14:paraId="69434EA9" w14:textId="02B60D7C"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For AI platform engineers, this shift changed the nature of model selection. Rather than choosing between a few proprietary APIs, organizations could now evaluate dozens of viable model families across multiple hardware targets, licensing models, and deployment strategies. Model selection became an ongoing engineering discipline requiring continuous assessment rather than a one-time procurement decision.</w:t>
      </w:r>
    </w:p>
    <w:p w14:paraId="2CC832AF" w14:textId="2E780B81" w:rsidR="00E801C6" w:rsidRPr="00E801C6" w:rsidRDefault="00E801C6" w:rsidP="00E801C6">
      <w:pPr>
        <w:pStyle w:val="2"/>
      </w:pPr>
      <w:r w:rsidRPr="00E801C6">
        <w:t>Current Open-Weight Ecosystem</w:t>
      </w:r>
    </w:p>
    <w:p w14:paraId="06A79ACD" w14:textId="4E5E17AC"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 xml:space="preserve">The modern open-weight ecosystem is characterized by diversity rather than convergence. There is no universally superior model family, and organizations rarely standardize on a single model across all workloads. Instead, production AI platforms increasingly maintain portfolios of models optimized for different </w:t>
      </w:r>
      <w:r w:rsidRPr="00E801C6">
        <w:rPr>
          <w:rFonts w:ascii="Times New Roman" w:eastAsia="Times New Roman" w:hAnsi="Times New Roman" w:cs="Times New Roman"/>
          <w:sz w:val="28"/>
          <w:szCs w:val="24"/>
        </w:rPr>
        <w:lastRenderedPageBreak/>
        <w:t>latency requirements, hardware environments, regulatory constraints, and application domains.</w:t>
      </w:r>
    </w:p>
    <w:p w14:paraId="45C4803D" w14:textId="0ABF0A16"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Model families differ in several important dimensions. Some prioritize general-purpose conversational performance, while others emphasize coding assistance, multilingual communication, scientific reasoning, mathematical accuracy, or multimodal capabilities. Architectural choices also vary considerably, with dense transformer models coexisting alongside increasingly sophisticated Mixture-of-Experts designs. Context lengths range from a few thousand tokens to hundreds of thousands, and support for structured outputs, tool calling, and reasoning-oriented inference continues to improve across successive releases.</w:t>
      </w:r>
    </w:p>
    <w:p w14:paraId="0D89CE91" w14:textId="5DF2B758"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ecosystem has also become more specialized with respect to deployment environments. Compact language models enable execution on edge devices, workstations, and resource-constrained servers where minimizing latency and hardware cost is essential. Medium-sized models often represent the optimal balance for enterprise applications requiring predictable performance and manageable infrastructure requirements. Very large models continue to provide the highest capabilities for complex reasoning tasks but generally require multi-GPU deployments and more sophisticated serving infrastructure.</w:t>
      </w:r>
    </w:p>
    <w:p w14:paraId="23343DB6" w14:textId="4370A481"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Another defining characteristic of the ecosystem is release cadence. Leading organizations now publish model updates far more frequently than traditional enterprise software releases. Improvements may include revised training corpora, expanded context windows, enhanced multilingual support, improved reasoning performance, updated licenses, or new quantization variants. Consequently, organizations must treat model selection as a continuous evaluation process rather than assuming that a chosen model will remain optimal for several years.</w:t>
      </w:r>
    </w:p>
    <w:p w14:paraId="24BF3870" w14:textId="5363B42A"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Equally important is the maturity of the surrounding ecosystem. A technically capable model is considerably more valuable when accompanied by comprehensive documentation, actively maintained repositories, broad inference engine compatibility, standardized quantization formats, benchmark transparency, and strong community support. Operational success therefore depends on evaluating the health of the entire ecosystem rather than only the underlying neural network.</w:t>
      </w:r>
    </w:p>
    <w:p w14:paraId="56E4E4CC" w14:textId="77777777"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The following table summarizes several influential open-weight model families representative of the contemporary landscape. The objective is not to identify a universally preferred model, but to illustrate the diversity of design philosophies that platform engineers are likely to encounter.</w:t>
      </w:r>
    </w:p>
    <w:p w14:paraId="262A4439" w14:textId="77777777" w:rsidR="00E801C6" w:rsidRPr="00E801C6" w:rsidRDefault="00E801C6" w:rsidP="00E801C6">
      <w:pPr>
        <w:rPr>
          <w:rFonts w:ascii="Times New Roman" w:eastAsia="Times New Roman" w:hAnsi="Times New Roman" w:cs="Times New Roman"/>
          <w:sz w:val="28"/>
          <w:szCs w:val="24"/>
        </w:rPr>
      </w:pPr>
    </w:p>
    <w:p w14:paraId="108329CE" w14:textId="77777777" w:rsidR="00E801C6" w:rsidRPr="00E801C6" w:rsidRDefault="00E801C6" w:rsidP="00E801C6">
      <w:pPr>
        <w:rPr>
          <w:rFonts w:ascii="Times New Roman" w:eastAsia="Times New Roman" w:hAnsi="Times New Roman" w:cs="Times New Roman"/>
          <w:b/>
          <w:bCs/>
          <w:sz w:val="28"/>
          <w:szCs w:val="24"/>
        </w:rPr>
      </w:pPr>
      <w:r w:rsidRPr="00E801C6">
        <w:rPr>
          <w:rFonts w:ascii="Times New Roman" w:eastAsia="Times New Roman" w:hAnsi="Times New Roman" w:cs="Times New Roman"/>
          <w:b/>
          <w:bCs/>
          <w:sz w:val="28"/>
          <w:szCs w:val="24"/>
        </w:rPr>
        <w:t>Table 4.1. Major Open-Weight Model Families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1337"/>
        <w:gridCol w:w="1403"/>
        <w:gridCol w:w="829"/>
        <w:gridCol w:w="1498"/>
        <w:gridCol w:w="1598"/>
        <w:gridCol w:w="1686"/>
      </w:tblGrid>
      <w:tr w:rsidR="00E801C6" w:rsidRPr="00E801C6" w14:paraId="36762835" w14:textId="77777777" w:rsidTr="00E801C6">
        <w:trPr>
          <w:tblHeader/>
          <w:tblCellSpacing w:w="15" w:type="dxa"/>
        </w:trPr>
        <w:tc>
          <w:tcPr>
            <w:tcW w:w="0" w:type="auto"/>
            <w:vAlign w:val="center"/>
            <w:hideMark/>
          </w:tcPr>
          <w:p w14:paraId="12E78F71"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lastRenderedPageBreak/>
              <w:t>Model Family</w:t>
            </w:r>
          </w:p>
        </w:tc>
        <w:tc>
          <w:tcPr>
            <w:tcW w:w="0" w:type="auto"/>
            <w:vAlign w:val="center"/>
            <w:hideMark/>
          </w:tcPr>
          <w:p w14:paraId="5876A017"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t>Organization</w:t>
            </w:r>
          </w:p>
        </w:tc>
        <w:tc>
          <w:tcPr>
            <w:tcW w:w="0" w:type="auto"/>
            <w:vAlign w:val="center"/>
            <w:hideMark/>
          </w:tcPr>
          <w:p w14:paraId="59E87B7B"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t>Primary Architecture</w:t>
            </w:r>
          </w:p>
        </w:tc>
        <w:tc>
          <w:tcPr>
            <w:tcW w:w="0" w:type="auto"/>
            <w:vAlign w:val="center"/>
            <w:hideMark/>
          </w:tcPr>
          <w:p w14:paraId="46D5F174"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t>Typical Sizes*</w:t>
            </w:r>
          </w:p>
        </w:tc>
        <w:tc>
          <w:tcPr>
            <w:tcW w:w="0" w:type="auto"/>
            <w:vAlign w:val="center"/>
            <w:hideMark/>
          </w:tcPr>
          <w:p w14:paraId="189CCBD4"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t>Representative Context Lengths*</w:t>
            </w:r>
          </w:p>
        </w:tc>
        <w:tc>
          <w:tcPr>
            <w:tcW w:w="0" w:type="auto"/>
            <w:vAlign w:val="center"/>
            <w:hideMark/>
          </w:tcPr>
          <w:p w14:paraId="524451F1"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t>Primary Strengths</w:t>
            </w:r>
          </w:p>
        </w:tc>
        <w:tc>
          <w:tcPr>
            <w:tcW w:w="0" w:type="auto"/>
            <w:vAlign w:val="center"/>
            <w:hideMark/>
          </w:tcPr>
          <w:p w14:paraId="220860CC" w14:textId="77777777" w:rsidR="00E801C6" w:rsidRPr="00E801C6" w:rsidRDefault="00E801C6" w:rsidP="00E801C6">
            <w:pPr>
              <w:rPr>
                <w:rFonts w:ascii="Times New Roman" w:eastAsia="Times New Roman" w:hAnsi="Times New Roman" w:cs="Times New Roman"/>
                <w:b/>
                <w:bCs/>
                <w:szCs w:val="20"/>
              </w:rPr>
            </w:pPr>
            <w:r w:rsidRPr="00E801C6">
              <w:rPr>
                <w:rFonts w:ascii="Times New Roman" w:eastAsia="Times New Roman" w:hAnsi="Times New Roman" w:cs="Times New Roman"/>
                <w:b/>
                <w:bCs/>
                <w:szCs w:val="20"/>
              </w:rPr>
              <w:t>Typical Deployment Scenarios</w:t>
            </w:r>
          </w:p>
        </w:tc>
      </w:tr>
      <w:tr w:rsidR="00E801C6" w:rsidRPr="00E801C6" w14:paraId="6DE862AF" w14:textId="77777777" w:rsidTr="00E801C6">
        <w:trPr>
          <w:tblCellSpacing w:w="15" w:type="dxa"/>
        </w:trPr>
        <w:tc>
          <w:tcPr>
            <w:tcW w:w="0" w:type="auto"/>
            <w:vAlign w:val="center"/>
            <w:hideMark/>
          </w:tcPr>
          <w:p w14:paraId="6DF158A3"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Llama</w:t>
            </w:r>
          </w:p>
        </w:tc>
        <w:tc>
          <w:tcPr>
            <w:tcW w:w="0" w:type="auto"/>
            <w:vAlign w:val="center"/>
            <w:hideMark/>
          </w:tcPr>
          <w:p w14:paraId="5EE247D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Meta</w:t>
            </w:r>
          </w:p>
        </w:tc>
        <w:tc>
          <w:tcPr>
            <w:tcW w:w="0" w:type="auto"/>
            <w:vAlign w:val="center"/>
            <w:hideMark/>
          </w:tcPr>
          <w:p w14:paraId="29EA1EA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Primarily dense decoder-only transformers, with newer generations also exploring sparse architectures</w:t>
            </w:r>
          </w:p>
        </w:tc>
        <w:tc>
          <w:tcPr>
            <w:tcW w:w="0" w:type="auto"/>
            <w:vAlign w:val="center"/>
            <w:hideMark/>
          </w:tcPr>
          <w:p w14:paraId="15A5CA14"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Small to very large</w:t>
            </w:r>
          </w:p>
        </w:tc>
        <w:tc>
          <w:tcPr>
            <w:tcW w:w="0" w:type="auto"/>
            <w:vAlign w:val="center"/>
            <w:hideMark/>
          </w:tcPr>
          <w:p w14:paraId="14460E9A"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very long</w:t>
            </w:r>
          </w:p>
        </w:tc>
        <w:tc>
          <w:tcPr>
            <w:tcW w:w="0" w:type="auto"/>
            <w:vAlign w:val="center"/>
            <w:hideMark/>
          </w:tcPr>
          <w:p w14:paraId="5EAAD94C"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Balanced general-purpose capabilities, extensive ecosystem support, broad tooling compatibility</w:t>
            </w:r>
          </w:p>
        </w:tc>
        <w:tc>
          <w:tcPr>
            <w:tcW w:w="0" w:type="auto"/>
            <w:vAlign w:val="center"/>
            <w:hideMark/>
          </w:tcPr>
          <w:p w14:paraId="5B5F3105"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Enterprise assistants, internal knowledge systems, application backends, research, fine-tuning</w:t>
            </w:r>
          </w:p>
        </w:tc>
      </w:tr>
      <w:tr w:rsidR="00E801C6" w:rsidRPr="00E801C6" w14:paraId="1C1240F4" w14:textId="77777777" w:rsidTr="00E801C6">
        <w:trPr>
          <w:tblCellSpacing w:w="15" w:type="dxa"/>
        </w:trPr>
        <w:tc>
          <w:tcPr>
            <w:tcW w:w="0" w:type="auto"/>
            <w:vAlign w:val="center"/>
            <w:hideMark/>
          </w:tcPr>
          <w:p w14:paraId="071EB390"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Qwen</w:t>
            </w:r>
          </w:p>
        </w:tc>
        <w:tc>
          <w:tcPr>
            <w:tcW w:w="0" w:type="auto"/>
            <w:vAlign w:val="center"/>
            <w:hideMark/>
          </w:tcPr>
          <w:p w14:paraId="3FDB42A6"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Alibaba</w:t>
            </w:r>
          </w:p>
        </w:tc>
        <w:tc>
          <w:tcPr>
            <w:tcW w:w="0" w:type="auto"/>
            <w:vAlign w:val="center"/>
            <w:hideMark/>
          </w:tcPr>
          <w:p w14:paraId="5998C20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transformer family with multilingual emphasis</w:t>
            </w:r>
          </w:p>
        </w:tc>
        <w:tc>
          <w:tcPr>
            <w:tcW w:w="0" w:type="auto"/>
            <w:vAlign w:val="center"/>
            <w:hideMark/>
          </w:tcPr>
          <w:p w14:paraId="54578930"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Small to very large</w:t>
            </w:r>
          </w:p>
        </w:tc>
        <w:tc>
          <w:tcPr>
            <w:tcW w:w="0" w:type="auto"/>
            <w:vAlign w:val="center"/>
            <w:hideMark/>
          </w:tcPr>
          <w:p w14:paraId="3D36D4B3"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Long</w:t>
            </w:r>
          </w:p>
        </w:tc>
        <w:tc>
          <w:tcPr>
            <w:tcW w:w="0" w:type="auto"/>
            <w:vAlign w:val="center"/>
            <w:hideMark/>
          </w:tcPr>
          <w:p w14:paraId="7B8A9DD5"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Strong multilingual performance, coding capabilities, extensive model variants, permissive licensing for many releases</w:t>
            </w:r>
          </w:p>
        </w:tc>
        <w:tc>
          <w:tcPr>
            <w:tcW w:w="0" w:type="auto"/>
            <w:vAlign w:val="center"/>
            <w:hideMark/>
          </w:tcPr>
          <w:p w14:paraId="0FD5E72C"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Global enterprise applications, multilingual assistants, coding support, research</w:t>
            </w:r>
          </w:p>
        </w:tc>
      </w:tr>
      <w:tr w:rsidR="00E801C6" w:rsidRPr="00E801C6" w14:paraId="7228869C" w14:textId="77777777" w:rsidTr="00E801C6">
        <w:trPr>
          <w:tblCellSpacing w:w="15" w:type="dxa"/>
        </w:trPr>
        <w:tc>
          <w:tcPr>
            <w:tcW w:w="0" w:type="auto"/>
            <w:vAlign w:val="center"/>
            <w:hideMark/>
          </w:tcPr>
          <w:p w14:paraId="03528C70"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Mistral / Mixtral</w:t>
            </w:r>
          </w:p>
        </w:tc>
        <w:tc>
          <w:tcPr>
            <w:tcW w:w="0" w:type="auto"/>
            <w:vAlign w:val="center"/>
            <w:hideMark/>
          </w:tcPr>
          <w:p w14:paraId="10E25638"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Mistral AI</w:t>
            </w:r>
          </w:p>
        </w:tc>
        <w:tc>
          <w:tcPr>
            <w:tcW w:w="0" w:type="auto"/>
            <w:vAlign w:val="center"/>
            <w:hideMark/>
          </w:tcPr>
          <w:p w14:paraId="5612584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and Mixture-of-Experts</w:t>
            </w:r>
          </w:p>
        </w:tc>
        <w:tc>
          <w:tcPr>
            <w:tcW w:w="0" w:type="auto"/>
            <w:vAlign w:val="center"/>
            <w:hideMark/>
          </w:tcPr>
          <w:p w14:paraId="18D21DB3"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large</w:t>
            </w:r>
          </w:p>
        </w:tc>
        <w:tc>
          <w:tcPr>
            <w:tcW w:w="0" w:type="auto"/>
            <w:vAlign w:val="center"/>
            <w:hideMark/>
          </w:tcPr>
          <w:p w14:paraId="4FCA177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long</w:t>
            </w:r>
          </w:p>
        </w:tc>
        <w:tc>
          <w:tcPr>
            <w:tcW w:w="0" w:type="auto"/>
            <w:vAlign w:val="center"/>
            <w:hideMark/>
          </w:tcPr>
          <w:p w14:paraId="16F24BD4"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Efficient inference, competitive reasoning, strong optimization focus</w:t>
            </w:r>
          </w:p>
        </w:tc>
        <w:tc>
          <w:tcPr>
            <w:tcW w:w="0" w:type="auto"/>
            <w:vAlign w:val="center"/>
            <w:hideMark/>
          </w:tcPr>
          <w:p w14:paraId="6853CE9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Production inference services, enterprise deployment, latency-sensitive applications</w:t>
            </w:r>
          </w:p>
        </w:tc>
      </w:tr>
      <w:tr w:rsidR="00E801C6" w:rsidRPr="00E801C6" w14:paraId="05AECFFD" w14:textId="77777777" w:rsidTr="00E801C6">
        <w:trPr>
          <w:tblCellSpacing w:w="15" w:type="dxa"/>
        </w:trPr>
        <w:tc>
          <w:tcPr>
            <w:tcW w:w="0" w:type="auto"/>
            <w:vAlign w:val="center"/>
            <w:hideMark/>
          </w:tcPr>
          <w:p w14:paraId="17C10B2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DeepSeek</w:t>
            </w:r>
          </w:p>
        </w:tc>
        <w:tc>
          <w:tcPr>
            <w:tcW w:w="0" w:type="auto"/>
            <w:vAlign w:val="center"/>
            <w:hideMark/>
          </w:tcPr>
          <w:p w14:paraId="63D4BF96"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DeepSeek AI</w:t>
            </w:r>
          </w:p>
        </w:tc>
        <w:tc>
          <w:tcPr>
            <w:tcW w:w="0" w:type="auto"/>
            <w:vAlign w:val="center"/>
            <w:hideMark/>
          </w:tcPr>
          <w:p w14:paraId="73C6CC15"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and Mixture-of-Experts</w:t>
            </w:r>
          </w:p>
        </w:tc>
        <w:tc>
          <w:tcPr>
            <w:tcW w:w="0" w:type="auto"/>
            <w:vAlign w:val="center"/>
            <w:hideMark/>
          </w:tcPr>
          <w:p w14:paraId="2C9045B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very large</w:t>
            </w:r>
          </w:p>
        </w:tc>
        <w:tc>
          <w:tcPr>
            <w:tcW w:w="0" w:type="auto"/>
            <w:vAlign w:val="center"/>
            <w:hideMark/>
          </w:tcPr>
          <w:p w14:paraId="35CFD367"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Long</w:t>
            </w:r>
          </w:p>
        </w:tc>
        <w:tc>
          <w:tcPr>
            <w:tcW w:w="0" w:type="auto"/>
            <w:vAlign w:val="center"/>
            <w:hideMark/>
          </w:tcPr>
          <w:p w14:paraId="00EDE04D"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Reasoning performance, coding, mathematical tasks, efficient sparse architectures</w:t>
            </w:r>
          </w:p>
        </w:tc>
        <w:tc>
          <w:tcPr>
            <w:tcW w:w="0" w:type="auto"/>
            <w:vAlign w:val="center"/>
            <w:hideMark/>
          </w:tcPr>
          <w:p w14:paraId="40C2A13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Software engineering assistants, research workloads, advanced reasoning systems</w:t>
            </w:r>
          </w:p>
        </w:tc>
      </w:tr>
      <w:tr w:rsidR="00E801C6" w:rsidRPr="00E801C6" w14:paraId="3A607592" w14:textId="77777777" w:rsidTr="00E801C6">
        <w:trPr>
          <w:tblCellSpacing w:w="15" w:type="dxa"/>
        </w:trPr>
        <w:tc>
          <w:tcPr>
            <w:tcW w:w="0" w:type="auto"/>
            <w:vAlign w:val="center"/>
            <w:hideMark/>
          </w:tcPr>
          <w:p w14:paraId="1E6DCD2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Gemma</w:t>
            </w:r>
          </w:p>
        </w:tc>
        <w:tc>
          <w:tcPr>
            <w:tcW w:w="0" w:type="auto"/>
            <w:vAlign w:val="center"/>
            <w:hideMark/>
          </w:tcPr>
          <w:p w14:paraId="75649D3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Google</w:t>
            </w:r>
          </w:p>
        </w:tc>
        <w:tc>
          <w:tcPr>
            <w:tcW w:w="0" w:type="auto"/>
            <w:vAlign w:val="center"/>
            <w:hideMark/>
          </w:tcPr>
          <w:p w14:paraId="2FEF784F"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transformer</w:t>
            </w:r>
          </w:p>
        </w:tc>
        <w:tc>
          <w:tcPr>
            <w:tcW w:w="0" w:type="auto"/>
            <w:vAlign w:val="center"/>
            <w:hideMark/>
          </w:tcPr>
          <w:p w14:paraId="10E72CF8"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Small to medium</w:t>
            </w:r>
          </w:p>
        </w:tc>
        <w:tc>
          <w:tcPr>
            <w:tcW w:w="0" w:type="auto"/>
            <w:vAlign w:val="center"/>
            <w:hideMark/>
          </w:tcPr>
          <w:p w14:paraId="0FB4D766"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long</w:t>
            </w:r>
          </w:p>
        </w:tc>
        <w:tc>
          <w:tcPr>
            <w:tcW w:w="0" w:type="auto"/>
            <w:vAlign w:val="center"/>
            <w:hideMark/>
          </w:tcPr>
          <w:p w14:paraId="27B82B77"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Lightweight deployment, research accessibility, integration with Google's ecosystem</w:t>
            </w:r>
          </w:p>
        </w:tc>
        <w:tc>
          <w:tcPr>
            <w:tcW w:w="0" w:type="auto"/>
            <w:vAlign w:val="center"/>
            <w:hideMark/>
          </w:tcPr>
          <w:p w14:paraId="5F682BAD"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Edge deployment, experimentation, educational use, enterprise prototyping</w:t>
            </w:r>
          </w:p>
        </w:tc>
      </w:tr>
      <w:tr w:rsidR="00E801C6" w:rsidRPr="00E801C6" w14:paraId="5198651F" w14:textId="77777777" w:rsidTr="00E801C6">
        <w:trPr>
          <w:tblCellSpacing w:w="15" w:type="dxa"/>
        </w:trPr>
        <w:tc>
          <w:tcPr>
            <w:tcW w:w="0" w:type="auto"/>
            <w:vAlign w:val="center"/>
            <w:hideMark/>
          </w:tcPr>
          <w:p w14:paraId="218B473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Phi</w:t>
            </w:r>
          </w:p>
        </w:tc>
        <w:tc>
          <w:tcPr>
            <w:tcW w:w="0" w:type="auto"/>
            <w:vAlign w:val="center"/>
            <w:hideMark/>
          </w:tcPr>
          <w:p w14:paraId="773704E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Microsoft</w:t>
            </w:r>
          </w:p>
        </w:tc>
        <w:tc>
          <w:tcPr>
            <w:tcW w:w="0" w:type="auto"/>
            <w:vAlign w:val="center"/>
            <w:hideMark/>
          </w:tcPr>
          <w:p w14:paraId="14C32307"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 xml:space="preserve">Dense transformer optimized for </w:t>
            </w:r>
            <w:r w:rsidRPr="00E801C6">
              <w:rPr>
                <w:rFonts w:ascii="Times New Roman" w:eastAsia="Times New Roman" w:hAnsi="Times New Roman" w:cs="Times New Roman"/>
                <w:szCs w:val="20"/>
              </w:rPr>
              <w:lastRenderedPageBreak/>
              <w:t>compact deployment</w:t>
            </w:r>
          </w:p>
        </w:tc>
        <w:tc>
          <w:tcPr>
            <w:tcW w:w="0" w:type="auto"/>
            <w:vAlign w:val="center"/>
            <w:hideMark/>
          </w:tcPr>
          <w:p w14:paraId="1D237D9D"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lastRenderedPageBreak/>
              <w:t>Very small to medium</w:t>
            </w:r>
          </w:p>
        </w:tc>
        <w:tc>
          <w:tcPr>
            <w:tcW w:w="0" w:type="auto"/>
            <w:vAlign w:val="center"/>
            <w:hideMark/>
          </w:tcPr>
          <w:p w14:paraId="7596C11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w:t>
            </w:r>
          </w:p>
        </w:tc>
        <w:tc>
          <w:tcPr>
            <w:tcW w:w="0" w:type="auto"/>
            <w:vAlign w:val="center"/>
            <w:hideMark/>
          </w:tcPr>
          <w:p w14:paraId="337B172E"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 xml:space="preserve">High capability relative to size, efficient </w:t>
            </w:r>
            <w:r w:rsidRPr="00E801C6">
              <w:rPr>
                <w:rFonts w:ascii="Times New Roman" w:eastAsia="Times New Roman" w:hAnsi="Times New Roman" w:cs="Times New Roman"/>
                <w:szCs w:val="20"/>
              </w:rPr>
              <w:lastRenderedPageBreak/>
              <w:t>inference, edge-oriented design</w:t>
            </w:r>
          </w:p>
        </w:tc>
        <w:tc>
          <w:tcPr>
            <w:tcW w:w="0" w:type="auto"/>
            <w:vAlign w:val="center"/>
            <w:hideMark/>
          </w:tcPr>
          <w:p w14:paraId="1435089F"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lastRenderedPageBreak/>
              <w:t xml:space="preserve">Local AI applications, embedded systems, </w:t>
            </w:r>
            <w:r w:rsidRPr="00E801C6">
              <w:rPr>
                <w:rFonts w:ascii="Times New Roman" w:eastAsia="Times New Roman" w:hAnsi="Times New Roman" w:cs="Times New Roman"/>
                <w:szCs w:val="20"/>
              </w:rPr>
              <w:lastRenderedPageBreak/>
              <w:t>resource-constrained enterprise deployments</w:t>
            </w:r>
          </w:p>
        </w:tc>
      </w:tr>
      <w:tr w:rsidR="00E801C6" w:rsidRPr="00E801C6" w14:paraId="199CDA9A" w14:textId="77777777" w:rsidTr="00E801C6">
        <w:trPr>
          <w:tblCellSpacing w:w="15" w:type="dxa"/>
        </w:trPr>
        <w:tc>
          <w:tcPr>
            <w:tcW w:w="0" w:type="auto"/>
            <w:vAlign w:val="center"/>
            <w:hideMark/>
          </w:tcPr>
          <w:p w14:paraId="5E6C3A4A"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lastRenderedPageBreak/>
              <w:t>Granite</w:t>
            </w:r>
          </w:p>
        </w:tc>
        <w:tc>
          <w:tcPr>
            <w:tcW w:w="0" w:type="auto"/>
            <w:vAlign w:val="center"/>
            <w:hideMark/>
          </w:tcPr>
          <w:p w14:paraId="79051587"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IBM</w:t>
            </w:r>
          </w:p>
        </w:tc>
        <w:tc>
          <w:tcPr>
            <w:tcW w:w="0" w:type="auto"/>
            <w:vAlign w:val="center"/>
            <w:hideMark/>
          </w:tcPr>
          <w:p w14:paraId="5317C46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transformer</w:t>
            </w:r>
          </w:p>
        </w:tc>
        <w:tc>
          <w:tcPr>
            <w:tcW w:w="0" w:type="auto"/>
            <w:vAlign w:val="center"/>
            <w:hideMark/>
          </w:tcPr>
          <w:p w14:paraId="51D717C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Small to medium</w:t>
            </w:r>
          </w:p>
        </w:tc>
        <w:tc>
          <w:tcPr>
            <w:tcW w:w="0" w:type="auto"/>
            <w:vAlign w:val="center"/>
            <w:hideMark/>
          </w:tcPr>
          <w:p w14:paraId="43B753F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w:t>
            </w:r>
          </w:p>
        </w:tc>
        <w:tc>
          <w:tcPr>
            <w:tcW w:w="0" w:type="auto"/>
            <w:vAlign w:val="center"/>
            <w:hideMark/>
          </w:tcPr>
          <w:p w14:paraId="6B1D8A3D"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Enterprise orientation, governance considerations, business-focused use cases</w:t>
            </w:r>
          </w:p>
        </w:tc>
        <w:tc>
          <w:tcPr>
            <w:tcW w:w="0" w:type="auto"/>
            <w:vAlign w:val="center"/>
            <w:hideMark/>
          </w:tcPr>
          <w:p w14:paraId="674D3FFE"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Internal enterprise assistants, document processing, regulated industries</w:t>
            </w:r>
          </w:p>
        </w:tc>
      </w:tr>
      <w:tr w:rsidR="00E801C6" w:rsidRPr="00E801C6" w14:paraId="4A1ECF45" w14:textId="77777777" w:rsidTr="00E801C6">
        <w:trPr>
          <w:tblCellSpacing w:w="15" w:type="dxa"/>
        </w:trPr>
        <w:tc>
          <w:tcPr>
            <w:tcW w:w="0" w:type="auto"/>
            <w:vAlign w:val="center"/>
            <w:hideMark/>
          </w:tcPr>
          <w:p w14:paraId="317B0BEE"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OLMo</w:t>
            </w:r>
          </w:p>
        </w:tc>
        <w:tc>
          <w:tcPr>
            <w:tcW w:w="0" w:type="auto"/>
            <w:vAlign w:val="center"/>
            <w:hideMark/>
          </w:tcPr>
          <w:p w14:paraId="588575F6"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Allen Institute for AI</w:t>
            </w:r>
          </w:p>
        </w:tc>
        <w:tc>
          <w:tcPr>
            <w:tcW w:w="0" w:type="auto"/>
            <w:vAlign w:val="center"/>
            <w:hideMark/>
          </w:tcPr>
          <w:p w14:paraId="130B49A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transformer</w:t>
            </w:r>
          </w:p>
        </w:tc>
        <w:tc>
          <w:tcPr>
            <w:tcW w:w="0" w:type="auto"/>
            <w:vAlign w:val="center"/>
            <w:hideMark/>
          </w:tcPr>
          <w:p w14:paraId="3315DCC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large</w:t>
            </w:r>
          </w:p>
        </w:tc>
        <w:tc>
          <w:tcPr>
            <w:tcW w:w="0" w:type="auto"/>
            <w:vAlign w:val="center"/>
            <w:hideMark/>
          </w:tcPr>
          <w:p w14:paraId="68C4300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w:t>
            </w:r>
          </w:p>
        </w:tc>
        <w:tc>
          <w:tcPr>
            <w:tcW w:w="0" w:type="auto"/>
            <w:vAlign w:val="center"/>
            <w:hideMark/>
          </w:tcPr>
          <w:p w14:paraId="4972BBE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Transparency in training methodology, research reproducibility</w:t>
            </w:r>
          </w:p>
        </w:tc>
        <w:tc>
          <w:tcPr>
            <w:tcW w:w="0" w:type="auto"/>
            <w:vAlign w:val="center"/>
            <w:hideMark/>
          </w:tcPr>
          <w:p w14:paraId="519E89F1"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Academic research, reproducible experimentation, architecture analysis</w:t>
            </w:r>
          </w:p>
        </w:tc>
      </w:tr>
      <w:tr w:rsidR="00E801C6" w:rsidRPr="00E801C6" w14:paraId="2FC3C285" w14:textId="77777777" w:rsidTr="00E801C6">
        <w:trPr>
          <w:tblCellSpacing w:w="15" w:type="dxa"/>
        </w:trPr>
        <w:tc>
          <w:tcPr>
            <w:tcW w:w="0" w:type="auto"/>
            <w:vAlign w:val="center"/>
            <w:hideMark/>
          </w:tcPr>
          <w:p w14:paraId="1B02796A"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GLM</w:t>
            </w:r>
          </w:p>
        </w:tc>
        <w:tc>
          <w:tcPr>
            <w:tcW w:w="0" w:type="auto"/>
            <w:vAlign w:val="center"/>
            <w:hideMark/>
          </w:tcPr>
          <w:p w14:paraId="48F887D6"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Zhipu AI</w:t>
            </w:r>
          </w:p>
        </w:tc>
        <w:tc>
          <w:tcPr>
            <w:tcW w:w="0" w:type="auto"/>
            <w:vAlign w:val="center"/>
            <w:hideMark/>
          </w:tcPr>
          <w:p w14:paraId="017FFCA8"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transformer</w:t>
            </w:r>
          </w:p>
        </w:tc>
        <w:tc>
          <w:tcPr>
            <w:tcW w:w="0" w:type="auto"/>
            <w:vAlign w:val="center"/>
            <w:hideMark/>
          </w:tcPr>
          <w:p w14:paraId="260C5954"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large</w:t>
            </w:r>
          </w:p>
        </w:tc>
        <w:tc>
          <w:tcPr>
            <w:tcW w:w="0" w:type="auto"/>
            <w:vAlign w:val="center"/>
            <w:hideMark/>
          </w:tcPr>
          <w:p w14:paraId="42CBAA0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Long</w:t>
            </w:r>
          </w:p>
        </w:tc>
        <w:tc>
          <w:tcPr>
            <w:tcW w:w="0" w:type="auto"/>
            <w:vAlign w:val="center"/>
            <w:hideMark/>
          </w:tcPr>
          <w:p w14:paraId="1A45E070"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Strong bilingual capabilities and broad application support</w:t>
            </w:r>
          </w:p>
        </w:tc>
        <w:tc>
          <w:tcPr>
            <w:tcW w:w="0" w:type="auto"/>
            <w:vAlign w:val="center"/>
            <w:hideMark/>
          </w:tcPr>
          <w:p w14:paraId="05BFF26C"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Chinese-language enterprise applications, multilingual services</w:t>
            </w:r>
          </w:p>
        </w:tc>
      </w:tr>
      <w:tr w:rsidR="00E801C6" w:rsidRPr="00E801C6" w14:paraId="70D3FE61" w14:textId="77777777" w:rsidTr="00E801C6">
        <w:trPr>
          <w:tblCellSpacing w:w="15" w:type="dxa"/>
        </w:trPr>
        <w:tc>
          <w:tcPr>
            <w:tcW w:w="0" w:type="auto"/>
            <w:vAlign w:val="center"/>
            <w:hideMark/>
          </w:tcPr>
          <w:p w14:paraId="040A4562"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Aya</w:t>
            </w:r>
          </w:p>
        </w:tc>
        <w:tc>
          <w:tcPr>
            <w:tcW w:w="0" w:type="auto"/>
            <w:vAlign w:val="center"/>
            <w:hideMark/>
          </w:tcPr>
          <w:p w14:paraId="191464A5"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Cohere</w:t>
            </w:r>
          </w:p>
        </w:tc>
        <w:tc>
          <w:tcPr>
            <w:tcW w:w="0" w:type="auto"/>
            <w:vAlign w:val="center"/>
            <w:hideMark/>
          </w:tcPr>
          <w:p w14:paraId="3E65CF94"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multilingual transformer</w:t>
            </w:r>
          </w:p>
        </w:tc>
        <w:tc>
          <w:tcPr>
            <w:tcW w:w="0" w:type="auto"/>
            <w:vAlign w:val="center"/>
            <w:hideMark/>
          </w:tcPr>
          <w:p w14:paraId="62D93F19"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w:t>
            </w:r>
          </w:p>
        </w:tc>
        <w:tc>
          <w:tcPr>
            <w:tcW w:w="0" w:type="auto"/>
            <w:vAlign w:val="center"/>
            <w:hideMark/>
          </w:tcPr>
          <w:p w14:paraId="43569639"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w:t>
            </w:r>
          </w:p>
        </w:tc>
        <w:tc>
          <w:tcPr>
            <w:tcW w:w="0" w:type="auto"/>
            <w:vAlign w:val="center"/>
            <w:hideMark/>
          </w:tcPr>
          <w:p w14:paraId="6BCDD103"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Multilingual communication across many languages</w:t>
            </w:r>
          </w:p>
        </w:tc>
        <w:tc>
          <w:tcPr>
            <w:tcW w:w="0" w:type="auto"/>
            <w:vAlign w:val="center"/>
            <w:hideMark/>
          </w:tcPr>
          <w:p w14:paraId="51D844C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International customer support, translation, multilingual enterprise assistants</w:t>
            </w:r>
          </w:p>
        </w:tc>
      </w:tr>
      <w:tr w:rsidR="00E801C6" w:rsidRPr="00E801C6" w14:paraId="3A7A3F48" w14:textId="77777777" w:rsidTr="00E801C6">
        <w:trPr>
          <w:tblCellSpacing w:w="15" w:type="dxa"/>
        </w:trPr>
        <w:tc>
          <w:tcPr>
            <w:tcW w:w="0" w:type="auto"/>
            <w:vAlign w:val="center"/>
            <w:hideMark/>
          </w:tcPr>
          <w:p w14:paraId="0FD2B8E4"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b/>
                <w:bCs/>
                <w:szCs w:val="20"/>
              </w:rPr>
              <w:t>Falcon</w:t>
            </w:r>
          </w:p>
        </w:tc>
        <w:tc>
          <w:tcPr>
            <w:tcW w:w="0" w:type="auto"/>
            <w:vAlign w:val="center"/>
            <w:hideMark/>
          </w:tcPr>
          <w:p w14:paraId="220BBACD"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Technology Innovation Institute</w:t>
            </w:r>
          </w:p>
        </w:tc>
        <w:tc>
          <w:tcPr>
            <w:tcW w:w="0" w:type="auto"/>
            <w:vAlign w:val="center"/>
            <w:hideMark/>
          </w:tcPr>
          <w:p w14:paraId="370A1840"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Dense transformer</w:t>
            </w:r>
          </w:p>
        </w:tc>
        <w:tc>
          <w:tcPr>
            <w:tcW w:w="0" w:type="auto"/>
            <w:vAlign w:val="center"/>
            <w:hideMark/>
          </w:tcPr>
          <w:p w14:paraId="1951178F"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 to large</w:t>
            </w:r>
          </w:p>
        </w:tc>
        <w:tc>
          <w:tcPr>
            <w:tcW w:w="0" w:type="auto"/>
            <w:vAlign w:val="center"/>
            <w:hideMark/>
          </w:tcPr>
          <w:p w14:paraId="5701874A"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Medium</w:t>
            </w:r>
          </w:p>
        </w:tc>
        <w:tc>
          <w:tcPr>
            <w:tcW w:w="0" w:type="auto"/>
            <w:vAlign w:val="center"/>
            <w:hideMark/>
          </w:tcPr>
          <w:p w14:paraId="70B00084"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Early high-performance open-weight models with strong research influence</w:t>
            </w:r>
          </w:p>
        </w:tc>
        <w:tc>
          <w:tcPr>
            <w:tcW w:w="0" w:type="auto"/>
            <w:vAlign w:val="center"/>
            <w:hideMark/>
          </w:tcPr>
          <w:p w14:paraId="2B10B19B" w14:textId="77777777" w:rsidR="00E801C6" w:rsidRPr="00E801C6" w:rsidRDefault="00E801C6" w:rsidP="00E801C6">
            <w:pPr>
              <w:rPr>
                <w:rFonts w:ascii="Times New Roman" w:eastAsia="Times New Roman" w:hAnsi="Times New Roman" w:cs="Times New Roman"/>
                <w:szCs w:val="20"/>
              </w:rPr>
            </w:pPr>
            <w:r w:rsidRPr="00E801C6">
              <w:rPr>
                <w:rFonts w:ascii="Times New Roman" w:eastAsia="Times New Roman" w:hAnsi="Times New Roman" w:cs="Times New Roman"/>
                <w:szCs w:val="20"/>
              </w:rPr>
              <w:t>General-purpose inference, experimentation, historical reference deployments</w:t>
            </w:r>
          </w:p>
        </w:tc>
      </w:tr>
    </w:tbl>
    <w:p w14:paraId="2EAA2387" w14:textId="77777777" w:rsidR="00E801C6" w:rsidRPr="00E801C6" w:rsidRDefault="00E801C6" w:rsidP="00E801C6">
      <w:pPr>
        <w:rPr>
          <w:rFonts w:ascii="Times New Roman" w:eastAsia="Times New Roman" w:hAnsi="Times New Roman" w:cs="Times New Roman"/>
          <w:sz w:val="28"/>
          <w:szCs w:val="24"/>
        </w:rPr>
      </w:pPr>
    </w:p>
    <w:p w14:paraId="5021BC72" w14:textId="77777777" w:rsidR="00E801C6" w:rsidRPr="00A25B6A" w:rsidRDefault="00E801C6" w:rsidP="00E801C6">
      <w:pPr>
        <w:rPr>
          <w:rFonts w:ascii="Times New Roman" w:eastAsia="Times New Roman" w:hAnsi="Times New Roman" w:cs="Times New Roman"/>
          <w:sz w:val="24"/>
        </w:rPr>
      </w:pPr>
      <w:r w:rsidRPr="00A25B6A">
        <w:rPr>
          <w:rFonts w:ascii="Times New Roman" w:eastAsia="Times New Roman" w:hAnsi="Times New Roman" w:cs="Times New Roman"/>
          <w:sz w:val="24"/>
        </w:rPr>
        <w:t>*Model families evolve continuously. Parameter counts, context lengths, and architectural characteristics may change significantly between releases. Engineers should consult the latest official model cards and documentation when evaluating specific versions.</w:t>
      </w:r>
    </w:p>
    <w:p w14:paraId="3947496A" w14:textId="77777777" w:rsidR="00E801C6" w:rsidRPr="00E801C6" w:rsidRDefault="00E801C6" w:rsidP="00E801C6">
      <w:pPr>
        <w:rPr>
          <w:rFonts w:ascii="Times New Roman" w:eastAsia="Times New Roman" w:hAnsi="Times New Roman" w:cs="Times New Roman"/>
          <w:sz w:val="28"/>
          <w:szCs w:val="24"/>
        </w:rPr>
      </w:pPr>
    </w:p>
    <w:p w14:paraId="49FC3D3E" w14:textId="18AB99F7" w:rsidR="00E801C6" w:rsidRPr="00E801C6"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 xml:space="preserve">Rather than competing along a single performance dimension, these model families represent different engineering philosophies. Some prioritize absolute benchmark </w:t>
      </w:r>
      <w:r w:rsidRPr="00E801C6">
        <w:rPr>
          <w:rFonts w:ascii="Times New Roman" w:eastAsia="Times New Roman" w:hAnsi="Times New Roman" w:cs="Times New Roman"/>
          <w:sz w:val="28"/>
          <w:szCs w:val="24"/>
        </w:rPr>
        <w:lastRenderedPageBreak/>
        <w:t>performance, others optimize deployment efficiency, while still others emphasize transparency, multilingual capability, licensing flexibility, or enterprise governance. Effective model selection therefore requires aligning model characteristics with organizational objectives rather than simply choosing the model that occupies the highest position on a public leaderboard.</w:t>
      </w:r>
    </w:p>
    <w:p w14:paraId="41D0E21A" w14:textId="5A615B55" w:rsidR="00FB1517" w:rsidRDefault="00E801C6" w:rsidP="00E801C6">
      <w:pPr>
        <w:rPr>
          <w:rFonts w:ascii="Times New Roman" w:eastAsia="Times New Roman" w:hAnsi="Times New Roman" w:cs="Times New Roman"/>
          <w:sz w:val="28"/>
          <w:szCs w:val="24"/>
        </w:rPr>
      </w:pPr>
      <w:r w:rsidRPr="00E801C6">
        <w:rPr>
          <w:rFonts w:ascii="Times New Roman" w:eastAsia="Times New Roman" w:hAnsi="Times New Roman" w:cs="Times New Roman"/>
          <w:sz w:val="28"/>
          <w:szCs w:val="24"/>
        </w:rPr>
        <w:t>As the ecosystem continues to evolve, successful AI platforms increasingly rely on standardized evaluation processes that allow multiple model families to be assessed consistently against production requirements. The following sections examine the architectural, licensing, and operational characteristics that enable such evaluations and form the foundation of evidence-based model selection.</w:t>
      </w:r>
    </w:p>
    <w:p w14:paraId="01AF1C45" w14:textId="77777777" w:rsidR="00EC18F3" w:rsidRPr="00EC18F3" w:rsidRDefault="00EC18F3" w:rsidP="00EC18F3">
      <w:pPr>
        <w:spacing w:before="100" w:beforeAutospacing="1" w:after="100" w:afterAutospacing="1" w:line="240" w:lineRule="auto"/>
        <w:outlineLvl w:val="1"/>
        <w:rPr>
          <w:rFonts w:ascii="Times New Roman" w:eastAsia="Times New Roman" w:hAnsi="Times New Roman" w:cs="Times New Roman"/>
          <w:b/>
          <w:bCs/>
          <w:sz w:val="36"/>
          <w:szCs w:val="36"/>
        </w:rPr>
      </w:pPr>
      <w:r w:rsidRPr="00EC18F3">
        <w:rPr>
          <w:rFonts w:ascii="Times New Roman" w:eastAsia="Times New Roman" w:hAnsi="Times New Roman" w:cs="Times New Roman"/>
          <w:b/>
          <w:bCs/>
          <w:sz w:val="36"/>
          <w:szCs w:val="36"/>
        </w:rPr>
        <w:t>4.2 Model Architecture Characteristics</w:t>
      </w:r>
    </w:p>
    <w:p w14:paraId="35DC3C8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Selecting an open-weight model begins with understanding its architectural characteristics. Although benchmark rankings often dominate public discussion, architecture ultimately determines many of the operational properties that matter in production: inference latency, memory consumption, scalability, hardware utilization, deployment complexity, and long-term maintainability. Two models with similar benchmark scores may exhibit significantly different operational behavior because they are built upon different architectural assumptions.</w:t>
      </w:r>
    </w:p>
    <w:p w14:paraId="5D0B39D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From an AI platform engineering perspective, architecture should be viewed as an infrastructure concern rather than solely a machine learning concern. Architectural choices influence GPU memory requirements, batching efficiency, context handling, quantization compatibility, and serving strategies. They also affect how easily models integrate with inference engines, orchestration frameworks, and deployment platforms discussed in later chapters.</w:t>
      </w:r>
    </w:p>
    <w:p w14:paraId="12B62D4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It is important to distinguish between architectural innovation and implementation optimization. Model architecture defines the computational structure of the neural network, while inference engines determine how efficiently that structure is executed on available hardware. This chapter focuses on architectural characteristics that influence model selection. Detailed execution mechanisms—including continuous batching, scheduler design, paged attention, KV cache management, tensor parallelism, pipeline parallelism, and speculative decoding—are examined in Chapter 5.</w:t>
      </w:r>
    </w:p>
    <w:p w14:paraId="71F36CD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dozens of architectural variants have been proposed in recent years, most production-ready open-weight language models fall into four broad categories relevant to platform engineers:</w:t>
      </w:r>
    </w:p>
    <w:p w14:paraId="22A30D22" w14:textId="77777777" w:rsidR="00EC18F3" w:rsidRPr="00EC18F3" w:rsidRDefault="00EC18F3" w:rsidP="0049140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Decoder-only autoregressive transformers </w:t>
      </w:r>
    </w:p>
    <w:p w14:paraId="643B9E9A" w14:textId="77777777" w:rsidR="00EC18F3" w:rsidRPr="00EC18F3" w:rsidRDefault="00EC18F3" w:rsidP="0049140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Mixture-of-Experts (MoE) models </w:t>
      </w:r>
    </w:p>
    <w:p w14:paraId="5E405E33" w14:textId="77777777" w:rsidR="00EC18F3" w:rsidRPr="00EC18F3" w:rsidRDefault="00EC18F3" w:rsidP="0049140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Multimodal foundation models </w:t>
      </w:r>
    </w:p>
    <w:p w14:paraId="666AA5B7" w14:textId="77777777" w:rsidR="00EC18F3" w:rsidRPr="00EC18F3" w:rsidRDefault="00EC18F3" w:rsidP="0049140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 xml:space="preserve">Long-context optimized architectures </w:t>
      </w:r>
    </w:p>
    <w:p w14:paraId="2464397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categories are not mutually exclusive. A modern model may simultaneously be decoder-only, multimodal, long-context capable, and employ a Mixture-of-Experts architecture. Understanding the engineering implications of each characteristic enables more informed deployment decisions.</w:t>
      </w:r>
    </w:p>
    <w:p w14:paraId="33FE72B6"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8"/>
          <w:szCs w:val="28"/>
        </w:rPr>
        <w:pict w14:anchorId="6C12CBE8">
          <v:rect id="_x0000_i1197" style="width:0;height:1.5pt" o:hralign="center" o:hrstd="t" o:hr="t" fillcolor="#a0a0a0" stroked="f"/>
        </w:pict>
      </w:r>
    </w:p>
    <w:p w14:paraId="43838516" w14:textId="77777777" w:rsidR="00EC18F3" w:rsidRPr="00EC18F3" w:rsidRDefault="00EC18F3" w:rsidP="00EC18F3">
      <w:pPr>
        <w:pStyle w:val="1"/>
        <w:rPr>
          <w:sz w:val="52"/>
          <w:szCs w:val="52"/>
        </w:rPr>
      </w:pPr>
      <w:r w:rsidRPr="00EC18F3">
        <w:rPr>
          <w:sz w:val="52"/>
          <w:szCs w:val="52"/>
        </w:rPr>
        <w:t>4.2.1 Decoder-Only Models</w:t>
      </w:r>
    </w:p>
    <w:p w14:paraId="2795761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Decoder-only transformers have become the dominant architecture for modern generative language models. Nearly every major open-weight family—including Llama, Qwen, Mistral, Gemma, Granite, Phi, Falcon, and many others—belongs primarily to this architectural category.</w:t>
      </w:r>
    </w:p>
    <w:p w14:paraId="2BDFDC5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Unlike encoder-decoder architectures originally popularized by sequence-to-sequence translation systems, decoder-only models are trained to predict the next token in a sequence. During inference, each generated token becomes part of the input for generating the next one, creating an autoregressive generation process.</w:t>
      </w:r>
    </w:p>
    <w:p w14:paraId="4614F83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From the user's perspective, this process appears as continuous text generation. Internally, however, the model repeatedly performs forward passes over the growing context while maintaining intermediate state that accelerates subsequent predictions. Although the mathematical details are beyond the scope of this chapter, this autoregressive behavior fundamentally shapes nearly every aspect of production inference.</w:t>
      </w:r>
    </w:p>
    <w:p w14:paraId="2D82D3BC" w14:textId="77777777" w:rsidR="00EC18F3" w:rsidRPr="00EC18F3" w:rsidRDefault="00EC18F3" w:rsidP="00EA6155">
      <w:pPr>
        <w:pStyle w:val="2"/>
      </w:pPr>
      <w:r w:rsidRPr="00EC18F3">
        <w:t>Why Decoder-Only Models Became Dominant</w:t>
      </w:r>
    </w:p>
    <w:p w14:paraId="0F019BE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Several factors contributed to the widespread adoption of decoder-only architectures.</w:t>
      </w:r>
    </w:p>
    <w:p w14:paraId="4BC6C72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First, autoregressive training scales remarkably well with increasing model size and training data. Empirical scaling studies demonstrated that decoder-only transformers continue improving across many language tasks as compute resources increase, making them attractive for foundation model development.</w:t>
      </w:r>
    </w:p>
    <w:p w14:paraId="23D2318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Second, the architecture naturally supports conversational interaction. Since generation proceeds token by token, users receive incremental output rather than waiting for complete responses. Streaming responses have become a defining characteristic of modern AI applications because they reduce perceived latency and improve user experience.</w:t>
      </w:r>
    </w:p>
    <w:p w14:paraId="51C1E6A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Third, decoder-only models adapt effectively to instruction tuning. Once pretrained on large corpora, they can be further optimized to follow natural language instructions, produce structured outputs, call external tools, or perform specialized reasoning tasks without modifying the underlying architecture.</w:t>
      </w:r>
    </w:p>
    <w:p w14:paraId="16BA3E6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Finally, the software ecosystem has converged around decoder-only assumptions. Modern inference engines, tokenizer libraries, quantization frameworks, and serving platforms primarily target autoregressive transformer workloads, resulting in extensive optimization across the entire deployment stack.</w:t>
      </w:r>
    </w:p>
    <w:p w14:paraId="01F8D5EE" w14:textId="77777777" w:rsidR="00EC18F3" w:rsidRPr="00EC18F3" w:rsidRDefault="00EC18F3" w:rsidP="00EA6155">
      <w:pPr>
        <w:pStyle w:val="2"/>
      </w:pPr>
      <w:r w:rsidRPr="00EC18F3">
        <w:t>Operational Characteristics</w:t>
      </w:r>
    </w:p>
    <w:p w14:paraId="4233BD2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From an infrastructure perspective, decoder-only models exhibit several important properties.</w:t>
      </w:r>
    </w:p>
    <w:p w14:paraId="55EBD1F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Inference latency generally increases with output length because tokens are generated sequentially. Unlike many traditional machine learning workloads, complete responses cannot usually be computed in parallel. Although modern inference engines employ sophisticated optimization techniques to maximize GPU utilization, the sequential nature of autoregressive generation remains an inherent architectural constraint.</w:t>
      </w:r>
    </w:p>
    <w:p w14:paraId="52E2D0F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Memory consumption grows with context length. Longer conversations require additional intermediate representations that must remain available throughout generation. Consequently, context length directly influences infrastructure sizing and hardware planning.</w:t>
      </w:r>
    </w:p>
    <w:p w14:paraId="627669B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Decoder-only models also benefit substantially from batching. Multiple user requests can often be processed simultaneously, improving accelerator utilization and overall throughput. However, effective batching depends heavily on serving infrastructure and scheduling algorithms rather than on the model architecture itself.</w:t>
      </w:r>
    </w:p>
    <w:p w14:paraId="73C28C3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operational considerations illustrate why model architecture cannot be evaluated independently from deployment infrastructure. A model that performs exceptionally well in offline benchmarks may still require sophisticated serving techniques to achieve acceptable production latency.</w:t>
      </w:r>
    </w:p>
    <w:p w14:paraId="0989E1B1" w14:textId="77777777" w:rsidR="00EC18F3" w:rsidRPr="00EC18F3" w:rsidRDefault="00EC18F3" w:rsidP="00EA6155">
      <w:pPr>
        <w:pStyle w:val="2"/>
      </w:pPr>
      <w:r w:rsidRPr="00EC18F3">
        <w:t>Limitations</w:t>
      </w:r>
    </w:p>
    <w:p w14:paraId="09A3F05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Despite their success, decoder-only models possess several limitations relevant to platform engineers.</w:t>
      </w:r>
    </w:p>
    <w:p w14:paraId="7147CD1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Autoregressive generation inherently favors sequential computation, limiting opportunities for full parallel execution during inference.</w:t>
      </w:r>
    </w:p>
    <w:p w14:paraId="6A93A78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Long outputs consume additional computational resources because every generated token requires another inference step.</w:t>
      </w:r>
    </w:p>
    <w:p w14:paraId="3D8E942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Large context windows increase memory requirements significantly, particularly during extended conversations.</w:t>
      </w:r>
    </w:p>
    <w:p w14:paraId="21D55E4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Finally, decoder-only architectures remain susceptible to hallucination, prompt sensitivity, and context degradation. These behaviors should not be interpreted as architectural flaws unique to decoder-only models but rather as characteristics shared by contemporary large language models more broadly.</w:t>
      </w:r>
    </w:p>
    <w:p w14:paraId="118F7F2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most enterprise applications, these limitations are mitigated through retrieval augmentation, prompt engineering, tool integration, and application-level safeguards rather than through architectural modifications alone.</w:t>
      </w:r>
    </w:p>
    <w:p w14:paraId="490E9499"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28257147">
          <v:rect id="_x0000_i1198" style="width:0;height:1.5pt" o:hralign="center" o:hrstd="t" o:hr="t" fillcolor="#a0a0a0" stroked="f"/>
        </w:pict>
      </w:r>
    </w:p>
    <w:p w14:paraId="4F6794B6" w14:textId="77777777" w:rsidR="00EC18F3" w:rsidRPr="00EC18F3" w:rsidRDefault="00EC18F3" w:rsidP="00EC18F3">
      <w:pPr>
        <w:pStyle w:val="1"/>
      </w:pPr>
      <w:r w:rsidRPr="00EC18F3">
        <w:t>4.2.2 Mixture-of-Experts Models</w:t>
      </w:r>
    </w:p>
    <w:p w14:paraId="53C0EFD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One of the most significant architectural developments in modern foundation models is the resurgence of the Mixture-of-Experts (MoE) architecture. While the underlying concept has existed in machine learning research for decades, recent advances have made MoE practical for production-scale language models.</w:t>
      </w:r>
    </w:p>
    <w:p w14:paraId="2BBF0B1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Traditional dense transformers activate every parameter during every forward pass. A model containing seventy billion parameters performs computations involving essentially all of those parameters regardless of whether the prompt is a simple greeting or a complex programming task.</w:t>
      </w:r>
    </w:p>
    <w:p w14:paraId="5B1A2DD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Mixture-of-Experts architectures introduce conditional computation. Instead of activating the entire network, a routing mechanism selects only a subset of specialized components—known as experts—to process each token. As a result, the model may contain hundreds of billions of parameters while only a fraction participate in any individual inference step.</w:t>
      </w:r>
    </w:p>
    <w:p w14:paraId="165DE7A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This distinction is important because total parameter count no longer corresponds directly to computational cost.</w:t>
      </w:r>
    </w:p>
    <w:p w14:paraId="2B8BC064" w14:textId="77777777" w:rsidR="00EC18F3" w:rsidRPr="00EC18F3" w:rsidRDefault="00EC18F3" w:rsidP="00EA6155">
      <w:pPr>
        <w:pStyle w:val="2"/>
      </w:pPr>
      <w:r w:rsidRPr="00EC18F3">
        <w:t>Engineering Motivation</w:t>
      </w:r>
    </w:p>
    <w:p w14:paraId="2B6078F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motivation behind MoE architectures is straightforward: increase model capacity without proportionally increasing inference cost.</w:t>
      </w:r>
    </w:p>
    <w:p w14:paraId="2F0CB3B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Dense models improve by becoming larger, but larger dense models require more memory, more computation, and longer inference times. Eventually, these requirements become economically impractical.</w:t>
      </w:r>
    </w:p>
    <w:p w14:paraId="1557E24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MoE models pursue a different strategy. They increase the number of available parameters while keeping the number of active parameters relatively constant during inference. This allows models to specialize internally without requiring every parameter to contribute to every prediction.</w:t>
      </w:r>
    </w:p>
    <w:p w14:paraId="6790935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Conceptually, one can think of a MoE model as a team of specialists rather than a single generalist. For each token, the routing network decides which specialists are most appropriate, while the remaining experts remain inactive for that computation.</w:t>
      </w:r>
    </w:p>
    <w:p w14:paraId="30721AE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simplified, this analogy captures the central engineering objective: conditional computation improves efficiency by avoiding unnecessary work.</w:t>
      </w:r>
    </w:p>
    <w:p w14:paraId="247EA14E" w14:textId="77777777" w:rsidR="00EC18F3" w:rsidRPr="00EC18F3" w:rsidRDefault="00EC18F3" w:rsidP="00EA6155">
      <w:pPr>
        <w:pStyle w:val="2"/>
      </w:pPr>
      <w:r w:rsidRPr="00EC18F3">
        <w:t>Operational Implications</w:t>
      </w:r>
    </w:p>
    <w:p w14:paraId="28FEE63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AI platform engineers, MoE models introduce both opportunities and additional operational complexity.</w:t>
      </w:r>
    </w:p>
    <w:p w14:paraId="55D253E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primary advantage is improved capability relative to active computational cost. Properly designed MoE models often achieve performance comparable to substantially larger dense models while activating only a fraction of their parameters.</w:t>
      </w:r>
    </w:p>
    <w:p w14:paraId="00EA685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However, conditional computation introduces new infrastructure considerations.</w:t>
      </w:r>
    </w:p>
    <w:p w14:paraId="3BB0AE4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Inference workloads become less uniform because different tokens may activate different experts.</w:t>
      </w:r>
    </w:p>
    <w:p w14:paraId="041A1B1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Load balancing becomes more important since some experts may receive substantially more traffic than others.</w:t>
      </w:r>
    </w:p>
    <w:p w14:paraId="788DB24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Memory placement strategies become more complex because expert weights must remain accessible while minimizing communication overhead.</w:t>
      </w:r>
    </w:p>
    <w:p w14:paraId="6EFDD3E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Serving systems must also coordinate expert execution efficiently across available hardware.</w:t>
      </w:r>
    </w:p>
    <w:p w14:paraId="1AB6BA5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challenges primarily concern inference engine implementation rather than model selection itself. Consequently, detailed discussions of expert routing, distributed execution, communication strategies, and scheduling algorithms are deferred to Chapter 5.</w:t>
      </w:r>
    </w:p>
    <w:p w14:paraId="6F17F784" w14:textId="77777777" w:rsidR="00EC18F3" w:rsidRPr="00EC18F3" w:rsidRDefault="00EC18F3" w:rsidP="00EA6155">
      <w:pPr>
        <w:pStyle w:val="2"/>
      </w:pPr>
      <w:r w:rsidRPr="00EC18F3">
        <w:t>Deployment Considerations</w:t>
      </w:r>
    </w:p>
    <w:p w14:paraId="057F879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From a deployment perspective, organizations should recognize that MoE models often exhibit different hardware utilization characteristics than dense models.</w:t>
      </w:r>
    </w:p>
    <w:p w14:paraId="0880FFB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Peak memory consumption may remain high because all experts must generally reside in memory even if only some are active during inference.</w:t>
      </w:r>
    </w:p>
    <w:p w14:paraId="57DF369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Inter-device communication may become increasingly important when experts are distributed across multiple accelerators.</w:t>
      </w:r>
    </w:p>
    <w:p w14:paraId="293D5B2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Latency characteristics can vary depending on routing behavior and serving implementation.</w:t>
      </w:r>
    </w:p>
    <w:p w14:paraId="31DDBD8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factors make benchmarking particularly important. Published benchmark scores should always be interpreted alongside deployment characteristics measured within the organization's own infrastructure.</w:t>
      </w:r>
    </w:p>
    <w:p w14:paraId="22BCDB42" w14:textId="77777777" w:rsidR="00EC18F3" w:rsidRPr="00EC18F3" w:rsidRDefault="00EC18F3" w:rsidP="00EA6155">
      <w:pPr>
        <w:pStyle w:val="2"/>
      </w:pPr>
      <w:r w:rsidRPr="00EC18F3">
        <w:t>Limitations</w:t>
      </w:r>
    </w:p>
    <w:p w14:paraId="4234261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MoE architectures should not be viewed as universally superior to dense transformers.</w:t>
      </w:r>
    </w:p>
    <w:p w14:paraId="65A5A27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They introduce greater implementation complexity.</w:t>
      </w:r>
    </w:p>
    <w:p w14:paraId="1E56508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Debugging becomes more difficult because model behavior depends partially on routing decisions.</w:t>
      </w:r>
    </w:p>
    <w:p w14:paraId="705B0AD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Distributed deployments may require additional communication between accelerators.</w:t>
      </w:r>
    </w:p>
    <w:p w14:paraId="6FBC2A8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Smaller deployment environments may derive limited benefit if infrastructure cannot efficiently support expert routing.</w:t>
      </w:r>
    </w:p>
    <w:p w14:paraId="20B9700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these reasons, model selection should evaluate the complete deployment ecosystem rather than assuming that sparse architectures automatically outperform dense alternatives.</w:t>
      </w:r>
    </w:p>
    <w:p w14:paraId="050B089F"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3F777D25">
          <v:rect id="_x0000_i1199" style="width:0;height:1.5pt" o:hralign="center" o:hrstd="t" o:hr="t" fillcolor="#a0a0a0" stroked="f"/>
        </w:pict>
      </w:r>
    </w:p>
    <w:p w14:paraId="135673F6" w14:textId="77777777" w:rsidR="00EC18F3" w:rsidRPr="00EC18F3" w:rsidRDefault="00EC18F3" w:rsidP="00EC18F3">
      <w:pPr>
        <w:pStyle w:val="1"/>
      </w:pPr>
      <w:r w:rsidRPr="00EC18F3">
        <w:t>4.2.3 Multimodal Architectures</w:t>
      </w:r>
    </w:p>
    <w:p w14:paraId="76AB60A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Early language models operated exclusively on text. Modern foundation models increasingly process multiple forms of information—including images, documents, diagrams, audio, and in some cases video—within a unified inference pipeline.</w:t>
      </w:r>
    </w:p>
    <w:p w14:paraId="27A8FBE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systems are commonly described as multimodal models because they operate across multiple data modalities rather than a single textual representation.</w:t>
      </w:r>
    </w:p>
    <w:p w14:paraId="18D3CC9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Multimodal capability has become increasingly important for enterprise AI platforms. Many real-world workflows involve documents containing both text and </w:t>
      </w:r>
      <w:r w:rsidRPr="00EC18F3">
        <w:rPr>
          <w:rFonts w:ascii="Times New Roman" w:eastAsia="Times New Roman" w:hAnsi="Times New Roman" w:cs="Times New Roman"/>
          <w:sz w:val="28"/>
          <w:szCs w:val="28"/>
        </w:rPr>
        <w:lastRenderedPageBreak/>
        <w:t>graphics, scanned PDFs, engineering diagrams, medical imagery, screenshots, or photographs. Restricting AI systems to plain text often requires separate preprocessing pipelines that increase system complexity.</w:t>
      </w:r>
    </w:p>
    <w:p w14:paraId="105BAAC0" w14:textId="77777777" w:rsidR="00EC18F3" w:rsidRPr="00EC18F3" w:rsidRDefault="00EC18F3" w:rsidP="00EA6155">
      <w:pPr>
        <w:pStyle w:val="2"/>
      </w:pPr>
      <w:r w:rsidRPr="00EC18F3">
        <w:t>Architectural Overview</w:t>
      </w:r>
    </w:p>
    <w:p w14:paraId="27B2339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Most contemporary multimodal language models extend an existing decoder-only language model rather than replacing it entirely.</w:t>
      </w:r>
    </w:p>
    <w:p w14:paraId="7A71BEE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Additional encoder components transform non-textual inputs into representations compatible with the language model's internal embedding space. These representations are then integrated into the autoregressive generation process.</w:t>
      </w:r>
    </w:p>
    <w:p w14:paraId="78B6AE9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Vision-language models provide the most common example. Image encoders convert visual information into embeddings that the language model interprets alongside textual prompts.</w:t>
      </w:r>
    </w:p>
    <w:p w14:paraId="1353BF2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Similar principles apply to audio processing, document understanding, and increasingly video analysis.</w:t>
      </w:r>
    </w:p>
    <w:p w14:paraId="0ED80F5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language model itself often remains largely unchanged. Instead, modality-specific encoders act as translation layers that convert external data into representations the language model can process.</w:t>
      </w:r>
    </w:p>
    <w:p w14:paraId="11D20302" w14:textId="77777777" w:rsidR="00EC18F3" w:rsidRPr="00EC18F3" w:rsidRDefault="00EC18F3" w:rsidP="00EA6155">
      <w:pPr>
        <w:pStyle w:val="2"/>
      </w:pPr>
      <w:r w:rsidRPr="00EC18F3">
        <w:t>Engineering Implications</w:t>
      </w:r>
    </w:p>
    <w:p w14:paraId="40CA1B4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platform engineers, multimodal capability introduces several practical considerations.</w:t>
      </w:r>
    </w:p>
    <w:p w14:paraId="2484309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Input preprocessing becomes considerably more sophisticated. Images require resizing, normalization, and encoding before inference. Audio requires feature extraction. Documents often require layout analysis and optical character recognition before meaningful processing can occur.</w:t>
      </w:r>
    </w:p>
    <w:p w14:paraId="7E487EC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preprocessing stages may represent a significant proportion of overall request latency.</w:t>
      </w:r>
    </w:p>
    <w:p w14:paraId="3E353A9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Resource utilization also changes. Image processing frequently increases GPU memory requirements and computational cost compared to equivalent text-only requests.</w:t>
      </w:r>
    </w:p>
    <w:p w14:paraId="1B149A3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Storage systems must accommodate binary assets rather than solely textual data.</w:t>
      </w:r>
    </w:p>
    <w:p w14:paraId="006D7CD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Networking requirements may increase because requests contain substantially larger payloads.</w:t>
      </w:r>
    </w:p>
    <w:p w14:paraId="035AE87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These operational considerations reinforce the importance of viewing multimodal AI as a complete processing pipeline rather than merely a larger language model.</w:t>
      </w:r>
    </w:p>
    <w:p w14:paraId="51943AED" w14:textId="77777777" w:rsidR="00EC18F3" w:rsidRPr="00EC18F3" w:rsidRDefault="00EC18F3" w:rsidP="00EA6155">
      <w:pPr>
        <w:pStyle w:val="2"/>
      </w:pPr>
      <w:r w:rsidRPr="00EC18F3">
        <w:t>Enterprise Applications</w:t>
      </w:r>
    </w:p>
    <w:p w14:paraId="3EA56F7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Multimodal models enable numerous production scenarios that text-only systems cannot address effectively.</w:t>
      </w:r>
    </w:p>
    <w:p w14:paraId="6BB13EB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Examples include:</w:t>
      </w:r>
    </w:p>
    <w:p w14:paraId="09C06F5E"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document intelligence </w:t>
      </w:r>
    </w:p>
    <w:p w14:paraId="367D1E20"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invoice processing </w:t>
      </w:r>
    </w:p>
    <w:p w14:paraId="78F97535"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engineering drawing analysis </w:t>
      </w:r>
    </w:p>
    <w:p w14:paraId="15126C51"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medical image interpretation </w:t>
      </w:r>
    </w:p>
    <w:p w14:paraId="7ED20EDA"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visual quality inspection </w:t>
      </w:r>
    </w:p>
    <w:p w14:paraId="5B90C092"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screenshot-based software support </w:t>
      </w:r>
    </w:p>
    <w:p w14:paraId="5B389926" w14:textId="77777777" w:rsidR="00EC18F3" w:rsidRPr="00EC18F3" w:rsidRDefault="00EC18F3" w:rsidP="0049140E">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image-grounded conversational assistants </w:t>
      </w:r>
    </w:p>
    <w:p w14:paraId="2558272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value of multimodal capability therefore depends heavily on business requirements rather than benchmark performance.</w:t>
      </w:r>
    </w:p>
    <w:p w14:paraId="41E3405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processing predominantly textual information may derive little benefit from multimodal models while incurring additional infrastructure complexity.</w:t>
      </w:r>
    </w:p>
    <w:p w14:paraId="4628FBEA" w14:textId="77777777" w:rsidR="00EC18F3" w:rsidRPr="00EC18F3" w:rsidRDefault="00EC18F3" w:rsidP="00EA6155">
      <w:pPr>
        <w:pStyle w:val="2"/>
      </w:pPr>
      <w:r w:rsidRPr="00EC18F3">
        <w:t>Limitations</w:t>
      </w:r>
    </w:p>
    <w:p w14:paraId="2D55087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Despite rapid progress, multimodal systems remain operationally more complex than text-only deployments.</w:t>
      </w:r>
    </w:p>
    <w:p w14:paraId="3232898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Evaluation is generally more difficult because multiple modalities interact.</w:t>
      </w:r>
    </w:p>
    <w:p w14:paraId="57D2169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Benchmark coverage remains less standardized.</w:t>
      </w:r>
    </w:p>
    <w:p w14:paraId="31BA95C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Input pipelines require additional software components.</w:t>
      </w:r>
    </w:p>
    <w:p w14:paraId="5E118A4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Security considerations expand because image and document uploads introduce new attack surfaces.</w:t>
      </w:r>
    </w:p>
    <w:p w14:paraId="61F19C9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Many production systems therefore isolate multimodal processing into dedicated services rather than assuming every AI application requires visual understanding.</w:t>
      </w:r>
    </w:p>
    <w:p w14:paraId="0D11BA9B"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6608D1CD">
          <v:rect id="_x0000_i1200" style="width:0;height:1.5pt" o:hralign="center" o:hrstd="t" o:hr="t" fillcolor="#a0a0a0" stroked="f"/>
        </w:pict>
      </w:r>
    </w:p>
    <w:p w14:paraId="7C308D0B" w14:textId="77777777" w:rsidR="00EC18F3" w:rsidRPr="00EC18F3" w:rsidRDefault="00EC18F3" w:rsidP="00EC18F3">
      <w:pPr>
        <w:pStyle w:val="1"/>
      </w:pPr>
      <w:r w:rsidRPr="00EC18F3">
        <w:t>4.2.4 Long-Context Architectures</w:t>
      </w:r>
    </w:p>
    <w:p w14:paraId="6D9FDCC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One of the most visible trends in modern foundation models is the rapid expansion of context windows. Models that originally accepted only a few thousand tokens have evolved into systems capable of processing hundreds of thousands—and in some cases millions—of tokens within a single request.</w:t>
      </w:r>
    </w:p>
    <w:p w14:paraId="28E67D6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From a user perspective, longer context windows appear straightforward: more documents can be provided simultaneously.</w:t>
      </w:r>
    </w:p>
    <w:p w14:paraId="2D66165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From an engineering perspective, however, long-context capability represents a complex architectural trade-off involving memory consumption, computational efficiency, attention mechanisms, and application design.</w:t>
      </w:r>
    </w:p>
    <w:p w14:paraId="4074B2DF" w14:textId="77777777" w:rsidR="00EC18F3" w:rsidRPr="00EC18F3" w:rsidRDefault="00EC18F3" w:rsidP="00EA6155">
      <w:pPr>
        <w:pStyle w:val="2"/>
      </w:pPr>
      <w:r w:rsidRPr="00EC18F3">
        <w:t>Motivation</w:t>
      </w:r>
    </w:p>
    <w:p w14:paraId="57FEDA9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increasingly expect AI systems to analyze complete technical documents, legal contracts, software repositories, financial reports, conversation histories, and large collections of reference material.</w:t>
      </w:r>
    </w:p>
    <w:p w14:paraId="6715D5C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Short context windows require aggressive document chunking, retrieval pipelines, and iterative summarization.</w:t>
      </w:r>
    </w:p>
    <w:p w14:paraId="4BB7598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Long-context models reduce some of these requirements by allowing substantially larger portions of relevant information to remain available during inference.</w:t>
      </w:r>
    </w:p>
    <w:p w14:paraId="53F39F1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However, larger context windows should not be interpreted as eliminating the need for retrieval systems.</w:t>
      </w:r>
    </w:p>
    <w:p w14:paraId="442BDF0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Providing every available document to the model remains computationally expensive and frequently introduces irrelevant information that degrades answer quality.</w:t>
      </w:r>
    </w:p>
    <w:p w14:paraId="62189C1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Consequently, retrieval architecture remains an essential component of production AI platforms and is discussed extensively in Chapter 12.</w:t>
      </w:r>
    </w:p>
    <w:p w14:paraId="6528D1D4" w14:textId="77777777" w:rsidR="00EC18F3" w:rsidRPr="00EC18F3" w:rsidRDefault="00EC18F3" w:rsidP="00EA6155">
      <w:pPr>
        <w:pStyle w:val="2"/>
      </w:pPr>
      <w:r w:rsidRPr="00EC18F3">
        <w:t>Architectural Evolution</w:t>
      </w:r>
    </w:p>
    <w:p w14:paraId="6A06AA0C"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Supporting longer contexts requires modifications beyond simply increasing positional limits.</w:t>
      </w:r>
    </w:p>
    <w:p w14:paraId="1CB68E1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Modern models employ increasingly sophisticated positional encoding techniques, attention optimizations, and training strategies designed to preserve quality over extended sequences.</w:t>
      </w:r>
    </w:p>
    <w:p w14:paraId="2276BCC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Different model families adopt different approaches, each involving trade-offs among computational complexity, training cost, inference efficiency, and long-context accuracy.</w:t>
      </w:r>
    </w:p>
    <w:p w14:paraId="4034509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Although these techniques vary internally, their practical objective is consistent: maintain useful reasoning performance as context length increases.</w:t>
      </w:r>
    </w:p>
    <w:p w14:paraId="3204A332" w14:textId="77777777" w:rsidR="00EC18F3" w:rsidRPr="00EC18F3" w:rsidRDefault="00EC18F3" w:rsidP="00EA6155">
      <w:pPr>
        <w:pStyle w:val="2"/>
      </w:pPr>
      <w:r w:rsidRPr="00EC18F3">
        <w:t>Operational Implications</w:t>
      </w:r>
    </w:p>
    <w:p w14:paraId="76F5960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Long-context capability directly influences infrastructure planning.</w:t>
      </w:r>
    </w:p>
    <w:p w14:paraId="468A1EE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Longer prompts consume more memory.</w:t>
      </w:r>
    </w:p>
    <w:p w14:paraId="3BCF736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Inference latency generally increases because more information must be processed before generation begins.</w:t>
      </w:r>
    </w:p>
    <w:p w14:paraId="208A41A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GPU utilization patterns change.</w:t>
      </w:r>
    </w:p>
    <w:p w14:paraId="73068A3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Batching efficiency may decrease when requests vary significantly in length.</w:t>
      </w:r>
    </w:p>
    <w:p w14:paraId="5CF0A62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serving infrastructure responsible for managing these behaviors is discussed in Chapter 5. Here it is sufficient to recognize that context length affects infrastructure requirements almost as much as parameter count.</w:t>
      </w:r>
    </w:p>
    <w:p w14:paraId="17225DDD" w14:textId="77777777" w:rsidR="00EC18F3" w:rsidRPr="00EC18F3" w:rsidRDefault="00EC18F3" w:rsidP="00EA6155">
      <w:pPr>
        <w:pStyle w:val="2"/>
      </w:pPr>
      <w:r w:rsidRPr="00EC18F3">
        <w:t>Long Context Versus Retrieval</w:t>
      </w:r>
    </w:p>
    <w:p w14:paraId="1C77B64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 common misconception is that sufficiently long context windows eliminate the need for retrieval-augmented generation (RAG).</w:t>
      </w:r>
    </w:p>
    <w:p w14:paraId="3797ED0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 practice, the relationship is complementary rather than competitive.</w:t>
      </w:r>
    </w:p>
    <w:p w14:paraId="5A6DD4D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Long-context models reduce the frequency with which relevant information must be discarded.</w:t>
      </w:r>
    </w:p>
    <w:p w14:paraId="428B93D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Retrieval systems reduce the amount of irrelevant information supplied to the model.</w:t>
      </w:r>
    </w:p>
    <w:p w14:paraId="7FB2DD5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Production systems increasingly combine both approaches, retrieving high-quality context while taking advantage of expanded context windows to preserve richer document structure and conversational history.</w:t>
      </w:r>
    </w:p>
    <w:p w14:paraId="0BE15A3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Chapter 12 examines these retrieval strategies in detail.</w:t>
      </w:r>
    </w:p>
    <w:p w14:paraId="5F4E0E0C" w14:textId="77777777" w:rsidR="00EC18F3" w:rsidRPr="00EC18F3" w:rsidRDefault="00EC18F3" w:rsidP="00EA6155">
      <w:pPr>
        <w:pStyle w:val="2"/>
      </w:pPr>
      <w:r w:rsidRPr="00EC18F3">
        <w:t>Limitations</w:t>
      </w:r>
    </w:p>
    <w:p w14:paraId="507DD30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Long-context architectures introduce several trade-offs.</w:t>
      </w:r>
    </w:p>
    <w:p w14:paraId="06167AC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Infrastructure costs increase.</w:t>
      </w:r>
    </w:p>
    <w:p w14:paraId="2770209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Inference latency often grows.</w:t>
      </w:r>
    </w:p>
    <w:p w14:paraId="139E4E7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Memory requirements become substantially larger.</w:t>
      </w:r>
    </w:p>
    <w:p w14:paraId="3B3410E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Evaluation becomes more challenging because maintaining reasoning quality across extremely long contexts remains an active research area.</w:t>
      </w:r>
    </w:p>
    <w:p w14:paraId="57785AA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Finally, published maximum context lengths should be interpreted cautiously. A model capable of technically accepting a very large input does not necessarily maintain consistent reasoning quality throughout the entire sequence. Organizations should therefore validate long-context behavior using representative production workloads rather than relying exclusively on vendor specifications.</w:t>
      </w:r>
    </w:p>
    <w:p w14:paraId="3F3BC856"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7B658BBF">
          <v:rect id="_x0000_i1201" style="width:0;height:1.5pt" o:hralign="center" o:hrstd="t" o:hr="t" fillcolor="#a0a0a0" stroked="f"/>
        </w:pict>
      </w:r>
    </w:p>
    <w:p w14:paraId="73816022" w14:textId="77777777" w:rsidR="00EC18F3" w:rsidRPr="00384C38" w:rsidRDefault="00EC18F3" w:rsidP="00384C38">
      <w:pPr>
        <w:rPr>
          <w:rFonts w:ascii="Times New Roman" w:hAnsi="Times New Roman" w:cs="Times New Roman"/>
          <w:b/>
          <w:bCs/>
          <w:sz w:val="28"/>
          <w:szCs w:val="28"/>
        </w:rPr>
      </w:pPr>
      <w:r w:rsidRPr="00384C38">
        <w:rPr>
          <w:rFonts w:ascii="Times New Roman" w:hAnsi="Times New Roman" w:cs="Times New Roman"/>
          <w:b/>
          <w:bCs/>
          <w:sz w:val="28"/>
          <w:szCs w:val="28"/>
        </w:rPr>
        <w:t>Table 4.2. Architectural Characteristics and Operational Impact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959"/>
        <w:gridCol w:w="1726"/>
        <w:gridCol w:w="2023"/>
        <w:gridCol w:w="2207"/>
      </w:tblGrid>
      <w:tr w:rsidR="00EC18F3" w:rsidRPr="00EC18F3" w14:paraId="76B34108" w14:textId="77777777" w:rsidTr="00EC18F3">
        <w:trPr>
          <w:tblHeader/>
          <w:tblCellSpacing w:w="15" w:type="dxa"/>
        </w:trPr>
        <w:tc>
          <w:tcPr>
            <w:tcW w:w="0" w:type="auto"/>
            <w:vAlign w:val="center"/>
            <w:hideMark/>
          </w:tcPr>
          <w:p w14:paraId="4551F0D6" w14:textId="77777777" w:rsidR="00EC18F3" w:rsidRPr="00EC18F3" w:rsidRDefault="00EC18F3" w:rsidP="00EC18F3">
            <w:pPr>
              <w:spacing w:after="0" w:line="240" w:lineRule="auto"/>
              <w:jc w:val="center"/>
              <w:rPr>
                <w:rFonts w:ascii="Times New Roman" w:eastAsia="Times New Roman" w:hAnsi="Times New Roman" w:cs="Times New Roman"/>
                <w:b/>
                <w:bCs/>
                <w:sz w:val="24"/>
                <w:szCs w:val="24"/>
              </w:rPr>
            </w:pPr>
            <w:r w:rsidRPr="00EC18F3">
              <w:rPr>
                <w:rFonts w:ascii="Times New Roman" w:eastAsia="Times New Roman" w:hAnsi="Times New Roman" w:cs="Times New Roman"/>
                <w:b/>
                <w:bCs/>
                <w:sz w:val="24"/>
                <w:szCs w:val="24"/>
              </w:rPr>
              <w:t>Architecture</w:t>
            </w:r>
          </w:p>
        </w:tc>
        <w:tc>
          <w:tcPr>
            <w:tcW w:w="0" w:type="auto"/>
            <w:vAlign w:val="center"/>
            <w:hideMark/>
          </w:tcPr>
          <w:p w14:paraId="73911E93" w14:textId="77777777" w:rsidR="00EC18F3" w:rsidRPr="00EC18F3" w:rsidRDefault="00EC18F3" w:rsidP="00EC18F3">
            <w:pPr>
              <w:spacing w:after="0" w:line="240" w:lineRule="auto"/>
              <w:jc w:val="center"/>
              <w:rPr>
                <w:rFonts w:ascii="Times New Roman" w:eastAsia="Times New Roman" w:hAnsi="Times New Roman" w:cs="Times New Roman"/>
                <w:b/>
                <w:bCs/>
                <w:sz w:val="24"/>
                <w:szCs w:val="24"/>
              </w:rPr>
            </w:pPr>
            <w:r w:rsidRPr="00EC18F3">
              <w:rPr>
                <w:rFonts w:ascii="Times New Roman" w:eastAsia="Times New Roman" w:hAnsi="Times New Roman" w:cs="Times New Roman"/>
                <w:b/>
                <w:bCs/>
                <w:sz w:val="24"/>
                <w:szCs w:val="24"/>
              </w:rPr>
              <w:t>Primary Advantages</w:t>
            </w:r>
          </w:p>
        </w:tc>
        <w:tc>
          <w:tcPr>
            <w:tcW w:w="0" w:type="auto"/>
            <w:vAlign w:val="center"/>
            <w:hideMark/>
          </w:tcPr>
          <w:p w14:paraId="214EEFA1" w14:textId="77777777" w:rsidR="00EC18F3" w:rsidRPr="00EC18F3" w:rsidRDefault="00EC18F3" w:rsidP="00EC18F3">
            <w:pPr>
              <w:spacing w:after="0" w:line="240" w:lineRule="auto"/>
              <w:jc w:val="center"/>
              <w:rPr>
                <w:rFonts w:ascii="Times New Roman" w:eastAsia="Times New Roman" w:hAnsi="Times New Roman" w:cs="Times New Roman"/>
                <w:b/>
                <w:bCs/>
                <w:sz w:val="24"/>
                <w:szCs w:val="24"/>
              </w:rPr>
            </w:pPr>
            <w:r w:rsidRPr="00EC18F3">
              <w:rPr>
                <w:rFonts w:ascii="Times New Roman" w:eastAsia="Times New Roman" w:hAnsi="Times New Roman" w:cs="Times New Roman"/>
                <w:b/>
                <w:bCs/>
                <w:sz w:val="24"/>
                <w:szCs w:val="24"/>
              </w:rPr>
              <w:t>Primary Limitations</w:t>
            </w:r>
          </w:p>
        </w:tc>
        <w:tc>
          <w:tcPr>
            <w:tcW w:w="0" w:type="auto"/>
            <w:vAlign w:val="center"/>
            <w:hideMark/>
          </w:tcPr>
          <w:p w14:paraId="6C4BC1A3" w14:textId="77777777" w:rsidR="00EC18F3" w:rsidRPr="00EC18F3" w:rsidRDefault="00EC18F3" w:rsidP="00EC18F3">
            <w:pPr>
              <w:spacing w:after="0" w:line="240" w:lineRule="auto"/>
              <w:jc w:val="center"/>
              <w:rPr>
                <w:rFonts w:ascii="Times New Roman" w:eastAsia="Times New Roman" w:hAnsi="Times New Roman" w:cs="Times New Roman"/>
                <w:b/>
                <w:bCs/>
                <w:sz w:val="24"/>
                <w:szCs w:val="24"/>
              </w:rPr>
            </w:pPr>
            <w:r w:rsidRPr="00EC18F3">
              <w:rPr>
                <w:rFonts w:ascii="Times New Roman" w:eastAsia="Times New Roman" w:hAnsi="Times New Roman" w:cs="Times New Roman"/>
                <w:b/>
                <w:bCs/>
                <w:sz w:val="24"/>
                <w:szCs w:val="24"/>
              </w:rPr>
              <w:t>Hardware Impact</w:t>
            </w:r>
          </w:p>
        </w:tc>
        <w:tc>
          <w:tcPr>
            <w:tcW w:w="0" w:type="auto"/>
            <w:vAlign w:val="center"/>
            <w:hideMark/>
          </w:tcPr>
          <w:p w14:paraId="3150755D" w14:textId="77777777" w:rsidR="00EC18F3" w:rsidRPr="00EC18F3" w:rsidRDefault="00EC18F3" w:rsidP="00EC18F3">
            <w:pPr>
              <w:spacing w:after="0" w:line="240" w:lineRule="auto"/>
              <w:jc w:val="center"/>
              <w:rPr>
                <w:rFonts w:ascii="Times New Roman" w:eastAsia="Times New Roman" w:hAnsi="Times New Roman" w:cs="Times New Roman"/>
                <w:b/>
                <w:bCs/>
                <w:sz w:val="24"/>
                <w:szCs w:val="24"/>
              </w:rPr>
            </w:pPr>
            <w:r w:rsidRPr="00EC18F3">
              <w:rPr>
                <w:rFonts w:ascii="Times New Roman" w:eastAsia="Times New Roman" w:hAnsi="Times New Roman" w:cs="Times New Roman"/>
                <w:b/>
                <w:bCs/>
                <w:sz w:val="24"/>
                <w:szCs w:val="24"/>
              </w:rPr>
              <w:t>Operational Considerations</w:t>
            </w:r>
          </w:p>
        </w:tc>
      </w:tr>
      <w:tr w:rsidR="00EC18F3" w:rsidRPr="00EC18F3" w14:paraId="37F8ECD7" w14:textId="77777777" w:rsidTr="00EC18F3">
        <w:trPr>
          <w:tblCellSpacing w:w="15" w:type="dxa"/>
        </w:trPr>
        <w:tc>
          <w:tcPr>
            <w:tcW w:w="0" w:type="auto"/>
            <w:vAlign w:val="center"/>
            <w:hideMark/>
          </w:tcPr>
          <w:p w14:paraId="55D2BE59"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b/>
                <w:bCs/>
                <w:sz w:val="24"/>
                <w:szCs w:val="24"/>
              </w:rPr>
              <w:t>Decoder-only transformer</w:t>
            </w:r>
          </w:p>
        </w:tc>
        <w:tc>
          <w:tcPr>
            <w:tcW w:w="0" w:type="auto"/>
            <w:vAlign w:val="center"/>
            <w:hideMark/>
          </w:tcPr>
          <w:p w14:paraId="10DD52A6"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Mature ecosystem, excellent generative performance, broad inference engine support, strong compatibility with instruction tuning and tool calling</w:t>
            </w:r>
          </w:p>
        </w:tc>
        <w:tc>
          <w:tcPr>
            <w:tcW w:w="0" w:type="auto"/>
            <w:vAlign w:val="center"/>
            <w:hideMark/>
          </w:tcPr>
          <w:p w14:paraId="15B85684"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Sequential token generation limits parallelism; memory grows with context length</w:t>
            </w:r>
          </w:p>
        </w:tc>
        <w:tc>
          <w:tcPr>
            <w:tcW w:w="0" w:type="auto"/>
            <w:vAlign w:val="center"/>
            <w:hideMark/>
          </w:tcPr>
          <w:p w14:paraId="5BDBBFDF"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Predictable GPU utilization; benefits significantly from optimized serving and batching</w:t>
            </w:r>
          </w:p>
        </w:tc>
        <w:tc>
          <w:tcPr>
            <w:tcW w:w="0" w:type="auto"/>
            <w:vAlign w:val="center"/>
            <w:hideMark/>
          </w:tcPr>
          <w:p w14:paraId="185CB783"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Preferred architecture for most production LLM deployments due to ecosystem maturity and tooling support</w:t>
            </w:r>
          </w:p>
        </w:tc>
      </w:tr>
      <w:tr w:rsidR="00EC18F3" w:rsidRPr="00EC18F3" w14:paraId="10226539" w14:textId="77777777" w:rsidTr="00EC18F3">
        <w:trPr>
          <w:tblCellSpacing w:w="15" w:type="dxa"/>
        </w:trPr>
        <w:tc>
          <w:tcPr>
            <w:tcW w:w="0" w:type="auto"/>
            <w:vAlign w:val="center"/>
            <w:hideMark/>
          </w:tcPr>
          <w:p w14:paraId="63A2BC2F"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b/>
                <w:bCs/>
                <w:sz w:val="24"/>
                <w:szCs w:val="24"/>
              </w:rPr>
              <w:t>Mixture-of-Experts (MoE)</w:t>
            </w:r>
          </w:p>
        </w:tc>
        <w:tc>
          <w:tcPr>
            <w:tcW w:w="0" w:type="auto"/>
            <w:vAlign w:val="center"/>
            <w:hideMark/>
          </w:tcPr>
          <w:p w14:paraId="751A4D3C"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Higher effective model capacity with lower active computation; strong reasoning capability relative to inference cost</w:t>
            </w:r>
          </w:p>
        </w:tc>
        <w:tc>
          <w:tcPr>
            <w:tcW w:w="0" w:type="auto"/>
            <w:vAlign w:val="center"/>
            <w:hideMark/>
          </w:tcPr>
          <w:p w14:paraId="0D11E1CC"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More complex routing, load balancing, distributed execution, and debugging</w:t>
            </w:r>
          </w:p>
        </w:tc>
        <w:tc>
          <w:tcPr>
            <w:tcW w:w="0" w:type="auto"/>
            <w:vAlign w:val="center"/>
            <w:hideMark/>
          </w:tcPr>
          <w:p w14:paraId="02101146"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Requires careful memory placement and efficient inter-device communication; may increase infrastructure complexity</w:t>
            </w:r>
          </w:p>
        </w:tc>
        <w:tc>
          <w:tcPr>
            <w:tcW w:w="0" w:type="auto"/>
            <w:vAlign w:val="center"/>
            <w:hideMark/>
          </w:tcPr>
          <w:p w14:paraId="3D736CD1"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Well suited to high-capability deployments where serving infrastructure can efficiently support sparse computation</w:t>
            </w:r>
          </w:p>
        </w:tc>
      </w:tr>
      <w:tr w:rsidR="00EC18F3" w:rsidRPr="00EC18F3" w14:paraId="4633217D" w14:textId="77777777" w:rsidTr="00EC18F3">
        <w:trPr>
          <w:tblCellSpacing w:w="15" w:type="dxa"/>
        </w:trPr>
        <w:tc>
          <w:tcPr>
            <w:tcW w:w="0" w:type="auto"/>
            <w:vAlign w:val="center"/>
            <w:hideMark/>
          </w:tcPr>
          <w:p w14:paraId="1291F747"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b/>
                <w:bCs/>
                <w:sz w:val="24"/>
                <w:szCs w:val="24"/>
              </w:rPr>
              <w:t>Multimodal architecture</w:t>
            </w:r>
          </w:p>
        </w:tc>
        <w:tc>
          <w:tcPr>
            <w:tcW w:w="0" w:type="auto"/>
            <w:vAlign w:val="center"/>
            <w:hideMark/>
          </w:tcPr>
          <w:p w14:paraId="04C821C8"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Processes text together with images, documents, audio, or other modalities; enables broader enterprise workflows</w:t>
            </w:r>
          </w:p>
        </w:tc>
        <w:tc>
          <w:tcPr>
            <w:tcW w:w="0" w:type="auto"/>
            <w:vAlign w:val="center"/>
            <w:hideMark/>
          </w:tcPr>
          <w:p w14:paraId="0CC4B7F9"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More complex preprocessing pipelines, larger request payloads, and more difficult evaluation</w:t>
            </w:r>
          </w:p>
        </w:tc>
        <w:tc>
          <w:tcPr>
            <w:tcW w:w="0" w:type="auto"/>
            <w:vAlign w:val="center"/>
            <w:hideMark/>
          </w:tcPr>
          <w:p w14:paraId="71D2756A"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Increased GPU memory and compute requirements; additional storage and networking considerations</w:t>
            </w:r>
          </w:p>
        </w:tc>
        <w:tc>
          <w:tcPr>
            <w:tcW w:w="0" w:type="auto"/>
            <w:vAlign w:val="center"/>
            <w:hideMark/>
          </w:tcPr>
          <w:p w14:paraId="31EF58EC"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Best suited for document intelligence, visual assistants, inspection systems, and other multimodal workloads rather than purely textual applications</w:t>
            </w:r>
          </w:p>
        </w:tc>
      </w:tr>
      <w:tr w:rsidR="00EC18F3" w:rsidRPr="00EC18F3" w14:paraId="159C0091" w14:textId="77777777" w:rsidTr="00EC18F3">
        <w:trPr>
          <w:tblCellSpacing w:w="15" w:type="dxa"/>
        </w:trPr>
        <w:tc>
          <w:tcPr>
            <w:tcW w:w="0" w:type="auto"/>
            <w:vAlign w:val="center"/>
            <w:hideMark/>
          </w:tcPr>
          <w:p w14:paraId="32988463"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b/>
                <w:bCs/>
                <w:sz w:val="24"/>
                <w:szCs w:val="24"/>
              </w:rPr>
              <w:t>Long-context architecture</w:t>
            </w:r>
          </w:p>
        </w:tc>
        <w:tc>
          <w:tcPr>
            <w:tcW w:w="0" w:type="auto"/>
            <w:vAlign w:val="center"/>
            <w:hideMark/>
          </w:tcPr>
          <w:p w14:paraId="201BAAD9"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Supports larger documents, extended conversations, and richer contextual reasoning</w:t>
            </w:r>
          </w:p>
        </w:tc>
        <w:tc>
          <w:tcPr>
            <w:tcW w:w="0" w:type="auto"/>
            <w:vAlign w:val="center"/>
            <w:hideMark/>
          </w:tcPr>
          <w:p w14:paraId="60761B59"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 xml:space="preserve">Higher memory consumption, increased latency, diminishing quality over </w:t>
            </w:r>
            <w:r w:rsidRPr="00EC18F3">
              <w:rPr>
                <w:rFonts w:ascii="Times New Roman" w:eastAsia="Times New Roman" w:hAnsi="Times New Roman" w:cs="Times New Roman"/>
                <w:sz w:val="24"/>
                <w:szCs w:val="24"/>
              </w:rPr>
              <w:lastRenderedPageBreak/>
              <w:t>extremely long contexts</w:t>
            </w:r>
          </w:p>
        </w:tc>
        <w:tc>
          <w:tcPr>
            <w:tcW w:w="0" w:type="auto"/>
            <w:vAlign w:val="center"/>
            <w:hideMark/>
          </w:tcPr>
          <w:p w14:paraId="2E042157"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lastRenderedPageBreak/>
              <w:t>Context length becomes a major infrastructure sizing factor alongside parameter count</w:t>
            </w:r>
          </w:p>
        </w:tc>
        <w:tc>
          <w:tcPr>
            <w:tcW w:w="0" w:type="auto"/>
            <w:vAlign w:val="center"/>
            <w:hideMark/>
          </w:tcPr>
          <w:p w14:paraId="6F7FD1AE" w14:textId="77777777" w:rsidR="00EC18F3" w:rsidRPr="00EC18F3" w:rsidRDefault="00EC18F3" w:rsidP="00EC18F3">
            <w:pPr>
              <w:spacing w:after="0" w:line="240" w:lineRule="auto"/>
              <w:rPr>
                <w:rFonts w:ascii="Times New Roman" w:eastAsia="Times New Roman" w:hAnsi="Times New Roman" w:cs="Times New Roman"/>
                <w:sz w:val="24"/>
                <w:szCs w:val="24"/>
              </w:rPr>
            </w:pPr>
            <w:r w:rsidRPr="00EC18F3">
              <w:rPr>
                <w:rFonts w:ascii="Times New Roman" w:eastAsia="Times New Roman" w:hAnsi="Times New Roman" w:cs="Times New Roman"/>
                <w:sz w:val="24"/>
                <w:szCs w:val="24"/>
              </w:rPr>
              <w:t xml:space="preserve">Most effective when combined with retrieval architectures rather than replacing them; requires careful production validation </w:t>
            </w:r>
            <w:r w:rsidRPr="00EC18F3">
              <w:rPr>
                <w:rFonts w:ascii="Times New Roman" w:eastAsia="Times New Roman" w:hAnsi="Times New Roman" w:cs="Times New Roman"/>
                <w:sz w:val="24"/>
                <w:szCs w:val="24"/>
              </w:rPr>
              <w:lastRenderedPageBreak/>
              <w:t>of real-world long-context performance</w:t>
            </w:r>
          </w:p>
        </w:tc>
      </w:tr>
    </w:tbl>
    <w:p w14:paraId="1CCE740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The architectural characteristics discussed in this section should not be viewed as competing alternatives from which a single winner emerges. Modern open-weight models increasingly combine several of these capabilities within the same foundation model. Consequently, model selection requires evaluating how these architectural features align with organizational requirements, infrastructure constraints, and operational objectives. The next section examines another equally important dimension of model selection: licensing, which often determines whether a technically suitable model can be deployed in production at all.</w:t>
      </w:r>
    </w:p>
    <w:p w14:paraId="74B0C91E" w14:textId="77777777" w:rsidR="00EC18F3" w:rsidRPr="00EC18F3" w:rsidRDefault="00EC18F3" w:rsidP="00EC18F3">
      <w:pPr>
        <w:pStyle w:val="1"/>
      </w:pPr>
      <w:r w:rsidRPr="00EC18F3">
        <w:t>4.3 Understanding Model Licenses</w:t>
      </w:r>
    </w:p>
    <w:p w14:paraId="3D20736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Technical capability is only one dimension of model selection. Before an organization commits to deploying an open-weight model, it must determine whether the model can be used legally within the intended business context. A model that achieves state-of-the-art benchmark performance may be unusable because of licensing restrictions, while a technically less capable alternative may become the preferred choice because it provides greater legal certainty and operational flexibility.</w:t>
      </w:r>
    </w:p>
    <w:p w14:paraId="20F7A7F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Unlike traditional software engineering, where developers have become accustomed to well-established open-source licenses such as Apache 2.0, MIT, BSD, or GPL, foundation models introduce additional legal and operational complexity. A foundation model is not a single software artifact but rather a collection of different assets that may each have separate ownership and licensing conditions. These assets can include model weights, training code, tokenizers, datasets, evaluation datasets, fine-tuning recipes, safety classifiers, benchmark results, and deployment tooling. Each component may be governed by different legal terms.</w:t>
      </w:r>
    </w:p>
    <w:p w14:paraId="57F339A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Consequently, licensing analysis should be treated as part of architectural due diligence rather than as a procurement exercise performed after technical evaluation. Platform teams that postpone licensing review until deployment frequently discover that a preferred model cannot legally be redistributed, modified, hosted for customers, or incorporated into commercial products without violating license terms.</w:t>
      </w:r>
    </w:p>
    <w:p w14:paraId="28F842E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This section provides an engineering-oriented overview of AI licensing. It is not intended as legal advice. Organizations deploying AI systems in production should always review the complete license text and consult legal counsel when necessary, </w:t>
      </w:r>
      <w:r w:rsidRPr="00EC18F3">
        <w:rPr>
          <w:rFonts w:ascii="Times New Roman" w:eastAsia="Times New Roman" w:hAnsi="Times New Roman" w:cs="Times New Roman"/>
          <w:sz w:val="28"/>
          <w:szCs w:val="28"/>
        </w:rPr>
        <w:lastRenderedPageBreak/>
        <w:t>particularly for commercial products, regulated industries, or international deployments.</w:t>
      </w:r>
    </w:p>
    <w:p w14:paraId="572B02A3"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7D546D0E">
          <v:rect id="_x0000_i1235" style="width:0;height:1.5pt" o:hralign="center" o:hrstd="t" o:hr="t" fillcolor="#a0a0a0" stroked="f"/>
        </w:pict>
      </w:r>
    </w:p>
    <w:p w14:paraId="281110F1" w14:textId="77777777" w:rsidR="00EC18F3" w:rsidRPr="00EC18F3" w:rsidRDefault="00EC18F3" w:rsidP="00EC18F3">
      <w:pPr>
        <w:pStyle w:val="1"/>
      </w:pPr>
      <w:r w:rsidRPr="00EC18F3">
        <w:t>4.3.1 Why AI Licensing Is Different</w:t>
      </w:r>
    </w:p>
    <w:p w14:paraId="31C3AC5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Most software licenses govern executable code or source code. AI systems introduce several additional categories of intellectual property that do not fit neatly into traditional software licensing frameworks.</w:t>
      </w:r>
    </w:p>
    <w:p w14:paraId="3AB767B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 foundation model consists of significantly more than executable inference software. The software used to execute a model—such as an inference engine or deep learning framework—is usually independent from the model itself. The model weights represent numerical parameters learned during training, while training datasets, preprocessing pipelines, evaluation benchmarks, and fine-tuning methods often originate from different sources.</w:t>
      </w:r>
    </w:p>
    <w:p w14:paraId="29119BD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As a result, different parts of an AI system may be distributed under completely different licenses.</w:t>
      </w:r>
    </w:p>
    <w:p w14:paraId="2395275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example, an organization might deploy:</w:t>
      </w:r>
    </w:p>
    <w:p w14:paraId="2C139F22" w14:textId="77777777" w:rsidR="00EC18F3" w:rsidRPr="00EC18F3" w:rsidRDefault="00EC18F3" w:rsidP="0049140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an inference engine released under Apache 2.0, </w:t>
      </w:r>
    </w:p>
    <w:p w14:paraId="07CCA35D" w14:textId="77777777" w:rsidR="00EC18F3" w:rsidRPr="00EC18F3" w:rsidRDefault="00EC18F3" w:rsidP="0049140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model weights governed by a custom commercial license, </w:t>
      </w:r>
    </w:p>
    <w:p w14:paraId="50A3C940" w14:textId="77777777" w:rsidR="00EC18F3" w:rsidRPr="00EC18F3" w:rsidRDefault="00EC18F3" w:rsidP="0049140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tokenizer code under MIT, </w:t>
      </w:r>
    </w:p>
    <w:p w14:paraId="366C8B5F" w14:textId="77777777" w:rsidR="00EC18F3" w:rsidRPr="00EC18F3" w:rsidRDefault="00EC18F3" w:rsidP="0049140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evaluation datasets with academic-only restrictions, </w:t>
      </w:r>
    </w:p>
    <w:p w14:paraId="7D2B7D4C" w14:textId="77777777" w:rsidR="00EC18F3" w:rsidRPr="00EC18F3" w:rsidRDefault="00EC18F3" w:rsidP="0049140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benchmark implementations under another license, </w:t>
      </w:r>
    </w:p>
    <w:p w14:paraId="0872B8E2" w14:textId="77777777" w:rsidR="00EC18F3" w:rsidRPr="00EC18F3" w:rsidRDefault="00EC18F3" w:rsidP="0049140E">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proprietary fine-tuned weights owned internally. </w:t>
      </w:r>
    </w:p>
    <w:p w14:paraId="342B7BB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these components operate together, they cannot be treated as a single licensed product.</w:t>
      </w:r>
    </w:p>
    <w:p w14:paraId="0335C52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Another distinguishing characteristic is that AI licenses increasingly regulate behavior rather than merely software distribution. Traditional software licenses generally focus on copying, modification, attribution, and redistribution. Many modern AI licenses additionally specify acceptable or prohibited uses of the model itself.</w:t>
      </w:r>
    </w:p>
    <w:p w14:paraId="40D8CF9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Examples include restrictions involving:</w:t>
      </w:r>
    </w:p>
    <w:p w14:paraId="58A1BC90"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illegal activities, </w:t>
      </w:r>
    </w:p>
    <w:p w14:paraId="4FCBBAD3"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harmful content generation, </w:t>
      </w:r>
    </w:p>
    <w:p w14:paraId="55CB1AAD"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biometric surveillance, </w:t>
      </w:r>
    </w:p>
    <w:p w14:paraId="6BCB3982"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military applications, </w:t>
      </w:r>
    </w:p>
    <w:p w14:paraId="6E6A282F"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 xml:space="preserve">automated decision-making, </w:t>
      </w:r>
    </w:p>
    <w:p w14:paraId="79948BEE"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sanctions compliance, </w:t>
      </w:r>
    </w:p>
    <w:p w14:paraId="52C92936" w14:textId="77777777" w:rsidR="00EC18F3" w:rsidRPr="00EC18F3" w:rsidRDefault="00EC18F3" w:rsidP="0049140E">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regulated industries. </w:t>
      </w:r>
    </w:p>
    <w:p w14:paraId="0A3EF14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Some licenses also require downstream users to preserve safety mechanisms, disclose modifications, or communicate usage restrictions to customers.</w:t>
      </w:r>
    </w:p>
    <w:p w14:paraId="2BBB29E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This represents a significant departure from conventional open-source licensing philosophy, where software licenses generally avoid controlling how software is used after distribution.</w:t>
      </w:r>
    </w:p>
    <w:p w14:paraId="4642649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distinction becomes particularly important for platform engineers because production AI systems frequently expose models indirectly through APIs rather than distributing software binaries. Hosting a model for inference, providing it as a managed service, embedding it into commercial software, or allowing customers to fine-tune derived models may each be governed differently under the applicable license.</w:t>
      </w:r>
    </w:p>
    <w:p w14:paraId="7C19FC7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Licensing therefore becomes an operational concern rather than simply a legal formality.</w:t>
      </w:r>
    </w:p>
    <w:p w14:paraId="0BF7A552" w14:textId="77777777" w:rsidR="00EC18F3" w:rsidRPr="00EC18F3" w:rsidRDefault="00EC18F3" w:rsidP="00EA6155">
      <w:pPr>
        <w:pStyle w:val="2"/>
      </w:pPr>
      <w:r w:rsidRPr="00EC18F3">
        <w:t>Multiple Intellectual Property Layers</w:t>
      </w:r>
    </w:p>
    <w:p w14:paraId="368DFBE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Understanding AI licensing requires recognizing that several intellectual property layers coexist within a modern AI platform.</w:t>
      </w:r>
    </w:p>
    <w:p w14:paraId="0005A0D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model weights define the learned parameters used during inference.</w:t>
      </w:r>
    </w:p>
    <w:p w14:paraId="72F81C5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Training code specifies how those parameters were produced.</w:t>
      </w:r>
    </w:p>
    <w:p w14:paraId="336507D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Training datasets may contain independently licensed material.</w:t>
      </w:r>
    </w:p>
    <w:p w14:paraId="45EA5B4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Tokenizer implementations frequently constitute separate software projects.</w:t>
      </w:r>
    </w:p>
    <w:p w14:paraId="4ABDB2E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Inference engines are usually distributed independently from the models they execute.</w:t>
      </w:r>
    </w:p>
    <w:p w14:paraId="6A8418A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Fine-tuned checkpoints may introduce additional ownership considerations.</w:t>
      </w:r>
    </w:p>
    <w:p w14:paraId="68B2EAB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Application code developed by an organization remains subject to its own software licenses.</w:t>
      </w:r>
    </w:p>
    <w:p w14:paraId="32E2D70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Because these layers evolve independently, upgrading one component may change licensing obligations without modifying the rest of the platform.</w:t>
      </w:r>
    </w:p>
    <w:p w14:paraId="4360070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Platform engineering teams should therefore maintain inventories of both software dependencies and deployed model assets. Chapter 20 returns to this topic when discussing long-term platform maintenance and technology governance.</w:t>
      </w:r>
    </w:p>
    <w:p w14:paraId="55F97493"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2AE8A88D">
          <v:rect id="_x0000_i1236" style="width:0;height:1.5pt" o:hralign="center" o:hrstd="t" o:hr="t" fillcolor="#a0a0a0" stroked="f"/>
        </w:pict>
      </w:r>
    </w:p>
    <w:p w14:paraId="5DFA029E" w14:textId="77777777" w:rsidR="00EC18F3" w:rsidRPr="00EC18F3" w:rsidRDefault="00EC18F3" w:rsidP="00EC18F3">
      <w:pPr>
        <w:pStyle w:val="1"/>
      </w:pPr>
      <w:r w:rsidRPr="00EC18F3">
        <w:t>4.3.2 Open Source Versus Open Weight</w:t>
      </w:r>
    </w:p>
    <w:p w14:paraId="5B4351B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One of the most common misconceptions in contemporary AI discussions is the assumption that publicly downloadable model weights are equivalent to open-source software.</w:t>
      </w:r>
    </w:p>
    <w:p w14:paraId="40A2F66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two concepts are related but not identical.</w:t>
      </w:r>
    </w:p>
    <w:p w14:paraId="46D2CEB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Open Source Initiative (OSI) defines open-source software according to principles that include unrestricted redistribution, availability of source code, permission to create derived works, non-discrimination against fields of endeavor, and technology neutrality. These principles were developed for software projects whose behavior can be understood, modified, and rebuilt from human-readable source code.</w:t>
      </w:r>
    </w:p>
    <w:p w14:paraId="2051166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Foundation models present a fundamentally different situation.</w:t>
      </w:r>
    </w:p>
    <w:p w14:paraId="61D531A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 trained language model contains billions of numerical parameters rather than conventional source code. While these parameters determine model behavior, they do not reveal the complete training process. Reproducing a model typically requires access not only to weights but also to training datasets, preprocessing pipelines, optimization procedures, hyperparameters, distributed training infrastructure, and substantial computational resources.</w:t>
      </w:r>
    </w:p>
    <w:p w14:paraId="4ADFA5E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Many organizations publicly release only the trained weights.</w:t>
      </w:r>
    </w:p>
    <w:p w14:paraId="00EC193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Training datasets may remain proprietary.</w:t>
      </w:r>
    </w:p>
    <w:p w14:paraId="7C8EF57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Training code may be partially available or withheld entirely.</w:t>
      </w:r>
    </w:p>
    <w:p w14:paraId="136CBF5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Reinforcement learning pipelines may not be published.</w:t>
      </w:r>
    </w:p>
    <w:p w14:paraId="4DF42BA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Synthetic training data may not be reproducible.</w:t>
      </w:r>
    </w:p>
    <w:p w14:paraId="2B3BFD2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Consequently, numerous widely used language models cannot be considered fully open source under traditional software definitions, even though they are freely downloadable.</w:t>
      </w:r>
    </w:p>
    <w:p w14:paraId="376BF70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The industry has therefore increasingly adopted the term </w:t>
      </w:r>
      <w:r w:rsidRPr="00EC18F3">
        <w:rPr>
          <w:rFonts w:ascii="Times New Roman" w:eastAsia="Times New Roman" w:hAnsi="Times New Roman" w:cs="Times New Roman"/>
          <w:i/>
          <w:iCs/>
          <w:sz w:val="28"/>
          <w:szCs w:val="28"/>
        </w:rPr>
        <w:t>open weight</w:t>
      </w:r>
      <w:r w:rsidRPr="00EC18F3">
        <w:rPr>
          <w:rFonts w:ascii="Times New Roman" w:eastAsia="Times New Roman" w:hAnsi="Times New Roman" w:cs="Times New Roman"/>
          <w:sz w:val="28"/>
          <w:szCs w:val="28"/>
        </w:rPr>
        <w:t>.</w:t>
      </w:r>
    </w:p>
    <w:p w14:paraId="43F04E9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Open-weight models generally provide access to pretrained parameters while not necessarily satisfying all requirements associated with open-source software.</w:t>
      </w:r>
    </w:p>
    <w:p w14:paraId="7503AD2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This terminology is useful because it accurately communicates what organizations receive.</w:t>
      </w:r>
    </w:p>
    <w:p w14:paraId="29178BA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They obtain a deployable model capable of local inference.</w:t>
      </w:r>
    </w:p>
    <w:p w14:paraId="0754C27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They do not necessarily receive complete reproducibility.</w:t>
      </w:r>
    </w:p>
    <w:p w14:paraId="59B4DEF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Nor do they necessarily receive unrestricted modification or redistribution rights.</w:t>
      </w:r>
    </w:p>
    <w:p w14:paraId="0ADA891E" w14:textId="77777777" w:rsidR="00EC18F3" w:rsidRPr="00EC18F3" w:rsidRDefault="00EC18F3" w:rsidP="00EA6155">
      <w:pPr>
        <w:pStyle w:val="2"/>
      </w:pPr>
      <w:r w:rsidRPr="00EC18F3">
        <w:t>Why the Distinction Matters</w:t>
      </w:r>
    </w:p>
    <w:p w14:paraId="7CCB002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platform engineers, the distinction between open source and open weight has practical consequences.</w:t>
      </w:r>
    </w:p>
    <w:p w14:paraId="12D1406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First, reproducibility differs significantly.</w:t>
      </w:r>
    </w:p>
    <w:p w14:paraId="00A10C8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An open-source software project can usually be rebuilt from source.</w:t>
      </w:r>
    </w:p>
    <w:p w14:paraId="3D6A981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 publicly available language model often cannot be recreated without enormous computational resources and proprietary training data.</w:t>
      </w:r>
    </w:p>
    <w:p w14:paraId="3D58BC2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Second, vendor independence varies.</w:t>
      </w:r>
    </w:p>
    <w:p w14:paraId="1036689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deploying open-weight models typically control inference infrastructure.</w:t>
      </w:r>
    </w:p>
    <w:p w14:paraId="1257A64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However, they may still depend upon the original model developer for future updates, safety improvements, tokenizer compatibility, or revised releases.</w:t>
      </w:r>
    </w:p>
    <w:p w14:paraId="4792AC7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Third, legal obligations differ.</w:t>
      </w:r>
    </w:p>
    <w:p w14:paraId="60EF0D5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Software distributed under Apache 2.0 or MIT generally permits broad commercial use.</w:t>
      </w:r>
    </w:p>
    <w:p w14:paraId="4DDEF68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Open-weight model licenses may impose restrictions on redistribution, branding, acceptable use, or derivative products.</w:t>
      </w:r>
    </w:p>
    <w:p w14:paraId="7DA5716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Finally, ecosystem maturity should not be confused with openness.</w:t>
      </w:r>
    </w:p>
    <w:p w14:paraId="4EFCC27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Some highly permissive models possess relatively small communities.</w:t>
      </w:r>
    </w:p>
    <w:p w14:paraId="51BCB8F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Conversely, certain models governed by custom licenses enjoy extensive ecosystem support because of their widespread adoption.</w:t>
      </w:r>
    </w:p>
    <w:p w14:paraId="50112AA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Platform architects should therefore evaluate openness, licensing flexibility, ecosystem maturity, and long-term sustainability as separate dimensions rather than assuming they correlate automatically.</w:t>
      </w:r>
    </w:p>
    <w:p w14:paraId="3D9F4993"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3A96FA5F">
          <v:rect id="_x0000_i1237" style="width:0;height:1.5pt" o:hralign="center" o:hrstd="t" o:hr="t" fillcolor="#a0a0a0" stroked="f"/>
        </w:pict>
      </w:r>
    </w:p>
    <w:p w14:paraId="22D6699E" w14:textId="77777777" w:rsidR="00EC18F3" w:rsidRPr="00EC18F3" w:rsidRDefault="00EC18F3" w:rsidP="00EA6155">
      <w:pPr>
        <w:pStyle w:val="1"/>
      </w:pPr>
      <w:r w:rsidRPr="00EC18F3">
        <w:t>4.3.3 Commercial Restrictions</w:t>
      </w:r>
    </w:p>
    <w:p w14:paraId="169E846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Commercial deployment introduces licensing considerations that individual experimentation rarely encounters.</w:t>
      </w:r>
    </w:p>
    <w:p w14:paraId="5A4936A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Running a model locally for research is generally much simpler from a licensing perspective than incorporating that model into a commercial SaaS platform serving thousands of customers across multiple jurisdictions.</w:t>
      </w:r>
    </w:p>
    <w:p w14:paraId="45C1C3E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should therefore examine commercial restrictions before beginning technical integration.</w:t>
      </w:r>
    </w:p>
    <w:p w14:paraId="358694EC" w14:textId="77777777" w:rsidR="00EC18F3" w:rsidRPr="00EC18F3" w:rsidRDefault="00EC18F3" w:rsidP="00EA6155">
      <w:pPr>
        <w:pStyle w:val="2"/>
      </w:pPr>
      <w:r w:rsidRPr="00EC18F3">
        <w:t>Commercial Use</w:t>
      </w:r>
    </w:p>
    <w:p w14:paraId="070BE73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first question concerns whether commercial use is explicitly permitted.</w:t>
      </w:r>
    </w:p>
    <w:p w14:paraId="6EB12B4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Many permissive software licenses—including Apache 2.0 and MIT—allow commercial deployment without additional licensing fees.</w:t>
      </w:r>
    </w:p>
    <w:p w14:paraId="1DD5180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Some AI-specific licenses also permit commercial use while imposing supplementary obligations.</w:t>
      </w:r>
    </w:p>
    <w:p w14:paraId="1307C66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Others distinguish between research usage and commercial deployment.</w:t>
      </w:r>
    </w:p>
    <w:p w14:paraId="2C52E23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Still others require separate agreements beyond specified usage thresholds.</w:t>
      </w:r>
    </w:p>
    <w:p w14:paraId="02BD237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Assumptions based on traditional open-source software should therefore be avoided.</w:t>
      </w:r>
    </w:p>
    <w:p w14:paraId="2D052FC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Commercial deployment rights should always be confirmed directly from the applicable model license.</w:t>
      </w:r>
    </w:p>
    <w:p w14:paraId="3B0749C1" w14:textId="77777777" w:rsidR="00EC18F3" w:rsidRPr="00EC18F3" w:rsidRDefault="00EC18F3" w:rsidP="00EA6155">
      <w:pPr>
        <w:pStyle w:val="2"/>
      </w:pPr>
      <w:r w:rsidRPr="00EC18F3">
        <w:t>Redistribution</w:t>
      </w:r>
    </w:p>
    <w:p w14:paraId="21A534C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Redistribution rights determine whether organizations may package and distribute model weights.</w:t>
      </w:r>
    </w:p>
    <w:p w14:paraId="59E66A9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This becomes particularly important for software vendors embedding foundation models into customer-facing products.</w:t>
      </w:r>
    </w:p>
    <w:p w14:paraId="77941AD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Some licenses permit unrestricted redistribution.</w:t>
      </w:r>
    </w:p>
    <w:p w14:paraId="07D5965A"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Others require attribution.</w:t>
      </w:r>
    </w:p>
    <w:p w14:paraId="27F5A6A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Some prohibit redistribution while permitting hosted inference.</w:t>
      </w:r>
    </w:p>
    <w:p w14:paraId="16082C9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Others distinguish between original and modified weights.</w:t>
      </w:r>
    </w:p>
    <w:p w14:paraId="52A36C5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distinction between distributing model files and exposing hosted inference APIs can have significant legal implications.</w:t>
      </w:r>
    </w:p>
    <w:p w14:paraId="6280AE2E" w14:textId="77777777" w:rsidR="00EC18F3" w:rsidRPr="00EC18F3" w:rsidRDefault="00EC18F3" w:rsidP="00EA6155">
      <w:pPr>
        <w:pStyle w:val="2"/>
      </w:pPr>
      <w:r w:rsidRPr="00EC18F3">
        <w:t>Derivative Models</w:t>
      </w:r>
    </w:p>
    <w:p w14:paraId="7DA713B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Many production systems rely on instruction tuning, domain adaptation, parameter-efficient fine-tuning, or model merging.</w:t>
      </w:r>
    </w:p>
    <w:p w14:paraId="0DAC611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activities may create derivative works whose licensing status depends on the original model license.</w:t>
      </w:r>
    </w:p>
    <w:p w14:paraId="2915BB4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should verify whether modified weights may be redistributed, commercialized, or transferred to customers.</w:t>
      </w:r>
    </w:p>
    <w:p w14:paraId="41BD3E7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This consideration becomes especially important for consulting companies delivering customized AI systems.</w:t>
      </w:r>
    </w:p>
    <w:p w14:paraId="14117E19" w14:textId="77777777" w:rsidR="00EC18F3" w:rsidRPr="00EC18F3" w:rsidRDefault="00EC18F3" w:rsidP="00EA6155">
      <w:pPr>
        <w:pStyle w:val="2"/>
      </w:pPr>
      <w:r w:rsidRPr="00EC18F3">
        <w:t>Acceptable Use Policies</w:t>
      </w:r>
    </w:p>
    <w:p w14:paraId="7E1F410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Modern AI licenses increasingly incorporate acceptable use policies.</w:t>
      </w:r>
    </w:p>
    <w:p w14:paraId="100E690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policies often prohibit categories of harmful or unlawful activity rather than limiting software distribution alone.</w:t>
      </w:r>
    </w:p>
    <w:p w14:paraId="13DF45E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Examples include restrictions relating to:</w:t>
      </w:r>
    </w:p>
    <w:p w14:paraId="7788552C" w14:textId="77777777" w:rsidR="00EC18F3" w:rsidRPr="00EC18F3" w:rsidRDefault="00EC18F3" w:rsidP="0049140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malicious cyber activity, </w:t>
      </w:r>
    </w:p>
    <w:p w14:paraId="44387F08" w14:textId="77777777" w:rsidR="00EC18F3" w:rsidRPr="00EC18F3" w:rsidRDefault="00EC18F3" w:rsidP="0049140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unlawful surveillance, </w:t>
      </w:r>
    </w:p>
    <w:p w14:paraId="466E2E19" w14:textId="77777777" w:rsidR="00EC18F3" w:rsidRPr="00EC18F3" w:rsidRDefault="00EC18F3" w:rsidP="0049140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disinformation, </w:t>
      </w:r>
    </w:p>
    <w:p w14:paraId="0BEB46E8" w14:textId="77777777" w:rsidR="00EC18F3" w:rsidRPr="00EC18F3" w:rsidRDefault="00EC18F3" w:rsidP="0049140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exploitation of minors, </w:t>
      </w:r>
    </w:p>
    <w:p w14:paraId="5C0BF33E" w14:textId="77777777" w:rsidR="00EC18F3" w:rsidRPr="00EC18F3" w:rsidRDefault="00EC18F3" w:rsidP="0049140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generation of prohibited content, </w:t>
      </w:r>
    </w:p>
    <w:p w14:paraId="517F7DDE" w14:textId="77777777" w:rsidR="00EC18F3" w:rsidRPr="00EC18F3" w:rsidRDefault="00EC18F3" w:rsidP="0049140E">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 xml:space="preserve">violation of applicable laws. </w:t>
      </w:r>
    </w:p>
    <w:p w14:paraId="230CA08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these restrictions are often motivated by responsible AI considerations, they also create operational responsibilities for organizations deploying the models.</w:t>
      </w:r>
    </w:p>
    <w:p w14:paraId="3676ACE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Platform teams should therefore coordinate with governance and security functions to ensure deployment policies align with licensing obligations.</w:t>
      </w:r>
    </w:p>
    <w:p w14:paraId="01D35E8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Chapter 14 examines policy enforcement, governance frameworks, and operational compliance mechanisms in greater detail.</w:t>
      </w:r>
    </w:p>
    <w:p w14:paraId="24DD2CC4" w14:textId="77777777" w:rsidR="00EC18F3" w:rsidRPr="00EC18F3" w:rsidRDefault="00EC18F3" w:rsidP="00EA6155">
      <w:pPr>
        <w:pStyle w:val="2"/>
      </w:pPr>
      <w:r w:rsidRPr="00EC18F3">
        <w:t>Branding and Attribution</w:t>
      </w:r>
    </w:p>
    <w:p w14:paraId="540B33F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Certain licenses specify how model names, trademarks, or branding may be used.</w:t>
      </w:r>
    </w:p>
    <w:p w14:paraId="4CD6917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An organization may be permitted to deploy a model while prohibited from implying endorsement by the original developer.</w:t>
      </w:r>
    </w:p>
    <w:p w14:paraId="5E97FF56"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Marketing materials, documentation, and customer-facing interfaces should therefore distinguish between technical compatibility and official partnership.</w:t>
      </w:r>
    </w:p>
    <w:p w14:paraId="082B766A" w14:textId="77777777" w:rsidR="00EC18F3" w:rsidRPr="00EC18F3" w:rsidRDefault="00EC18F3" w:rsidP="00EA6155">
      <w:pPr>
        <w:pStyle w:val="2"/>
      </w:pPr>
      <w:r w:rsidRPr="00EC18F3">
        <w:t>Export Controls and Regulatory Considerations</w:t>
      </w:r>
    </w:p>
    <w:p w14:paraId="066A70C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AI models increasingly intersect with international trade regulations and export controls.</w:t>
      </w:r>
    </w:p>
    <w:p w14:paraId="3C74C1C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these obligations generally arise from applicable law rather than model licenses themselves, organizations operating internationally should recognize that licensing compliance represents only one component of broader regulatory compliance.</w:t>
      </w:r>
    </w:p>
    <w:p w14:paraId="663AE06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Deployment architecture, hosting location, customer geography, and data residency may introduce additional legal considerations beyond the model license.</w:t>
      </w:r>
    </w:p>
    <w:p w14:paraId="7BC0E6CD" w14:textId="77777777" w:rsidR="00EC18F3" w:rsidRPr="00EC18F3" w:rsidRDefault="00EC18F3" w:rsidP="00EC18F3">
      <w:pPr>
        <w:spacing w:after="0"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pict w14:anchorId="4D0FDD7C">
          <v:rect id="_x0000_i1238" style="width:0;height:1.5pt" o:hralign="center" o:hrstd="t" o:hr="t" fillcolor="#a0a0a0" stroked="f"/>
        </w:pict>
      </w:r>
    </w:p>
    <w:p w14:paraId="32633691" w14:textId="77777777" w:rsidR="00EC18F3" w:rsidRPr="00EC18F3" w:rsidRDefault="00EC18F3" w:rsidP="00EC18F3">
      <w:pPr>
        <w:pStyle w:val="1"/>
      </w:pPr>
      <w:r w:rsidRPr="00EC18F3">
        <w:t>4.3.4 Major AI Licenses</w:t>
      </w:r>
    </w:p>
    <w:p w14:paraId="2331285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Unlike traditional software ecosystems, the AI community currently employs a mixture of established software licenses, custom model licenses, research licenses, and responsible AI agreements.</w:t>
      </w:r>
    </w:p>
    <w:p w14:paraId="2FE4D53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Understanding their general characteristics helps platform engineers perform initial model evaluation before engaging legal specialists.</w:t>
      </w:r>
    </w:p>
    <w:p w14:paraId="78D46962" w14:textId="77777777" w:rsidR="00EC18F3" w:rsidRPr="00EC18F3" w:rsidRDefault="00EC18F3" w:rsidP="00EC18F3">
      <w:pPr>
        <w:pStyle w:val="2"/>
      </w:pPr>
      <w:r w:rsidRPr="00EC18F3">
        <w:t>Apache License 2.0</w:t>
      </w:r>
    </w:p>
    <w:p w14:paraId="07DBBC9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Apache 2.0 remains one of the most widely accepted licenses for commercial software.</w:t>
      </w:r>
    </w:p>
    <w:p w14:paraId="13DF3E48"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Its popularity stems from broad commercial permissions, patent protection, and relatively straightforward compliance requirements.</w:t>
      </w:r>
    </w:p>
    <w:p w14:paraId="76651DE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lastRenderedPageBreak/>
        <w:t>Several prominent open-weight model families have adopted Apache licensing for at least portions of their releases, making these models attractive for enterprise deployment.</w:t>
      </w:r>
    </w:p>
    <w:p w14:paraId="203A2222"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For platform teams, Apache-licensed models typically present the lowest licensing friction among widely adopted options.</w:t>
      </w:r>
    </w:p>
    <w:p w14:paraId="713C30C4" w14:textId="77777777" w:rsidR="00EC18F3" w:rsidRPr="00EC18F3" w:rsidRDefault="00EC18F3" w:rsidP="00EC18F3">
      <w:pPr>
        <w:pStyle w:val="2"/>
      </w:pPr>
      <w:r w:rsidRPr="00EC18F3">
        <w:t>MIT and BSD Licenses</w:t>
      </w:r>
    </w:p>
    <w:p w14:paraId="2D27B4C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MIT and BSD licenses are highly permissive software licenses emphasizing simplicity.</w:t>
      </w:r>
    </w:p>
    <w:p w14:paraId="6750285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less common for complete foundation model releases than Apache 2.0, they frequently govern supporting software projects such as tokenizers, utilities, evaluation tools, and machine learning libraries.</w:t>
      </w:r>
    </w:p>
    <w:p w14:paraId="0929565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Their permissive nature generally simplifies integration into commercial products.</w:t>
      </w:r>
    </w:p>
    <w:p w14:paraId="11E250A7" w14:textId="77777777" w:rsidR="00EC18F3" w:rsidRPr="00EC18F3" w:rsidRDefault="00EC18F3" w:rsidP="00EC18F3">
      <w:pPr>
        <w:pStyle w:val="2"/>
      </w:pPr>
      <w:r w:rsidRPr="00EC18F3">
        <w:t>Llama Community License</w:t>
      </w:r>
    </w:p>
    <w:p w14:paraId="323CD29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Meta introduced the Llama Community License specifically for the Llama model family.</w:t>
      </w:r>
    </w:p>
    <w:p w14:paraId="6268907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license permits broad commercial deployment but differs from traditional open-source licenses in several respects.</w:t>
      </w:r>
    </w:p>
    <w:p w14:paraId="607C5291"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It includes AI-specific terms governing redistribution, branding, and certain usage scenarios.</w:t>
      </w:r>
    </w:p>
    <w:p w14:paraId="1C787D3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Because the license has evolved across model generations, organizations should review the specific version associated with the intended release rather than assuming all Llama models share identical licensing conditions.</w:t>
      </w:r>
    </w:p>
    <w:p w14:paraId="55694A9A" w14:textId="77777777" w:rsidR="00EC18F3" w:rsidRPr="00EC18F3" w:rsidRDefault="00EC18F3" w:rsidP="00EC18F3">
      <w:pPr>
        <w:pStyle w:val="2"/>
      </w:pPr>
      <w:r w:rsidRPr="00EC18F3">
        <w:t>Gemma License</w:t>
      </w:r>
    </w:p>
    <w:p w14:paraId="435FCDB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Google distributes Gemma models under custom terms designed specifically for AI models.</w:t>
      </w:r>
    </w:p>
    <w:p w14:paraId="4D62A75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licenses generally support broad experimentation and commercial deployment while incorporating responsible AI provisions and usage expectations.</w:t>
      </w:r>
    </w:p>
    <w:p w14:paraId="5CB981C0"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As with other vendor-specific licenses, organizations should evaluate each release independently because terms may evolve over time.</w:t>
      </w:r>
    </w:p>
    <w:p w14:paraId="53B38CD9" w14:textId="77777777" w:rsidR="00EC18F3" w:rsidRPr="00EC18F3" w:rsidRDefault="00EC18F3" w:rsidP="00EC18F3">
      <w:pPr>
        <w:pStyle w:val="2"/>
      </w:pPr>
      <w:r w:rsidRPr="00EC18F3">
        <w:lastRenderedPageBreak/>
        <w:t>OpenRAIL Licenses</w:t>
      </w:r>
    </w:p>
    <w:p w14:paraId="2A2F4277"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Responsible AI License (RAIL) family represents an attempt to combine broad accessibility with explicit behavioral restrictions.</w:t>
      </w:r>
    </w:p>
    <w:p w14:paraId="72159CB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Unlike conventional software licenses, RAIL licenses frequently regulate downstream usage through acceptable use provisions.</w:t>
      </w:r>
    </w:p>
    <w:p w14:paraId="42299E8D"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Although originally associated with generative image models, RAIL-style licensing has influenced broader AI licensing discussions.</w:t>
      </w:r>
    </w:p>
    <w:p w14:paraId="51B4561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considering RAIL-governed models should evaluate both technical suitability and operational ability to comply with behavioral restrictions.</w:t>
      </w:r>
    </w:p>
    <w:p w14:paraId="0E58C75F" w14:textId="77777777" w:rsidR="00EC18F3" w:rsidRPr="00EC18F3" w:rsidRDefault="00EC18F3" w:rsidP="00EC18F3">
      <w:pPr>
        <w:pStyle w:val="2"/>
      </w:pPr>
      <w:r w:rsidRPr="00EC18F3">
        <w:t>Research Licenses</w:t>
      </w:r>
    </w:p>
    <w:p w14:paraId="7EE52E65"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Some models remain available primarily for academic or non-commercial research.</w:t>
      </w:r>
    </w:p>
    <w:p w14:paraId="3931E34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licenses often prohibit commercial deployment entirely or require separate commercial agreements.</w:t>
      </w:r>
    </w:p>
    <w:p w14:paraId="49EA2909"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While valuable for experimentation and benchmarking, research-only models generally should not be considered production candidates without careful licensing review.</w:t>
      </w:r>
    </w:p>
    <w:p w14:paraId="37352838" w14:textId="77777777" w:rsidR="00EC18F3" w:rsidRPr="00EC18F3" w:rsidRDefault="00EC18F3" w:rsidP="00EC18F3">
      <w:pPr>
        <w:pStyle w:val="2"/>
      </w:pPr>
      <w:r w:rsidRPr="00EC18F3">
        <w:t>Custom Vendor Licenses</w:t>
      </w:r>
    </w:p>
    <w:p w14:paraId="0D54C00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An increasing number of organizations publish model-specific licenses rather than adopting existing software licenses.</w:t>
      </w:r>
    </w:p>
    <w:p w14:paraId="0758155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These agreements often balance commercial accessibility with protection of intellectual property, responsible AI objectives, and ecosystem strategy.</w:t>
      </w:r>
    </w:p>
    <w:p w14:paraId="5937EFBE"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Consequently, no single licensing template currently dominates the open-weight ecosystem.</w:t>
      </w:r>
    </w:p>
    <w:p w14:paraId="51F521E4"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Organizations should expect licensing diversity to persist and incorporate license review into their standard model selection process.</w:t>
      </w:r>
    </w:p>
    <w:p w14:paraId="442207D0" w14:textId="77777777" w:rsidR="00EC18F3" w:rsidRPr="00384C38" w:rsidRDefault="00EC18F3" w:rsidP="00384C38">
      <w:pPr>
        <w:rPr>
          <w:rFonts w:ascii="Times New Roman" w:hAnsi="Times New Roman" w:cs="Times New Roman"/>
          <w:b/>
          <w:bCs/>
          <w:sz w:val="28"/>
          <w:szCs w:val="28"/>
        </w:rPr>
      </w:pPr>
      <w:r w:rsidRPr="00384C38">
        <w:rPr>
          <w:rFonts w:ascii="Times New Roman" w:hAnsi="Times New Roman" w:cs="Times New Roman"/>
          <w:b/>
          <w:bCs/>
          <w:sz w:val="28"/>
          <w:szCs w:val="28"/>
        </w:rPr>
        <w:t>Table 4.3. Comparison of Major AI Model Licenses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1267"/>
        <w:gridCol w:w="1451"/>
        <w:gridCol w:w="1294"/>
        <w:gridCol w:w="1176"/>
        <w:gridCol w:w="1339"/>
        <w:gridCol w:w="1606"/>
      </w:tblGrid>
      <w:tr w:rsidR="00EC18F3" w:rsidRPr="00EC18F3" w14:paraId="100AB465" w14:textId="77777777" w:rsidTr="00EC18F3">
        <w:trPr>
          <w:tblHeader/>
          <w:tblCellSpacing w:w="15" w:type="dxa"/>
        </w:trPr>
        <w:tc>
          <w:tcPr>
            <w:tcW w:w="0" w:type="auto"/>
            <w:vAlign w:val="center"/>
            <w:hideMark/>
          </w:tcPr>
          <w:p w14:paraId="68928430"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lastRenderedPageBreak/>
              <w:t>License</w:t>
            </w:r>
          </w:p>
        </w:tc>
        <w:tc>
          <w:tcPr>
            <w:tcW w:w="0" w:type="auto"/>
            <w:vAlign w:val="center"/>
            <w:hideMark/>
          </w:tcPr>
          <w:p w14:paraId="57E6062B"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t>Commercial Use</w:t>
            </w:r>
          </w:p>
        </w:tc>
        <w:tc>
          <w:tcPr>
            <w:tcW w:w="0" w:type="auto"/>
            <w:vAlign w:val="center"/>
            <w:hideMark/>
          </w:tcPr>
          <w:p w14:paraId="2E878C91"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t>Redistribution</w:t>
            </w:r>
          </w:p>
        </w:tc>
        <w:tc>
          <w:tcPr>
            <w:tcW w:w="0" w:type="auto"/>
            <w:vAlign w:val="center"/>
            <w:hideMark/>
          </w:tcPr>
          <w:p w14:paraId="21287490"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t>Modification</w:t>
            </w:r>
          </w:p>
        </w:tc>
        <w:tc>
          <w:tcPr>
            <w:tcW w:w="0" w:type="auto"/>
            <w:vAlign w:val="center"/>
            <w:hideMark/>
          </w:tcPr>
          <w:p w14:paraId="280C82A5"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t>Attribution</w:t>
            </w:r>
          </w:p>
        </w:tc>
        <w:tc>
          <w:tcPr>
            <w:tcW w:w="0" w:type="auto"/>
            <w:vAlign w:val="center"/>
            <w:hideMark/>
          </w:tcPr>
          <w:p w14:paraId="02FCAE9D"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t>Typical Users</w:t>
            </w:r>
          </w:p>
        </w:tc>
        <w:tc>
          <w:tcPr>
            <w:tcW w:w="0" w:type="auto"/>
            <w:vAlign w:val="center"/>
            <w:hideMark/>
          </w:tcPr>
          <w:p w14:paraId="32C37921" w14:textId="77777777" w:rsidR="00EC18F3" w:rsidRPr="00EC18F3" w:rsidRDefault="00EC18F3" w:rsidP="00EC18F3">
            <w:pPr>
              <w:spacing w:after="0" w:line="240" w:lineRule="auto"/>
              <w:jc w:val="center"/>
              <w:rPr>
                <w:rFonts w:ascii="Times New Roman" w:eastAsia="Times New Roman" w:hAnsi="Times New Roman" w:cs="Times New Roman"/>
                <w:b/>
                <w:bCs/>
              </w:rPr>
            </w:pPr>
            <w:r w:rsidRPr="00EC18F3">
              <w:rPr>
                <w:rFonts w:ascii="Times New Roman" w:eastAsia="Times New Roman" w:hAnsi="Times New Roman" w:cs="Times New Roman"/>
                <w:b/>
                <w:bCs/>
              </w:rPr>
              <w:t>Important Characteristics and Restrictions</w:t>
            </w:r>
          </w:p>
        </w:tc>
      </w:tr>
      <w:tr w:rsidR="00EC18F3" w:rsidRPr="00EC18F3" w14:paraId="04C45236" w14:textId="77777777" w:rsidTr="00EC18F3">
        <w:trPr>
          <w:tblCellSpacing w:w="15" w:type="dxa"/>
        </w:trPr>
        <w:tc>
          <w:tcPr>
            <w:tcW w:w="0" w:type="auto"/>
            <w:vAlign w:val="center"/>
            <w:hideMark/>
          </w:tcPr>
          <w:p w14:paraId="05B7432A"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Apache License 2.0</w:t>
            </w:r>
          </w:p>
        </w:tc>
        <w:tc>
          <w:tcPr>
            <w:tcW w:w="0" w:type="auto"/>
            <w:vAlign w:val="center"/>
            <w:hideMark/>
          </w:tcPr>
          <w:p w14:paraId="629845C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Broadly permitted</w:t>
            </w:r>
          </w:p>
        </w:tc>
        <w:tc>
          <w:tcPr>
            <w:tcW w:w="0" w:type="auto"/>
            <w:vAlign w:val="center"/>
            <w:hideMark/>
          </w:tcPr>
          <w:p w14:paraId="06B99A85"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 under license terms</w:t>
            </w:r>
          </w:p>
        </w:tc>
        <w:tc>
          <w:tcPr>
            <w:tcW w:w="0" w:type="auto"/>
            <w:vAlign w:val="center"/>
            <w:hideMark/>
          </w:tcPr>
          <w:p w14:paraId="19698EC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w:t>
            </w:r>
          </w:p>
        </w:tc>
        <w:tc>
          <w:tcPr>
            <w:tcW w:w="0" w:type="auto"/>
            <w:vAlign w:val="center"/>
            <w:hideMark/>
          </w:tcPr>
          <w:p w14:paraId="01970D1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Required through preservation of notices</w:t>
            </w:r>
          </w:p>
        </w:tc>
        <w:tc>
          <w:tcPr>
            <w:tcW w:w="0" w:type="auto"/>
            <w:vAlign w:val="center"/>
            <w:hideMark/>
          </w:tcPr>
          <w:p w14:paraId="1ADDBF9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Software projects, some open-weight model families</w:t>
            </w:r>
          </w:p>
        </w:tc>
        <w:tc>
          <w:tcPr>
            <w:tcW w:w="0" w:type="auto"/>
            <w:vAlign w:val="center"/>
            <w:hideMark/>
          </w:tcPr>
          <w:p w14:paraId="480BB8FB"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Highly permissive; includes explicit patent grant; widely accepted for enterprise software and AI tooling</w:t>
            </w:r>
          </w:p>
        </w:tc>
      </w:tr>
      <w:tr w:rsidR="00EC18F3" w:rsidRPr="00EC18F3" w14:paraId="318E1A0D" w14:textId="77777777" w:rsidTr="00EC18F3">
        <w:trPr>
          <w:tblCellSpacing w:w="15" w:type="dxa"/>
        </w:trPr>
        <w:tc>
          <w:tcPr>
            <w:tcW w:w="0" w:type="auto"/>
            <w:vAlign w:val="center"/>
            <w:hideMark/>
          </w:tcPr>
          <w:p w14:paraId="7A929551"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MIT License</w:t>
            </w:r>
          </w:p>
        </w:tc>
        <w:tc>
          <w:tcPr>
            <w:tcW w:w="0" w:type="auto"/>
            <w:vAlign w:val="center"/>
            <w:hideMark/>
          </w:tcPr>
          <w:p w14:paraId="64772B00"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Broadly permitted</w:t>
            </w:r>
          </w:p>
        </w:tc>
        <w:tc>
          <w:tcPr>
            <w:tcW w:w="0" w:type="auto"/>
            <w:vAlign w:val="center"/>
            <w:hideMark/>
          </w:tcPr>
          <w:p w14:paraId="4AB9927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w:t>
            </w:r>
          </w:p>
        </w:tc>
        <w:tc>
          <w:tcPr>
            <w:tcW w:w="0" w:type="auto"/>
            <w:vAlign w:val="center"/>
            <w:hideMark/>
          </w:tcPr>
          <w:p w14:paraId="4C34B58C"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w:t>
            </w:r>
          </w:p>
        </w:tc>
        <w:tc>
          <w:tcPr>
            <w:tcW w:w="0" w:type="auto"/>
            <w:vAlign w:val="center"/>
            <w:hideMark/>
          </w:tcPr>
          <w:p w14:paraId="1D259F4B"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Copyright notice required</w:t>
            </w:r>
          </w:p>
        </w:tc>
        <w:tc>
          <w:tcPr>
            <w:tcW w:w="0" w:type="auto"/>
            <w:vAlign w:val="center"/>
            <w:hideMark/>
          </w:tcPr>
          <w:p w14:paraId="475CB525"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Libraries, utilities, supporting AI software</w:t>
            </w:r>
          </w:p>
        </w:tc>
        <w:tc>
          <w:tcPr>
            <w:tcW w:w="0" w:type="auto"/>
            <w:vAlign w:val="center"/>
            <w:hideMark/>
          </w:tcPr>
          <w:p w14:paraId="4A9E2F6C"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Extremely permissive and concise; minimal compliance obligations</w:t>
            </w:r>
          </w:p>
        </w:tc>
      </w:tr>
      <w:tr w:rsidR="00EC18F3" w:rsidRPr="00EC18F3" w14:paraId="3C5A3444" w14:textId="77777777" w:rsidTr="00EC18F3">
        <w:trPr>
          <w:tblCellSpacing w:w="15" w:type="dxa"/>
        </w:trPr>
        <w:tc>
          <w:tcPr>
            <w:tcW w:w="0" w:type="auto"/>
            <w:vAlign w:val="center"/>
            <w:hideMark/>
          </w:tcPr>
          <w:p w14:paraId="338A3A11"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BSD Licenses (2-Clause/3-Clause)</w:t>
            </w:r>
          </w:p>
        </w:tc>
        <w:tc>
          <w:tcPr>
            <w:tcW w:w="0" w:type="auto"/>
            <w:vAlign w:val="center"/>
            <w:hideMark/>
          </w:tcPr>
          <w:p w14:paraId="58E273BE"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Broadly permitted</w:t>
            </w:r>
          </w:p>
        </w:tc>
        <w:tc>
          <w:tcPr>
            <w:tcW w:w="0" w:type="auto"/>
            <w:vAlign w:val="center"/>
            <w:hideMark/>
          </w:tcPr>
          <w:p w14:paraId="027F2A80"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w:t>
            </w:r>
          </w:p>
        </w:tc>
        <w:tc>
          <w:tcPr>
            <w:tcW w:w="0" w:type="auto"/>
            <w:vAlign w:val="center"/>
            <w:hideMark/>
          </w:tcPr>
          <w:p w14:paraId="638E283F"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w:t>
            </w:r>
          </w:p>
        </w:tc>
        <w:tc>
          <w:tcPr>
            <w:tcW w:w="0" w:type="auto"/>
            <w:vAlign w:val="center"/>
            <w:hideMark/>
          </w:tcPr>
          <w:p w14:paraId="5FAAD81F"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Copyright notice required</w:t>
            </w:r>
          </w:p>
        </w:tc>
        <w:tc>
          <w:tcPr>
            <w:tcW w:w="0" w:type="auto"/>
            <w:vAlign w:val="center"/>
            <w:hideMark/>
          </w:tcPr>
          <w:p w14:paraId="383208EF"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Infrastructure software, research projects</w:t>
            </w:r>
          </w:p>
        </w:tc>
        <w:tc>
          <w:tcPr>
            <w:tcW w:w="0" w:type="auto"/>
            <w:vAlign w:val="center"/>
            <w:hideMark/>
          </w:tcPr>
          <w:p w14:paraId="728D935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Similar to MIT with minor variations regarding attribution and endorsement</w:t>
            </w:r>
          </w:p>
        </w:tc>
      </w:tr>
      <w:tr w:rsidR="00EC18F3" w:rsidRPr="00EC18F3" w14:paraId="71B844C5" w14:textId="77777777" w:rsidTr="00EC18F3">
        <w:trPr>
          <w:tblCellSpacing w:w="15" w:type="dxa"/>
        </w:trPr>
        <w:tc>
          <w:tcPr>
            <w:tcW w:w="0" w:type="auto"/>
            <w:vAlign w:val="center"/>
            <w:hideMark/>
          </w:tcPr>
          <w:p w14:paraId="6B93EF70"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Llama Community License</w:t>
            </w:r>
          </w:p>
        </w:tc>
        <w:tc>
          <w:tcPr>
            <w:tcW w:w="0" w:type="auto"/>
            <w:vAlign w:val="center"/>
            <w:hideMark/>
          </w:tcPr>
          <w:p w14:paraId="25559A9E"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Generally permitted subject to license terms</w:t>
            </w:r>
          </w:p>
        </w:tc>
        <w:tc>
          <w:tcPr>
            <w:tcW w:w="0" w:type="auto"/>
            <w:vAlign w:val="center"/>
            <w:hideMark/>
          </w:tcPr>
          <w:p w14:paraId="60196DD9"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 under specified conditions</w:t>
            </w:r>
          </w:p>
        </w:tc>
        <w:tc>
          <w:tcPr>
            <w:tcW w:w="0" w:type="auto"/>
            <w:vAlign w:val="center"/>
            <w:hideMark/>
          </w:tcPr>
          <w:p w14:paraId="4A97FE7D"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 within license conditions</w:t>
            </w:r>
          </w:p>
        </w:tc>
        <w:tc>
          <w:tcPr>
            <w:tcW w:w="0" w:type="auto"/>
            <w:vAlign w:val="center"/>
            <w:hideMark/>
          </w:tcPr>
          <w:p w14:paraId="440AE763"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Required where specified</w:t>
            </w:r>
          </w:p>
        </w:tc>
        <w:tc>
          <w:tcPr>
            <w:tcW w:w="0" w:type="auto"/>
            <w:vAlign w:val="center"/>
            <w:hideMark/>
          </w:tcPr>
          <w:p w14:paraId="715BA2F8"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Organizations deploying Llama models</w:t>
            </w:r>
          </w:p>
        </w:tc>
        <w:tc>
          <w:tcPr>
            <w:tcW w:w="0" w:type="auto"/>
            <w:vAlign w:val="center"/>
            <w:hideMark/>
          </w:tcPr>
          <w:p w14:paraId="6387F469"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AI-specific license with provisions beyond conventional open-source software; terms vary by release</w:t>
            </w:r>
          </w:p>
        </w:tc>
      </w:tr>
      <w:tr w:rsidR="00EC18F3" w:rsidRPr="00EC18F3" w14:paraId="3E26EF4F" w14:textId="77777777" w:rsidTr="00EC18F3">
        <w:trPr>
          <w:tblCellSpacing w:w="15" w:type="dxa"/>
        </w:trPr>
        <w:tc>
          <w:tcPr>
            <w:tcW w:w="0" w:type="auto"/>
            <w:vAlign w:val="center"/>
            <w:hideMark/>
          </w:tcPr>
          <w:p w14:paraId="45333799"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Gemma License</w:t>
            </w:r>
          </w:p>
        </w:tc>
        <w:tc>
          <w:tcPr>
            <w:tcW w:w="0" w:type="auto"/>
            <w:vAlign w:val="center"/>
            <w:hideMark/>
          </w:tcPr>
          <w:p w14:paraId="58E8B023"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Generally supports commercial deployment subject to terms</w:t>
            </w:r>
          </w:p>
        </w:tc>
        <w:tc>
          <w:tcPr>
            <w:tcW w:w="0" w:type="auto"/>
            <w:vAlign w:val="center"/>
            <w:hideMark/>
          </w:tcPr>
          <w:p w14:paraId="71BA1A7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Governed by model-specific terms</w:t>
            </w:r>
          </w:p>
        </w:tc>
        <w:tc>
          <w:tcPr>
            <w:tcW w:w="0" w:type="auto"/>
            <w:vAlign w:val="center"/>
            <w:hideMark/>
          </w:tcPr>
          <w:p w14:paraId="0B96025A"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Permitted under applicable conditions</w:t>
            </w:r>
          </w:p>
        </w:tc>
        <w:tc>
          <w:tcPr>
            <w:tcW w:w="0" w:type="auto"/>
            <w:vAlign w:val="center"/>
            <w:hideMark/>
          </w:tcPr>
          <w:p w14:paraId="14E4F650"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As specified</w:t>
            </w:r>
          </w:p>
        </w:tc>
        <w:tc>
          <w:tcPr>
            <w:tcW w:w="0" w:type="auto"/>
            <w:vAlign w:val="center"/>
            <w:hideMark/>
          </w:tcPr>
          <w:p w14:paraId="2ECA16B5"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Organizations deploying Gemma models</w:t>
            </w:r>
          </w:p>
        </w:tc>
        <w:tc>
          <w:tcPr>
            <w:tcW w:w="0" w:type="auto"/>
            <w:vAlign w:val="center"/>
            <w:hideMark/>
          </w:tcPr>
          <w:p w14:paraId="19D5E7B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Custom AI license emphasizing responsible use and model-specific obligations</w:t>
            </w:r>
          </w:p>
        </w:tc>
      </w:tr>
      <w:tr w:rsidR="00EC18F3" w:rsidRPr="00EC18F3" w14:paraId="58BDFC7A" w14:textId="77777777" w:rsidTr="00EC18F3">
        <w:trPr>
          <w:tblCellSpacing w:w="15" w:type="dxa"/>
        </w:trPr>
        <w:tc>
          <w:tcPr>
            <w:tcW w:w="0" w:type="auto"/>
            <w:vAlign w:val="center"/>
            <w:hideMark/>
          </w:tcPr>
          <w:p w14:paraId="76B77A65"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OpenRAIL Variants</w:t>
            </w:r>
          </w:p>
        </w:tc>
        <w:tc>
          <w:tcPr>
            <w:tcW w:w="0" w:type="auto"/>
            <w:vAlign w:val="center"/>
            <w:hideMark/>
          </w:tcPr>
          <w:p w14:paraId="77DF6694"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Depends on specific license</w:t>
            </w:r>
          </w:p>
        </w:tc>
        <w:tc>
          <w:tcPr>
            <w:tcW w:w="0" w:type="auto"/>
            <w:vAlign w:val="center"/>
            <w:hideMark/>
          </w:tcPr>
          <w:p w14:paraId="506F3F90"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Usually permitted with conditions</w:t>
            </w:r>
          </w:p>
        </w:tc>
        <w:tc>
          <w:tcPr>
            <w:tcW w:w="0" w:type="auto"/>
            <w:vAlign w:val="center"/>
            <w:hideMark/>
          </w:tcPr>
          <w:p w14:paraId="56E664A2"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Generally permitted</w:t>
            </w:r>
          </w:p>
        </w:tc>
        <w:tc>
          <w:tcPr>
            <w:tcW w:w="0" w:type="auto"/>
            <w:vAlign w:val="center"/>
            <w:hideMark/>
          </w:tcPr>
          <w:p w14:paraId="5FAF753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Usually required</w:t>
            </w:r>
          </w:p>
        </w:tc>
        <w:tc>
          <w:tcPr>
            <w:tcW w:w="0" w:type="auto"/>
            <w:vAlign w:val="center"/>
            <w:hideMark/>
          </w:tcPr>
          <w:p w14:paraId="69309B11"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Research organizations, generative AI projects</w:t>
            </w:r>
          </w:p>
        </w:tc>
        <w:tc>
          <w:tcPr>
            <w:tcW w:w="0" w:type="auto"/>
            <w:vAlign w:val="center"/>
            <w:hideMark/>
          </w:tcPr>
          <w:p w14:paraId="08B9BE16"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Introduces behavioral restrictions through responsible AI provisions rather than relying solely on copyright permissions</w:t>
            </w:r>
          </w:p>
        </w:tc>
      </w:tr>
      <w:tr w:rsidR="00EC18F3" w:rsidRPr="00EC18F3" w14:paraId="1555BD28" w14:textId="77777777" w:rsidTr="00EC18F3">
        <w:trPr>
          <w:tblCellSpacing w:w="15" w:type="dxa"/>
        </w:trPr>
        <w:tc>
          <w:tcPr>
            <w:tcW w:w="0" w:type="auto"/>
            <w:vAlign w:val="center"/>
            <w:hideMark/>
          </w:tcPr>
          <w:p w14:paraId="0B8BADCA"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t>Research Licenses</w:t>
            </w:r>
          </w:p>
        </w:tc>
        <w:tc>
          <w:tcPr>
            <w:tcW w:w="0" w:type="auto"/>
            <w:vAlign w:val="center"/>
            <w:hideMark/>
          </w:tcPr>
          <w:p w14:paraId="0896CD3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Often prohibited or restricted</w:t>
            </w:r>
          </w:p>
        </w:tc>
        <w:tc>
          <w:tcPr>
            <w:tcW w:w="0" w:type="auto"/>
            <w:vAlign w:val="center"/>
            <w:hideMark/>
          </w:tcPr>
          <w:p w14:paraId="1C4B7E9D"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Frequently restricted</w:t>
            </w:r>
          </w:p>
        </w:tc>
        <w:tc>
          <w:tcPr>
            <w:tcW w:w="0" w:type="auto"/>
            <w:vAlign w:val="center"/>
            <w:hideMark/>
          </w:tcPr>
          <w:p w14:paraId="17451964"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Varies</w:t>
            </w:r>
          </w:p>
        </w:tc>
        <w:tc>
          <w:tcPr>
            <w:tcW w:w="0" w:type="auto"/>
            <w:vAlign w:val="center"/>
            <w:hideMark/>
          </w:tcPr>
          <w:p w14:paraId="50EBC853"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Usually required</w:t>
            </w:r>
          </w:p>
        </w:tc>
        <w:tc>
          <w:tcPr>
            <w:tcW w:w="0" w:type="auto"/>
            <w:vAlign w:val="center"/>
            <w:hideMark/>
          </w:tcPr>
          <w:p w14:paraId="0070FE6F"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Universities, research laboratories</w:t>
            </w:r>
          </w:p>
        </w:tc>
        <w:tc>
          <w:tcPr>
            <w:tcW w:w="0" w:type="auto"/>
            <w:vAlign w:val="center"/>
            <w:hideMark/>
          </w:tcPr>
          <w:p w14:paraId="09DD997B"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 xml:space="preserve">Intended primarily for academic research; commercial deployment may </w:t>
            </w:r>
            <w:r w:rsidRPr="00EC18F3">
              <w:rPr>
                <w:rFonts w:ascii="Times New Roman" w:eastAsia="Times New Roman" w:hAnsi="Times New Roman" w:cs="Times New Roman"/>
              </w:rPr>
              <w:lastRenderedPageBreak/>
              <w:t>require separate agreements</w:t>
            </w:r>
          </w:p>
        </w:tc>
      </w:tr>
      <w:tr w:rsidR="00EC18F3" w:rsidRPr="00EC18F3" w14:paraId="2B5C210D" w14:textId="77777777" w:rsidTr="00EC18F3">
        <w:trPr>
          <w:tblCellSpacing w:w="15" w:type="dxa"/>
        </w:trPr>
        <w:tc>
          <w:tcPr>
            <w:tcW w:w="0" w:type="auto"/>
            <w:vAlign w:val="center"/>
            <w:hideMark/>
          </w:tcPr>
          <w:p w14:paraId="154672BA"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b/>
                <w:bCs/>
              </w:rPr>
              <w:lastRenderedPageBreak/>
              <w:t>Custom Vendor Licenses</w:t>
            </w:r>
          </w:p>
        </w:tc>
        <w:tc>
          <w:tcPr>
            <w:tcW w:w="0" w:type="auto"/>
            <w:vAlign w:val="center"/>
            <w:hideMark/>
          </w:tcPr>
          <w:p w14:paraId="4AABF47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Determined individually</w:t>
            </w:r>
          </w:p>
        </w:tc>
        <w:tc>
          <w:tcPr>
            <w:tcW w:w="0" w:type="auto"/>
            <w:vAlign w:val="center"/>
            <w:hideMark/>
          </w:tcPr>
          <w:p w14:paraId="41CE65D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Determined individually</w:t>
            </w:r>
          </w:p>
        </w:tc>
        <w:tc>
          <w:tcPr>
            <w:tcW w:w="0" w:type="auto"/>
            <w:vAlign w:val="center"/>
            <w:hideMark/>
          </w:tcPr>
          <w:p w14:paraId="2625BAC7"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Determined individually</w:t>
            </w:r>
          </w:p>
        </w:tc>
        <w:tc>
          <w:tcPr>
            <w:tcW w:w="0" w:type="auto"/>
            <w:vAlign w:val="center"/>
            <w:hideMark/>
          </w:tcPr>
          <w:p w14:paraId="107B3DB0"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Determined individually</w:t>
            </w:r>
          </w:p>
        </w:tc>
        <w:tc>
          <w:tcPr>
            <w:tcW w:w="0" w:type="auto"/>
            <w:vAlign w:val="center"/>
            <w:hideMark/>
          </w:tcPr>
          <w:p w14:paraId="62FA30CC"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Commercial model developers</w:t>
            </w:r>
          </w:p>
        </w:tc>
        <w:tc>
          <w:tcPr>
            <w:tcW w:w="0" w:type="auto"/>
            <w:vAlign w:val="center"/>
            <w:hideMark/>
          </w:tcPr>
          <w:p w14:paraId="332EF43A" w14:textId="77777777" w:rsidR="00EC18F3" w:rsidRPr="00EC18F3" w:rsidRDefault="00EC18F3" w:rsidP="00EC18F3">
            <w:pPr>
              <w:spacing w:after="0" w:line="240" w:lineRule="auto"/>
              <w:rPr>
                <w:rFonts w:ascii="Times New Roman" w:eastAsia="Times New Roman" w:hAnsi="Times New Roman" w:cs="Times New Roman"/>
              </w:rPr>
            </w:pPr>
            <w:r w:rsidRPr="00EC18F3">
              <w:rPr>
                <w:rFonts w:ascii="Times New Roman" w:eastAsia="Times New Roman" w:hAnsi="Times New Roman" w:cs="Times New Roman"/>
              </w:rPr>
              <w:t>Must be reviewed individually; no standardized terms exist across vendors</w:t>
            </w:r>
          </w:p>
        </w:tc>
      </w:tr>
    </w:tbl>
    <w:p w14:paraId="086CAA3F"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table should be interpreted as a high-level engineering reference rather than a substitute for legal review. Individual releases within the same model family may adopt revised licensing terms, and organizations should always evaluate the specific license accompanying the version selected for deployment.</w:t>
      </w:r>
    </w:p>
    <w:p w14:paraId="4BCBE10B"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Licensing is ultimately a risk management activity. Selecting a model solely because it delivers superior benchmark performance while overlooking licensing obligations can create significant operational, legal, and commercial challenges later in the platform lifecycle. Conversely, organizations that incorporate licensing review into their architectural evaluation process are better positioned to deploy models that remain sustainable as products evolve, regulations mature, and AI ecosystems continue to diversify.</w:t>
      </w:r>
    </w:p>
    <w:p w14:paraId="678538A3" w14:textId="77777777" w:rsidR="00EC18F3" w:rsidRPr="00EC18F3" w:rsidRDefault="00EC18F3" w:rsidP="00EC18F3">
      <w:pPr>
        <w:spacing w:before="100" w:beforeAutospacing="1" w:after="100" w:afterAutospacing="1" w:line="240" w:lineRule="auto"/>
        <w:rPr>
          <w:rFonts w:ascii="Times New Roman" w:eastAsia="Times New Roman" w:hAnsi="Times New Roman" w:cs="Times New Roman"/>
          <w:sz w:val="28"/>
          <w:szCs w:val="28"/>
        </w:rPr>
      </w:pPr>
      <w:r w:rsidRPr="00EC18F3">
        <w:rPr>
          <w:rFonts w:ascii="Times New Roman" w:eastAsia="Times New Roman" w:hAnsi="Times New Roman" w:cs="Times New Roman"/>
          <w:sz w:val="28"/>
          <w:szCs w:val="28"/>
        </w:rPr>
        <w:t>The next sections build upon this legal foundation by examining how engineers evaluate model quality, interpret benchmark results, and compare competing models using evidence rather than marketing claims.</w:t>
      </w:r>
    </w:p>
    <w:p w14:paraId="06CA6EA4" w14:textId="77777777" w:rsidR="00384C38" w:rsidRPr="00384C38" w:rsidRDefault="00384C38" w:rsidP="00384C38">
      <w:pPr>
        <w:pStyle w:val="1"/>
      </w:pPr>
      <w:r w:rsidRPr="00384C38">
        <w:t>4.4 Evaluating Model Quality</w:t>
      </w:r>
    </w:p>
    <w:p w14:paraId="1F03417A"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Selecting a foundation model is ultimately an exercise in evidence-based engineering. While architecture, licensing, hardware compatibility, and ecosystem maturity determine whether a model can be deployed successfully, model evaluation determines whether it is capable of solving the intended problem with sufficient quality. Without systematic evaluation, model selection becomes driven by marketing announcements, benchmark leaderboards, anecdotal reports, or individual preference rather than measurable engineering evidence.</w:t>
      </w:r>
    </w:p>
    <w:p w14:paraId="5AF3AC20"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The rapid pace of AI development has intensified this challenge. New models are released every few weeks, often accompanied by benchmark tables claiming state-of-the-art performance across dozens of tasks. These announcements frequently compare models using different evaluation settings, prompt templates, decoding parameters, or unpublished methodologies. Some benchmark improvements represent genuine advances in capability, while others result from optimization for specific leaderboards or changes in evaluation protocols. Consequently, platform </w:t>
      </w:r>
      <w:r w:rsidRPr="00384C38">
        <w:rPr>
          <w:rFonts w:ascii="Times New Roman" w:eastAsia="Times New Roman" w:hAnsi="Times New Roman" w:cs="Times New Roman"/>
          <w:sz w:val="28"/>
          <w:szCs w:val="28"/>
        </w:rPr>
        <w:lastRenderedPageBreak/>
        <w:t>engineers should approach published benchmark numbers with the same level of scrutiny applied to performance claims for distributed databases, networking equipment, or storage systems.</w:t>
      </w:r>
    </w:p>
    <w:p w14:paraId="511F3A6A"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No single benchmark captures overall model quality. Language models perform many fundamentally different tasks, including reasoning, programming, mathematical problem solving, multilingual communication, information retrieval, summarization, structured output generation, document understanding, and conversational interaction. A model that performs exceptionally well on one category may perform only adequately on another. Therefore, production model selection should combine multiple sources of evidence, including public benchmarks, independent evaluations, internal testing, human assessment, and application-specific validation.</w:t>
      </w:r>
    </w:p>
    <w:p w14:paraId="3610D8D6"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The goal of this section is not to recommend particular leaderboards but to provide a framework for interpreting evaluation results critically. Rather than asking whether one model ranks above another on a public benchmark, platform engineers should ask whether the benchmark measures capabilities that matter for the intended production workload.</w:t>
      </w:r>
    </w:p>
    <w:p w14:paraId="3F5B6BE6" w14:textId="77777777" w:rsidR="00384C38" w:rsidRPr="00384C38" w:rsidRDefault="00384C38" w:rsidP="00384C38">
      <w:pPr>
        <w:spacing w:after="0"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pict w14:anchorId="66B7FB08">
          <v:rect id="_x0000_i1278" style="width:0;height:1.5pt" o:hralign="center" o:hrstd="t" o:hr="t" fillcolor="#a0a0a0" stroked="f"/>
        </w:pict>
      </w:r>
    </w:p>
    <w:p w14:paraId="31472E72" w14:textId="77777777" w:rsidR="00384C38" w:rsidRPr="00384C38" w:rsidRDefault="00384C38" w:rsidP="00384C38">
      <w:pPr>
        <w:pStyle w:val="1"/>
      </w:pPr>
      <w:r w:rsidRPr="00384C38">
        <w:t>4.4.1 Why Benchmarks Can Be Misleading</w:t>
      </w:r>
    </w:p>
    <w:p w14:paraId="12CDA7BB"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Benchmarks have long been an essential tool in computer science. Standardized datasets enable researchers and practitioners to compare systems under consistent conditions, identify architectural improvements, and measure progress over time. Similar principles apply to foundation models. Public benchmarks provide valuable information about language understanding, reasoning ability, coding performance, mathematical competence, and other capabilities.</w:t>
      </w:r>
    </w:p>
    <w:p w14:paraId="76A85C04"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However, benchmark scores should never be interpreted as direct measures of production quality.</w:t>
      </w:r>
    </w:p>
    <w:p w14:paraId="33DEF04D"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The first limitation is </w:t>
      </w:r>
      <w:r w:rsidRPr="00384C38">
        <w:rPr>
          <w:rFonts w:ascii="Times New Roman" w:eastAsia="Times New Roman" w:hAnsi="Times New Roman" w:cs="Times New Roman"/>
          <w:b/>
          <w:bCs/>
          <w:sz w:val="28"/>
          <w:szCs w:val="28"/>
        </w:rPr>
        <w:t>task specificity</w:t>
      </w:r>
      <w:r w:rsidRPr="00384C38">
        <w:rPr>
          <w:rFonts w:ascii="Times New Roman" w:eastAsia="Times New Roman" w:hAnsi="Times New Roman" w:cs="Times New Roman"/>
          <w:sz w:val="28"/>
          <w:szCs w:val="28"/>
        </w:rPr>
        <w:t>. Every benchmark measures a particular collection of tasks rather than general intelligence. HumanEval evaluates program synthesis, GPQA measures graduate-level scientific reasoning, and MMLU focuses on knowledge across academic disciplines. High performance on one benchmark does not imply equivalent performance across unrelated workloads.</w:t>
      </w:r>
    </w:p>
    <w:p w14:paraId="0AB594B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The second limitation is </w:t>
      </w:r>
      <w:r w:rsidRPr="00384C38">
        <w:rPr>
          <w:rFonts w:ascii="Times New Roman" w:eastAsia="Times New Roman" w:hAnsi="Times New Roman" w:cs="Times New Roman"/>
          <w:b/>
          <w:bCs/>
          <w:sz w:val="28"/>
          <w:szCs w:val="28"/>
        </w:rPr>
        <w:t>benchmark saturation</w:t>
      </w:r>
      <w:r w:rsidRPr="00384C38">
        <w:rPr>
          <w:rFonts w:ascii="Times New Roman" w:eastAsia="Times New Roman" w:hAnsi="Times New Roman" w:cs="Times New Roman"/>
          <w:sz w:val="28"/>
          <w:szCs w:val="28"/>
        </w:rPr>
        <w:t xml:space="preserve">. As benchmark datasets become widely used, model developers naturally optimize training procedures for those tasks. Improvements on mature benchmarks may therefore reflect increasing familiarity with the benchmark rather than broader improvements in reasoning or </w:t>
      </w:r>
      <w:r w:rsidRPr="00384C38">
        <w:rPr>
          <w:rFonts w:ascii="Times New Roman" w:eastAsia="Times New Roman" w:hAnsi="Times New Roman" w:cs="Times New Roman"/>
          <w:sz w:val="28"/>
          <w:szCs w:val="28"/>
        </w:rPr>
        <w:lastRenderedPageBreak/>
        <w:t>language understanding. This phenomenon is well known throughout machine learning and resembles overfitting in conventional predictive models.</w:t>
      </w:r>
    </w:p>
    <w:p w14:paraId="7316E2A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Closely related is </w:t>
      </w:r>
      <w:r w:rsidRPr="00384C38">
        <w:rPr>
          <w:rFonts w:ascii="Times New Roman" w:eastAsia="Times New Roman" w:hAnsi="Times New Roman" w:cs="Times New Roman"/>
          <w:b/>
          <w:bCs/>
          <w:sz w:val="28"/>
          <w:szCs w:val="28"/>
        </w:rPr>
        <w:t>benchmark contamination</w:t>
      </w:r>
      <w:r w:rsidRPr="00384C38">
        <w:rPr>
          <w:rFonts w:ascii="Times New Roman" w:eastAsia="Times New Roman" w:hAnsi="Times New Roman" w:cs="Times New Roman"/>
          <w:sz w:val="28"/>
          <w:szCs w:val="28"/>
        </w:rPr>
        <w:t>. Modern language models are trained on enormous datasets collected from publicly available sources. If benchmark questions—or close variations—appear within training data, evaluation results may partially measure memorization rather than genuine generalization. Although leading model developers increasingly attempt to avoid contamination, proving complete separation between training corpora and evaluation datasets remains extremely difficult.</w:t>
      </w:r>
    </w:p>
    <w:p w14:paraId="500321E0"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Another important consideration is </w:t>
      </w:r>
      <w:r w:rsidRPr="00384C38">
        <w:rPr>
          <w:rFonts w:ascii="Times New Roman" w:eastAsia="Times New Roman" w:hAnsi="Times New Roman" w:cs="Times New Roman"/>
          <w:b/>
          <w:bCs/>
          <w:sz w:val="28"/>
          <w:szCs w:val="28"/>
        </w:rPr>
        <w:t>evaluation methodology</w:t>
      </w:r>
      <w:r w:rsidRPr="00384C38">
        <w:rPr>
          <w:rFonts w:ascii="Times New Roman" w:eastAsia="Times New Roman" w:hAnsi="Times New Roman" w:cs="Times New Roman"/>
          <w:sz w:val="28"/>
          <w:szCs w:val="28"/>
        </w:rPr>
        <w:t>. Benchmark scores often depend on prompting strategy, decoding parameters, sampling temperature, reasoning mode, or post-processing techniques. Two organizations evaluating the same model may obtain different results despite using the same benchmark. Consequently, benchmark numbers should always be interpreted alongside documentation describing the evaluation protocol.</w:t>
      </w:r>
    </w:p>
    <w:p w14:paraId="2337612C"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Benchmark comparisons also become difficult because model developers frequently publish results using different versions of benchmarks. Dataset revisions, scoring criteria, and evaluation scripts evolve over time. Comparing scores obtained under different benchmark versions may produce misleading conclusions.</w:t>
      </w:r>
    </w:p>
    <w:p w14:paraId="1E97A3D0"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Finally, public benchmark reports rarely capture operational characteristics that matter in production environments. A model with excellent reasoning performance may exhibit unacceptable latency, poor multilingual behavior, inconsistent structured outputs, or unstable responses under extended conversations. None of these issues are necessarily visible through conventional academic benchmarks.</w:t>
      </w:r>
    </w:p>
    <w:p w14:paraId="3A741956"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For these reasons, benchmarks should be viewed as indicators rather than definitive measures of production suitability.</w:t>
      </w:r>
    </w:p>
    <w:p w14:paraId="12FCC99E" w14:textId="77777777" w:rsidR="00384C38" w:rsidRPr="00384C38" w:rsidRDefault="00384C38" w:rsidP="00384C38">
      <w:pPr>
        <w:spacing w:after="0"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pict w14:anchorId="3B265FDC">
          <v:rect id="_x0000_i1279" style="width:0;height:1.5pt" o:hralign="center" o:hrstd="t" o:hr="t" fillcolor="#a0a0a0" stroked="f"/>
        </w:pict>
      </w:r>
    </w:p>
    <w:p w14:paraId="06CF6FEB" w14:textId="77777777" w:rsidR="00384C38" w:rsidRPr="00384C38" w:rsidRDefault="00384C38" w:rsidP="00384C38">
      <w:pPr>
        <w:pStyle w:val="1"/>
      </w:pPr>
      <w:r w:rsidRPr="00384C38">
        <w:t>4.4.2 Common AI Benchmarks</w:t>
      </w:r>
    </w:p>
    <w:p w14:paraId="5F0542B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The modern evaluation ecosystem includes hundreds of benchmarks covering different aspects of language model capability. While new benchmarks continue to emerge, several have become widely recognized because they measure capabilities important for production AI systems.</w:t>
      </w:r>
    </w:p>
    <w:p w14:paraId="67DD5718" w14:textId="77777777" w:rsidR="00384C38" w:rsidRPr="00384C38" w:rsidRDefault="00384C38" w:rsidP="00384C38">
      <w:pPr>
        <w:pStyle w:val="2"/>
      </w:pPr>
      <w:r w:rsidRPr="00384C38">
        <w:lastRenderedPageBreak/>
        <w:t>MMLU</w:t>
      </w:r>
    </w:p>
    <w:p w14:paraId="31633426"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Massive Multitask Language Understanding (MMLU) evaluates knowledge across dozens of academic disciplines, including mathematics, history, law, biology, economics, computer science, medicine, and philosophy. Questions are typically multiple-choice and span undergraduate through professional-level subject matter.</w:t>
      </w:r>
    </w:p>
    <w:p w14:paraId="45D45605"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MMLU became one of the earliest comprehensive benchmarks for comparing general-purpose language models because it measures broad factual and conceptual knowledge rather than narrow task performance.</w:t>
      </w:r>
    </w:p>
    <w:p w14:paraId="7DF4CAD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For production engineering, MMLU is useful for estimating a model's overall knowledge base. However, it provides limited information regarding coding ability, conversational quality, document processing, or enterprise workflows. High MMLU performance should therefore be interpreted as one component of overall capability rather than a comprehensive quality indicator.</w:t>
      </w:r>
    </w:p>
    <w:p w14:paraId="33168FD2" w14:textId="77777777" w:rsidR="00384C38" w:rsidRPr="00384C38" w:rsidRDefault="00384C38" w:rsidP="00384C38">
      <w:pPr>
        <w:pStyle w:val="2"/>
      </w:pPr>
      <w:r w:rsidRPr="00384C38">
        <w:t>GPQA</w:t>
      </w:r>
    </w:p>
    <w:p w14:paraId="03982C8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Graduate-Level Google-Proof Q&amp;A (GPQA) focuses on difficult scientific reasoning questions intended to resist straightforward memorization or web search. Questions require reasoning across advanced domains such as biology, chemistry, and physics.</w:t>
      </w:r>
    </w:p>
    <w:p w14:paraId="7FF1FF13"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Compared with earlier benchmarks, GPQA places greater emphasis on reasoning rather than factual recall. Consequently, it has become particularly relevant for evaluating models marketed as reasoning-oriented systems.</w:t>
      </w:r>
    </w:p>
    <w:p w14:paraId="01D384A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Nevertheless, organizations deploying customer support assistants or document analysis platforms may derive relatively little value from improvements on GPQA if scientific reasoning is not central to their applications.</w:t>
      </w:r>
    </w:p>
    <w:p w14:paraId="2A949AD0" w14:textId="77777777" w:rsidR="00384C38" w:rsidRPr="00384C38" w:rsidRDefault="00384C38" w:rsidP="00384C38">
      <w:pPr>
        <w:pStyle w:val="2"/>
      </w:pPr>
      <w:r w:rsidRPr="00384C38">
        <w:t>HumanEval</w:t>
      </w:r>
    </w:p>
    <w:p w14:paraId="2203F47C"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HumanEval remains one of the most influential benchmarks for evaluating code generation. Models are asked to produce executable Python functions that satisfy predefined unit tests.</w:t>
      </w:r>
    </w:p>
    <w:p w14:paraId="0CC6F824"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Unlike multiple-choice evaluations, HumanEval measures whether generated code behaves correctly when executed.</w:t>
      </w:r>
    </w:p>
    <w:p w14:paraId="482A2E4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For engineering organizations building software development assistants, HumanEval provides valuable insight into code synthesis capability. However, it should not be interpreted as a complete assessment of software engineering competence. Modern development involves code comprehension, debugging, </w:t>
      </w:r>
      <w:r w:rsidRPr="00384C38">
        <w:rPr>
          <w:rFonts w:ascii="Times New Roman" w:eastAsia="Times New Roman" w:hAnsi="Times New Roman" w:cs="Times New Roman"/>
          <w:sz w:val="28"/>
          <w:szCs w:val="28"/>
        </w:rPr>
        <w:lastRenderedPageBreak/>
        <w:t>architecture, documentation, testing, and repository navigation—tasks extending well beyond isolated function generation.</w:t>
      </w:r>
    </w:p>
    <w:p w14:paraId="153F4D24" w14:textId="77777777" w:rsidR="00384C38" w:rsidRPr="00384C38" w:rsidRDefault="00384C38" w:rsidP="00384C38">
      <w:pPr>
        <w:pStyle w:val="2"/>
      </w:pPr>
      <w:r w:rsidRPr="00384C38">
        <w:t>SWE-bench</w:t>
      </w:r>
    </w:p>
    <w:p w14:paraId="387F19A6"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SWE-bench addresses many limitations of earlier coding benchmarks by evaluating whether language models can resolve actual issues drawn from open-source software repositories.</w:t>
      </w:r>
    </w:p>
    <w:p w14:paraId="7F07B849"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Rather than generating isolated code snippets, models must understand repository structure, modify existing code, and satisfy regression tests.</w:t>
      </w:r>
    </w:p>
    <w:p w14:paraId="6635D78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This benchmark more closely resembles real software engineering workflows and has become increasingly important for organizations evaluating AI-assisted software development tools.</w:t>
      </w:r>
    </w:p>
    <w:p w14:paraId="3A9B5959"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For platform engineers supporting internal coding assistants, SWE-bench generally provides more representative evidence than HumanEval alone.</w:t>
      </w:r>
    </w:p>
    <w:p w14:paraId="74BF8159" w14:textId="77777777" w:rsidR="00384C38" w:rsidRPr="00384C38" w:rsidRDefault="00384C38" w:rsidP="00384C38">
      <w:pPr>
        <w:pStyle w:val="2"/>
      </w:pPr>
      <w:r w:rsidRPr="00384C38">
        <w:t>MATH</w:t>
      </w:r>
    </w:p>
    <w:p w14:paraId="71D22140"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The MATH benchmark evaluates mathematical reasoning across algebra, geometry, probability, calculus, and other mathematical disciplines.</w:t>
      </w:r>
    </w:p>
    <w:p w14:paraId="25528013"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Unlike knowledge-oriented benchmarks, mathematical evaluation frequently requires multi-step reasoning rather than factual recall.</w:t>
      </w:r>
    </w:p>
    <w:p w14:paraId="69081B10"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Performance on mathematical benchmarks often correlates with broader reasoning capability, although domain-specific validation remains necessary for production applications.</w:t>
      </w:r>
    </w:p>
    <w:p w14:paraId="77031D8F" w14:textId="77777777" w:rsidR="00384C38" w:rsidRPr="00384C38" w:rsidRDefault="00384C38" w:rsidP="00384C38">
      <w:pPr>
        <w:pStyle w:val="2"/>
      </w:pPr>
      <w:r w:rsidRPr="00384C38">
        <w:t>MMMU</w:t>
      </w:r>
    </w:p>
    <w:p w14:paraId="4D91F49A"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Massive Multi-discipline Multimodal Understanding (MMMU) extends evaluation beyond text by incorporating visual reasoning tasks involving diagrams, charts, technical illustrations, and scientific figures.</w:t>
      </w:r>
    </w:p>
    <w:p w14:paraId="7361A94F"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As multimodal foundation models become increasingly common, benchmarks such as MMMU help quantify capabilities that text-only evaluations cannot capture.</w:t>
      </w:r>
    </w:p>
    <w:p w14:paraId="04A93516"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Organizations deploying document intelligence or image-assisted AI systems should therefore consider multimodal benchmarks alongside traditional language evaluations.</w:t>
      </w:r>
    </w:p>
    <w:p w14:paraId="6A664A5B" w14:textId="77777777" w:rsidR="00384C38" w:rsidRPr="00384C38" w:rsidRDefault="00384C38" w:rsidP="00384C38">
      <w:pPr>
        <w:pStyle w:val="2"/>
      </w:pPr>
      <w:r w:rsidRPr="00384C38">
        <w:lastRenderedPageBreak/>
        <w:t>LiveBench</w:t>
      </w:r>
    </w:p>
    <w:p w14:paraId="713F7C31"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One challenge affecting many established benchmarks is dataset contamination. LiveBench attempts to mitigate this problem by introducing continuously updated evaluation tasks that are less likely to have appeared during model training.</w:t>
      </w:r>
    </w:p>
    <w:p w14:paraId="2B8C5CA9"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Dynamic benchmark construction reduces the likelihood that improvements result primarily from memorization of fixed datasets.</w:t>
      </w:r>
    </w:p>
    <w:p w14:paraId="42CB98C9"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Although newer than many established benchmarks, LiveBench illustrates an important trend within the evaluation community: benchmark freshness has become increasingly valuable as language model training datasets continue to expand.</w:t>
      </w:r>
    </w:p>
    <w:p w14:paraId="17B1253F" w14:textId="77777777" w:rsidR="00384C38" w:rsidRPr="00384C38" w:rsidRDefault="00384C38" w:rsidP="00384C38">
      <w:pPr>
        <w:pStyle w:val="2"/>
      </w:pPr>
      <w:r w:rsidRPr="00384C38">
        <w:t>Arena-Style Evaluations</w:t>
      </w:r>
    </w:p>
    <w:p w14:paraId="01EEADA5"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Not all benchmarks rely on predefined question-answer datasets.</w:t>
      </w:r>
    </w:p>
    <w:p w14:paraId="3C88388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Arena-style evaluations compare models directly through human preference judgments. Evaluators receive responses generated by multiple anonymous models and select the output they consider superior.</w:t>
      </w:r>
    </w:p>
    <w:p w14:paraId="50EE8078"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This approach measures perceived response quality rather than objective correctness.</w:t>
      </w:r>
    </w:p>
    <w:p w14:paraId="68C3671D"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Arena-style evaluation often correlates well with user satisfaction for conversational systems, where readability, coherence, helpfulness, and tone contribute significantly to overall experience.</w:t>
      </w:r>
    </w:p>
    <w:p w14:paraId="2B57B67A"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However, preference-based evaluation should not replace objective correctness testing for domains involving factual accuracy, legal compliance, financial decisions, or software engineering.</w:t>
      </w:r>
    </w:p>
    <w:p w14:paraId="5F003239" w14:textId="77777777" w:rsidR="00384C38" w:rsidRPr="00384C38" w:rsidRDefault="00384C38" w:rsidP="00384C38">
      <w:pPr>
        <w:spacing w:after="0"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pict w14:anchorId="4A3861B9">
          <v:rect id="_x0000_i1280" style="width:0;height:1.5pt" o:hralign="center" o:hrstd="t" o:hr="t" fillcolor="#a0a0a0" stroked="f"/>
        </w:pict>
      </w:r>
    </w:p>
    <w:p w14:paraId="25938E9F" w14:textId="77777777" w:rsidR="00384C38" w:rsidRPr="00384C38" w:rsidRDefault="00384C38" w:rsidP="00384C38">
      <w:pPr>
        <w:rPr>
          <w:rFonts w:ascii="Times New Roman" w:hAnsi="Times New Roman" w:cs="Times New Roman"/>
          <w:b/>
          <w:bCs/>
          <w:sz w:val="28"/>
          <w:szCs w:val="28"/>
        </w:rPr>
      </w:pPr>
      <w:r w:rsidRPr="00384C38">
        <w:rPr>
          <w:rFonts w:ascii="Times New Roman" w:hAnsi="Times New Roman" w:cs="Times New Roman"/>
          <w:b/>
          <w:bCs/>
          <w:sz w:val="28"/>
          <w:szCs w:val="28"/>
        </w:rPr>
        <w:t>Table 4.4. Common AI Benchmarks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1690"/>
        <w:gridCol w:w="2055"/>
        <w:gridCol w:w="2226"/>
        <w:gridCol w:w="1988"/>
      </w:tblGrid>
      <w:tr w:rsidR="00384C38" w:rsidRPr="00384C38" w14:paraId="54DE7412" w14:textId="77777777" w:rsidTr="00384C38">
        <w:trPr>
          <w:tblHeader/>
          <w:tblCellSpacing w:w="15" w:type="dxa"/>
        </w:trPr>
        <w:tc>
          <w:tcPr>
            <w:tcW w:w="0" w:type="auto"/>
            <w:vAlign w:val="center"/>
            <w:hideMark/>
          </w:tcPr>
          <w:p w14:paraId="28D34267" w14:textId="77777777" w:rsidR="00384C38" w:rsidRPr="00384C38" w:rsidRDefault="00384C38" w:rsidP="00384C38">
            <w:pPr>
              <w:spacing w:after="0" w:line="240" w:lineRule="auto"/>
              <w:jc w:val="center"/>
              <w:rPr>
                <w:rFonts w:ascii="Times New Roman" w:eastAsia="Times New Roman" w:hAnsi="Times New Roman" w:cs="Times New Roman"/>
                <w:b/>
                <w:bCs/>
                <w:sz w:val="24"/>
                <w:szCs w:val="24"/>
              </w:rPr>
            </w:pPr>
            <w:r w:rsidRPr="00384C38">
              <w:rPr>
                <w:rFonts w:ascii="Times New Roman" w:eastAsia="Times New Roman" w:hAnsi="Times New Roman" w:cs="Times New Roman"/>
                <w:b/>
                <w:bCs/>
                <w:sz w:val="24"/>
                <w:szCs w:val="24"/>
              </w:rPr>
              <w:t>Benchmark</w:t>
            </w:r>
          </w:p>
        </w:tc>
        <w:tc>
          <w:tcPr>
            <w:tcW w:w="0" w:type="auto"/>
            <w:vAlign w:val="center"/>
            <w:hideMark/>
          </w:tcPr>
          <w:p w14:paraId="4BA73EB0" w14:textId="77777777" w:rsidR="00384C38" w:rsidRPr="00384C38" w:rsidRDefault="00384C38" w:rsidP="00384C38">
            <w:pPr>
              <w:spacing w:after="0" w:line="240" w:lineRule="auto"/>
              <w:jc w:val="center"/>
              <w:rPr>
                <w:rFonts w:ascii="Times New Roman" w:eastAsia="Times New Roman" w:hAnsi="Times New Roman" w:cs="Times New Roman"/>
                <w:b/>
                <w:bCs/>
                <w:sz w:val="24"/>
                <w:szCs w:val="24"/>
              </w:rPr>
            </w:pPr>
            <w:r w:rsidRPr="00384C38">
              <w:rPr>
                <w:rFonts w:ascii="Times New Roman" w:eastAsia="Times New Roman" w:hAnsi="Times New Roman" w:cs="Times New Roman"/>
                <w:b/>
                <w:bCs/>
                <w:sz w:val="24"/>
                <w:szCs w:val="24"/>
              </w:rPr>
              <w:t>Primary Capability Measured</w:t>
            </w:r>
          </w:p>
        </w:tc>
        <w:tc>
          <w:tcPr>
            <w:tcW w:w="0" w:type="auto"/>
            <w:vAlign w:val="center"/>
            <w:hideMark/>
          </w:tcPr>
          <w:p w14:paraId="6A1CB489" w14:textId="77777777" w:rsidR="00384C38" w:rsidRPr="00384C38" w:rsidRDefault="00384C38" w:rsidP="00384C38">
            <w:pPr>
              <w:spacing w:after="0" w:line="240" w:lineRule="auto"/>
              <w:jc w:val="center"/>
              <w:rPr>
                <w:rFonts w:ascii="Times New Roman" w:eastAsia="Times New Roman" w:hAnsi="Times New Roman" w:cs="Times New Roman"/>
                <w:b/>
                <w:bCs/>
                <w:sz w:val="24"/>
                <w:szCs w:val="24"/>
              </w:rPr>
            </w:pPr>
            <w:r w:rsidRPr="00384C38">
              <w:rPr>
                <w:rFonts w:ascii="Times New Roman" w:eastAsia="Times New Roman" w:hAnsi="Times New Roman" w:cs="Times New Roman"/>
                <w:b/>
                <w:bCs/>
                <w:sz w:val="24"/>
                <w:szCs w:val="24"/>
              </w:rPr>
              <w:t>Strengths</w:t>
            </w:r>
          </w:p>
        </w:tc>
        <w:tc>
          <w:tcPr>
            <w:tcW w:w="0" w:type="auto"/>
            <w:vAlign w:val="center"/>
            <w:hideMark/>
          </w:tcPr>
          <w:p w14:paraId="6A46DA5D" w14:textId="77777777" w:rsidR="00384C38" w:rsidRPr="00384C38" w:rsidRDefault="00384C38" w:rsidP="00384C38">
            <w:pPr>
              <w:spacing w:after="0" w:line="240" w:lineRule="auto"/>
              <w:jc w:val="center"/>
              <w:rPr>
                <w:rFonts w:ascii="Times New Roman" w:eastAsia="Times New Roman" w:hAnsi="Times New Roman" w:cs="Times New Roman"/>
                <w:b/>
                <w:bCs/>
                <w:sz w:val="24"/>
                <w:szCs w:val="24"/>
              </w:rPr>
            </w:pPr>
            <w:r w:rsidRPr="00384C38">
              <w:rPr>
                <w:rFonts w:ascii="Times New Roman" w:eastAsia="Times New Roman" w:hAnsi="Times New Roman" w:cs="Times New Roman"/>
                <w:b/>
                <w:bCs/>
                <w:sz w:val="24"/>
                <w:szCs w:val="24"/>
              </w:rPr>
              <w:t>Limitations</w:t>
            </w:r>
          </w:p>
        </w:tc>
        <w:tc>
          <w:tcPr>
            <w:tcW w:w="0" w:type="auto"/>
            <w:vAlign w:val="center"/>
            <w:hideMark/>
          </w:tcPr>
          <w:p w14:paraId="3B33FF85" w14:textId="77777777" w:rsidR="00384C38" w:rsidRPr="00384C38" w:rsidRDefault="00384C38" w:rsidP="00384C38">
            <w:pPr>
              <w:spacing w:after="0" w:line="240" w:lineRule="auto"/>
              <w:jc w:val="center"/>
              <w:rPr>
                <w:rFonts w:ascii="Times New Roman" w:eastAsia="Times New Roman" w:hAnsi="Times New Roman" w:cs="Times New Roman"/>
                <w:b/>
                <w:bCs/>
                <w:sz w:val="24"/>
                <w:szCs w:val="24"/>
              </w:rPr>
            </w:pPr>
            <w:r w:rsidRPr="00384C38">
              <w:rPr>
                <w:rFonts w:ascii="Times New Roman" w:eastAsia="Times New Roman" w:hAnsi="Times New Roman" w:cs="Times New Roman"/>
                <w:b/>
                <w:bCs/>
                <w:sz w:val="24"/>
                <w:szCs w:val="24"/>
              </w:rPr>
              <w:t>Appropriate Production Usage</w:t>
            </w:r>
          </w:p>
        </w:tc>
      </w:tr>
      <w:tr w:rsidR="00384C38" w:rsidRPr="00384C38" w14:paraId="6F0F1145" w14:textId="77777777" w:rsidTr="00384C38">
        <w:trPr>
          <w:tblCellSpacing w:w="15" w:type="dxa"/>
        </w:trPr>
        <w:tc>
          <w:tcPr>
            <w:tcW w:w="0" w:type="auto"/>
            <w:vAlign w:val="center"/>
            <w:hideMark/>
          </w:tcPr>
          <w:p w14:paraId="7517BFCF"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MMLU</w:t>
            </w:r>
          </w:p>
        </w:tc>
        <w:tc>
          <w:tcPr>
            <w:tcW w:w="0" w:type="auto"/>
            <w:vAlign w:val="center"/>
            <w:hideMark/>
          </w:tcPr>
          <w:p w14:paraId="2B267045"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Broad academic knowledge</w:t>
            </w:r>
          </w:p>
        </w:tc>
        <w:tc>
          <w:tcPr>
            <w:tcW w:w="0" w:type="auto"/>
            <w:vAlign w:val="center"/>
            <w:hideMark/>
          </w:tcPr>
          <w:p w14:paraId="7CADDB82"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Widely recognized; broad subject coverage; useful for comparing general language understanding</w:t>
            </w:r>
          </w:p>
        </w:tc>
        <w:tc>
          <w:tcPr>
            <w:tcW w:w="0" w:type="auto"/>
            <w:vAlign w:val="center"/>
            <w:hideMark/>
          </w:tcPr>
          <w:p w14:paraId="34CAFF44"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Multiple-choice format; increasingly saturated; limited representation of enterprise workflows</w:t>
            </w:r>
          </w:p>
        </w:tc>
        <w:tc>
          <w:tcPr>
            <w:tcW w:w="0" w:type="auto"/>
            <w:vAlign w:val="center"/>
            <w:hideMark/>
          </w:tcPr>
          <w:p w14:paraId="6AAFA30D"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General-purpose model comparison and baseline capability assessment</w:t>
            </w:r>
          </w:p>
        </w:tc>
      </w:tr>
      <w:tr w:rsidR="00384C38" w:rsidRPr="00384C38" w14:paraId="537594F1" w14:textId="77777777" w:rsidTr="00384C38">
        <w:trPr>
          <w:tblCellSpacing w:w="15" w:type="dxa"/>
        </w:trPr>
        <w:tc>
          <w:tcPr>
            <w:tcW w:w="0" w:type="auto"/>
            <w:vAlign w:val="center"/>
            <w:hideMark/>
          </w:tcPr>
          <w:p w14:paraId="30168552"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lastRenderedPageBreak/>
              <w:t>GPQA</w:t>
            </w:r>
          </w:p>
        </w:tc>
        <w:tc>
          <w:tcPr>
            <w:tcW w:w="0" w:type="auto"/>
            <w:vAlign w:val="center"/>
            <w:hideMark/>
          </w:tcPr>
          <w:p w14:paraId="6B055B00"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Graduate-level scientific reasoning</w:t>
            </w:r>
          </w:p>
        </w:tc>
        <w:tc>
          <w:tcPr>
            <w:tcW w:w="0" w:type="auto"/>
            <w:vAlign w:val="center"/>
            <w:hideMark/>
          </w:tcPr>
          <w:p w14:paraId="47810264"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Emphasizes reasoning over memorization; difficult benchmark for advanced models</w:t>
            </w:r>
          </w:p>
        </w:tc>
        <w:tc>
          <w:tcPr>
            <w:tcW w:w="0" w:type="auto"/>
            <w:vAlign w:val="center"/>
            <w:hideMark/>
          </w:tcPr>
          <w:p w14:paraId="3B4585AE"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Narrow scientific focus; limited applicability outside reasoning-intensive domains</w:t>
            </w:r>
          </w:p>
        </w:tc>
        <w:tc>
          <w:tcPr>
            <w:tcW w:w="0" w:type="auto"/>
            <w:vAlign w:val="center"/>
            <w:hideMark/>
          </w:tcPr>
          <w:p w14:paraId="75262565"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Research assistants, scientific applications, advanced reasoning evaluation</w:t>
            </w:r>
          </w:p>
        </w:tc>
      </w:tr>
      <w:tr w:rsidR="00384C38" w:rsidRPr="00384C38" w14:paraId="2FFA4EAE" w14:textId="77777777" w:rsidTr="00384C38">
        <w:trPr>
          <w:tblCellSpacing w:w="15" w:type="dxa"/>
        </w:trPr>
        <w:tc>
          <w:tcPr>
            <w:tcW w:w="0" w:type="auto"/>
            <w:vAlign w:val="center"/>
            <w:hideMark/>
          </w:tcPr>
          <w:p w14:paraId="60DFC820"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HumanEval</w:t>
            </w:r>
          </w:p>
        </w:tc>
        <w:tc>
          <w:tcPr>
            <w:tcW w:w="0" w:type="auto"/>
            <w:vAlign w:val="center"/>
            <w:hideMark/>
          </w:tcPr>
          <w:p w14:paraId="040D6705"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Code generation</w:t>
            </w:r>
          </w:p>
        </w:tc>
        <w:tc>
          <w:tcPr>
            <w:tcW w:w="0" w:type="auto"/>
            <w:vAlign w:val="center"/>
            <w:hideMark/>
          </w:tcPr>
          <w:p w14:paraId="1135D3CE"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Executable correctness through unit tests; simple and reproducible</w:t>
            </w:r>
          </w:p>
        </w:tc>
        <w:tc>
          <w:tcPr>
            <w:tcW w:w="0" w:type="auto"/>
            <w:vAlign w:val="center"/>
            <w:hideMark/>
          </w:tcPr>
          <w:p w14:paraId="590B4706"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Focuses on isolated functions rather than full software engineering workflows</w:t>
            </w:r>
          </w:p>
        </w:tc>
        <w:tc>
          <w:tcPr>
            <w:tcW w:w="0" w:type="auto"/>
            <w:vAlign w:val="center"/>
            <w:hideMark/>
          </w:tcPr>
          <w:p w14:paraId="20B08C12"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Coding assistants, code synthesis capability assessment</w:t>
            </w:r>
          </w:p>
        </w:tc>
      </w:tr>
      <w:tr w:rsidR="00384C38" w:rsidRPr="00384C38" w14:paraId="6DAD94D0" w14:textId="77777777" w:rsidTr="00384C38">
        <w:trPr>
          <w:tblCellSpacing w:w="15" w:type="dxa"/>
        </w:trPr>
        <w:tc>
          <w:tcPr>
            <w:tcW w:w="0" w:type="auto"/>
            <w:vAlign w:val="center"/>
            <w:hideMark/>
          </w:tcPr>
          <w:p w14:paraId="30A92F45"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SWE-bench</w:t>
            </w:r>
          </w:p>
        </w:tc>
        <w:tc>
          <w:tcPr>
            <w:tcW w:w="0" w:type="auto"/>
            <w:vAlign w:val="center"/>
            <w:hideMark/>
          </w:tcPr>
          <w:p w14:paraId="65873D89"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Real-world software engineering</w:t>
            </w:r>
          </w:p>
        </w:tc>
        <w:tc>
          <w:tcPr>
            <w:tcW w:w="0" w:type="auto"/>
            <w:vAlign w:val="center"/>
            <w:hideMark/>
          </w:tcPr>
          <w:p w14:paraId="105097F3"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Repository-level tasks; closely resembles practical software development</w:t>
            </w:r>
          </w:p>
        </w:tc>
        <w:tc>
          <w:tcPr>
            <w:tcW w:w="0" w:type="auto"/>
            <w:vAlign w:val="center"/>
            <w:hideMark/>
          </w:tcPr>
          <w:p w14:paraId="7EE1FD52"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Computationally expensive; limited primarily to software engineering</w:t>
            </w:r>
          </w:p>
        </w:tc>
        <w:tc>
          <w:tcPr>
            <w:tcW w:w="0" w:type="auto"/>
            <w:vAlign w:val="center"/>
            <w:hideMark/>
          </w:tcPr>
          <w:p w14:paraId="3EC02DE6"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Enterprise coding assistants and AI-supported software development</w:t>
            </w:r>
          </w:p>
        </w:tc>
      </w:tr>
      <w:tr w:rsidR="00384C38" w:rsidRPr="00384C38" w14:paraId="149D3E5E" w14:textId="77777777" w:rsidTr="00384C38">
        <w:trPr>
          <w:tblCellSpacing w:w="15" w:type="dxa"/>
        </w:trPr>
        <w:tc>
          <w:tcPr>
            <w:tcW w:w="0" w:type="auto"/>
            <w:vAlign w:val="center"/>
            <w:hideMark/>
          </w:tcPr>
          <w:p w14:paraId="3732DB9C"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MATH</w:t>
            </w:r>
          </w:p>
        </w:tc>
        <w:tc>
          <w:tcPr>
            <w:tcW w:w="0" w:type="auto"/>
            <w:vAlign w:val="center"/>
            <w:hideMark/>
          </w:tcPr>
          <w:p w14:paraId="351FC6D1"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Mathematical reasoning</w:t>
            </w:r>
          </w:p>
        </w:tc>
        <w:tc>
          <w:tcPr>
            <w:tcW w:w="0" w:type="auto"/>
            <w:vAlign w:val="center"/>
            <w:hideMark/>
          </w:tcPr>
          <w:p w14:paraId="1F1AFCEB"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Measures multi-step reasoning and symbolic problem solving</w:t>
            </w:r>
          </w:p>
        </w:tc>
        <w:tc>
          <w:tcPr>
            <w:tcW w:w="0" w:type="auto"/>
            <w:vAlign w:val="center"/>
            <w:hideMark/>
          </w:tcPr>
          <w:p w14:paraId="696597AA"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Does not represent most enterprise business tasks directly</w:t>
            </w:r>
          </w:p>
        </w:tc>
        <w:tc>
          <w:tcPr>
            <w:tcW w:w="0" w:type="auto"/>
            <w:vAlign w:val="center"/>
            <w:hideMark/>
          </w:tcPr>
          <w:p w14:paraId="79783BDB"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Reasoning-oriented applications and mathematical assistants</w:t>
            </w:r>
          </w:p>
        </w:tc>
      </w:tr>
      <w:tr w:rsidR="00384C38" w:rsidRPr="00384C38" w14:paraId="57C9138C" w14:textId="77777777" w:rsidTr="00384C38">
        <w:trPr>
          <w:tblCellSpacing w:w="15" w:type="dxa"/>
        </w:trPr>
        <w:tc>
          <w:tcPr>
            <w:tcW w:w="0" w:type="auto"/>
            <w:vAlign w:val="center"/>
            <w:hideMark/>
          </w:tcPr>
          <w:p w14:paraId="6F6E4EB9"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MMMU</w:t>
            </w:r>
          </w:p>
        </w:tc>
        <w:tc>
          <w:tcPr>
            <w:tcW w:w="0" w:type="auto"/>
            <w:vAlign w:val="center"/>
            <w:hideMark/>
          </w:tcPr>
          <w:p w14:paraId="75CF0059"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Multimodal understanding</w:t>
            </w:r>
          </w:p>
        </w:tc>
        <w:tc>
          <w:tcPr>
            <w:tcW w:w="0" w:type="auto"/>
            <w:vAlign w:val="center"/>
            <w:hideMark/>
          </w:tcPr>
          <w:p w14:paraId="214D3AF7"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Evaluates image, diagram, and document reasoning</w:t>
            </w:r>
          </w:p>
        </w:tc>
        <w:tc>
          <w:tcPr>
            <w:tcW w:w="0" w:type="auto"/>
            <w:vAlign w:val="center"/>
            <w:hideMark/>
          </w:tcPr>
          <w:p w14:paraId="2ADBC71C"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Applicable only to multimodal models; evolving benchmark ecosystem</w:t>
            </w:r>
          </w:p>
        </w:tc>
        <w:tc>
          <w:tcPr>
            <w:tcW w:w="0" w:type="auto"/>
            <w:vAlign w:val="center"/>
            <w:hideMark/>
          </w:tcPr>
          <w:p w14:paraId="4C724B8C"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Document intelligence, visual assistants, multimodal AI systems</w:t>
            </w:r>
          </w:p>
        </w:tc>
      </w:tr>
      <w:tr w:rsidR="00384C38" w:rsidRPr="00384C38" w14:paraId="084CE46C" w14:textId="77777777" w:rsidTr="00384C38">
        <w:trPr>
          <w:tblCellSpacing w:w="15" w:type="dxa"/>
        </w:trPr>
        <w:tc>
          <w:tcPr>
            <w:tcW w:w="0" w:type="auto"/>
            <w:vAlign w:val="center"/>
            <w:hideMark/>
          </w:tcPr>
          <w:p w14:paraId="57FFCBF5"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LiveBench</w:t>
            </w:r>
          </w:p>
        </w:tc>
        <w:tc>
          <w:tcPr>
            <w:tcW w:w="0" w:type="auto"/>
            <w:vAlign w:val="center"/>
            <w:hideMark/>
          </w:tcPr>
          <w:p w14:paraId="0B4057A4"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General reasoning using continuously updated tasks</w:t>
            </w:r>
          </w:p>
        </w:tc>
        <w:tc>
          <w:tcPr>
            <w:tcW w:w="0" w:type="auto"/>
            <w:vAlign w:val="center"/>
            <w:hideMark/>
          </w:tcPr>
          <w:p w14:paraId="3E6ED5B1"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Reduces benchmark contamination through frequent updates</w:t>
            </w:r>
          </w:p>
        </w:tc>
        <w:tc>
          <w:tcPr>
            <w:tcW w:w="0" w:type="auto"/>
            <w:vAlign w:val="center"/>
            <w:hideMark/>
          </w:tcPr>
          <w:p w14:paraId="3D08BA19"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Newer benchmark with evolving methodology</w:t>
            </w:r>
          </w:p>
        </w:tc>
        <w:tc>
          <w:tcPr>
            <w:tcW w:w="0" w:type="auto"/>
            <w:vAlign w:val="center"/>
            <w:hideMark/>
          </w:tcPr>
          <w:p w14:paraId="12D81FE9"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Supplementary evaluation for contemporary model comparison</w:t>
            </w:r>
          </w:p>
        </w:tc>
      </w:tr>
      <w:tr w:rsidR="00384C38" w:rsidRPr="00384C38" w14:paraId="42EA3B12" w14:textId="77777777" w:rsidTr="00384C38">
        <w:trPr>
          <w:tblCellSpacing w:w="15" w:type="dxa"/>
        </w:trPr>
        <w:tc>
          <w:tcPr>
            <w:tcW w:w="0" w:type="auto"/>
            <w:vAlign w:val="center"/>
            <w:hideMark/>
          </w:tcPr>
          <w:p w14:paraId="08E3AE3F"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b/>
                <w:bCs/>
                <w:sz w:val="24"/>
                <w:szCs w:val="24"/>
              </w:rPr>
              <w:t>Arena-style evaluation</w:t>
            </w:r>
          </w:p>
        </w:tc>
        <w:tc>
          <w:tcPr>
            <w:tcW w:w="0" w:type="auto"/>
            <w:vAlign w:val="center"/>
            <w:hideMark/>
          </w:tcPr>
          <w:p w14:paraId="21A06468"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Human preference</w:t>
            </w:r>
          </w:p>
        </w:tc>
        <w:tc>
          <w:tcPr>
            <w:tcW w:w="0" w:type="auto"/>
            <w:vAlign w:val="center"/>
            <w:hideMark/>
          </w:tcPr>
          <w:p w14:paraId="2138A221"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Reflects perceived response quality; captures conversational characteristics</w:t>
            </w:r>
          </w:p>
        </w:tc>
        <w:tc>
          <w:tcPr>
            <w:tcW w:w="0" w:type="auto"/>
            <w:vAlign w:val="center"/>
            <w:hideMark/>
          </w:tcPr>
          <w:p w14:paraId="14B0963F"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Subjective; not equivalent to factual correctness</w:t>
            </w:r>
          </w:p>
        </w:tc>
        <w:tc>
          <w:tcPr>
            <w:tcW w:w="0" w:type="auto"/>
            <w:vAlign w:val="center"/>
            <w:hideMark/>
          </w:tcPr>
          <w:p w14:paraId="5580A296" w14:textId="77777777" w:rsidR="00384C38" w:rsidRPr="00384C38" w:rsidRDefault="00384C38" w:rsidP="00384C38">
            <w:pPr>
              <w:spacing w:after="0" w:line="240" w:lineRule="auto"/>
              <w:rPr>
                <w:rFonts w:ascii="Times New Roman" w:eastAsia="Times New Roman" w:hAnsi="Times New Roman" w:cs="Times New Roman"/>
                <w:sz w:val="24"/>
                <w:szCs w:val="24"/>
              </w:rPr>
            </w:pPr>
            <w:r w:rsidRPr="00384C38">
              <w:rPr>
                <w:rFonts w:ascii="Times New Roman" w:eastAsia="Times New Roman" w:hAnsi="Times New Roman" w:cs="Times New Roman"/>
                <w:sz w:val="24"/>
                <w:szCs w:val="24"/>
              </w:rPr>
              <w:t>Conversational assistants, user experience optimization, qualitative comparison</w:t>
            </w:r>
          </w:p>
        </w:tc>
      </w:tr>
    </w:tbl>
    <w:p w14:paraId="2EE8EE91"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No benchmark should be interpreted in isolation. Effective evaluation combines multiple complementary measurements representing the capabilities required by the target application.</w:t>
      </w:r>
    </w:p>
    <w:p w14:paraId="39150007" w14:textId="77777777" w:rsidR="00384C38" w:rsidRPr="00384C38" w:rsidRDefault="00384C38" w:rsidP="00384C38">
      <w:pPr>
        <w:spacing w:after="0"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pict w14:anchorId="7009D823">
          <v:rect id="_x0000_i1281" style="width:0;height:1.5pt" o:hralign="center" o:hrstd="t" o:hr="t" fillcolor="#a0a0a0" stroked="f"/>
        </w:pict>
      </w:r>
    </w:p>
    <w:p w14:paraId="75AECDBA" w14:textId="77777777" w:rsidR="00384C38" w:rsidRPr="00384C38" w:rsidRDefault="00384C38" w:rsidP="00384C38">
      <w:pPr>
        <w:pStyle w:val="1"/>
      </w:pPr>
      <w:r w:rsidRPr="00384C38">
        <w:t>4.4.3 Human Evaluation</w:t>
      </w:r>
    </w:p>
    <w:p w14:paraId="4E1759D2"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lastRenderedPageBreak/>
        <w:t>Despite substantial progress in automated benchmarking, human evaluation remains an essential component of model assessment. Many characteristics that determine user satisfaction—including clarity, coherence, usefulness, tone, instruction following, and contextual appropriateness—cannot be fully captured through automated metrics.</w:t>
      </w:r>
    </w:p>
    <w:p w14:paraId="70DDB3DD"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Human evaluation is particularly important because production AI systems interact with people rather than benchmark datasets.</w:t>
      </w:r>
    </w:p>
    <w:p w14:paraId="044A18A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 xml:space="preserve">One widely adopted methodology is </w:t>
      </w:r>
      <w:r w:rsidRPr="00384C38">
        <w:rPr>
          <w:rFonts w:ascii="Times New Roman" w:eastAsia="Times New Roman" w:hAnsi="Times New Roman" w:cs="Times New Roman"/>
          <w:b/>
          <w:bCs/>
          <w:sz w:val="28"/>
          <w:szCs w:val="28"/>
        </w:rPr>
        <w:t>pairwise comparison</w:t>
      </w:r>
      <w:r w:rsidRPr="00384C38">
        <w:rPr>
          <w:rFonts w:ascii="Times New Roman" w:eastAsia="Times New Roman" w:hAnsi="Times New Roman" w:cs="Times New Roman"/>
          <w:sz w:val="28"/>
          <w:szCs w:val="28"/>
        </w:rPr>
        <w:t>. Evaluators receive responses generated by two anonymous models and select the preferred answer without knowing which model produced each output. Randomizing model order reduces bias while encouraging judgments based on observable response quality rather than vendor reputation.</w:t>
      </w:r>
    </w:p>
    <w:p w14:paraId="29A17433"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Blind evaluation has become increasingly common because model branding can strongly influence perceived quality. Removing model identity helps isolate actual differences in performance.</w:t>
      </w:r>
    </w:p>
    <w:p w14:paraId="31F389B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Human evaluation should also involve representative users rather than exclusively machine learning specialists. Software developers may prioritize code correctness, while customer support representatives may value empathy, clarity, and policy compliance. Legal professionals may emphasize precision and citation quality. Evaluation criteria should therefore reflect the intended production audience.</w:t>
      </w:r>
    </w:p>
    <w:p w14:paraId="66F70C5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Organizations frequently employ scoring rubrics that consider dimensions such as factual accuracy, completeness, reasoning quality, consistency, readability, instruction adherence, and safety. Standardized rubrics improve reproducibility and reduce variation among evaluators.</w:t>
      </w:r>
    </w:p>
    <w:p w14:paraId="2EA258A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Human evaluation, however, introduces its own challenges.</w:t>
      </w:r>
    </w:p>
    <w:p w14:paraId="252FC4BA"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It is expensive.</w:t>
      </w:r>
    </w:p>
    <w:p w14:paraId="349AE70B"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It is time-consuming.</w:t>
      </w:r>
    </w:p>
    <w:p w14:paraId="359E51CF"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Different evaluators may disagree.</w:t>
      </w:r>
    </w:p>
    <w:p w14:paraId="15B5509D"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Large-scale evaluation becomes difficult to automate.</w:t>
      </w:r>
    </w:p>
    <w:p w14:paraId="67E2456A"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Consequently, human evaluation is most effective when combined with automated testing rather than replacing it entirely.</w:t>
      </w:r>
    </w:p>
    <w:p w14:paraId="6E8DDE0E" w14:textId="77777777" w:rsidR="00384C38" w:rsidRPr="00384C38" w:rsidRDefault="00384C38" w:rsidP="00384C38">
      <w:pPr>
        <w:spacing w:after="0"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pict w14:anchorId="44B5A010">
          <v:rect id="_x0000_i1282" style="width:0;height:1.5pt" o:hralign="center" o:hrstd="t" o:hr="t" fillcolor="#a0a0a0" stroked="f"/>
        </w:pict>
      </w:r>
    </w:p>
    <w:p w14:paraId="538CA42A" w14:textId="77777777" w:rsidR="00384C38" w:rsidRPr="00384C38" w:rsidRDefault="00384C38" w:rsidP="00384C38">
      <w:pPr>
        <w:pStyle w:val="1"/>
      </w:pPr>
      <w:r w:rsidRPr="00384C38">
        <w:t>4.4.4 Task-Specific Evaluation</w:t>
      </w:r>
    </w:p>
    <w:p w14:paraId="5582BA72"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lastRenderedPageBreak/>
        <w:t>Public benchmarks provide valuable reference points, but no organization should assume that public benchmark rankings directly predict success within its own environment.</w:t>
      </w:r>
    </w:p>
    <w:p w14:paraId="1337836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Production workloads differ substantially from academic evaluation tasks.</w:t>
      </w:r>
    </w:p>
    <w:p w14:paraId="53B9C889"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An insurance company may require accurate policy interpretation.</w:t>
      </w:r>
    </w:p>
    <w:p w14:paraId="194F04B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 pharmaceutical company may prioritize scientific literature analysis.</w:t>
      </w:r>
    </w:p>
    <w:p w14:paraId="07759FC1"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 software vendor may focus almost exclusively on repository-level programming assistance.</w:t>
      </w:r>
    </w:p>
    <w:p w14:paraId="467E617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A financial institution may require structured outputs with strict regulatory compliance.</w:t>
      </w:r>
    </w:p>
    <w:p w14:paraId="796DEE7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None of these objectives is adequately represented by general-purpose benchmark leaderboards.</w:t>
      </w:r>
    </w:p>
    <w:p w14:paraId="09623C13"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Organizations should therefore construct internal evaluation datasets reflecting their own business processes.</w:t>
      </w:r>
    </w:p>
    <w:p w14:paraId="18A76DA9"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These datasets often include representative user prompts, historical support tickets, engineering documentation, domain-specific terminology, structured extraction tasks, multilingual interactions, and edge cases observed in production.</w:t>
      </w:r>
    </w:p>
    <w:p w14:paraId="6A26AE2E"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Task-specific evaluation offers several advantages.</w:t>
      </w:r>
    </w:p>
    <w:p w14:paraId="68F506FB"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It measures capabilities directly relevant to organizational objectives.</w:t>
      </w:r>
    </w:p>
    <w:p w14:paraId="1B19B715"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It enables regression testing when models are upgraded.</w:t>
      </w:r>
    </w:p>
    <w:p w14:paraId="449169AF"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It supports objective comparison across candidate models.</w:t>
      </w:r>
    </w:p>
    <w:p w14:paraId="19903C3D"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It reduces dependence on public benchmark trends that may have little operational significance.</w:t>
      </w:r>
    </w:p>
    <w:p w14:paraId="4D63A595"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Internal evaluation datasets also become increasingly valuable over time. As organizations collect production interactions and expert feedback, evaluation quality improves continuously, creating an evidence base that better reflects actual business requirements than any public benchmark can provide.</w:t>
      </w:r>
    </w:p>
    <w:p w14:paraId="02D43287"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t>Developing such evaluation systems requires dedicated processes for dataset management, version control, regression testing, statistical analysis, and continuous quality monitoring. These topics form the foundation of Chapter 13, which examines evaluation and quality assurance as operational disciplines within production AI platforms.</w:t>
      </w:r>
    </w:p>
    <w:p w14:paraId="21A32004" w14:textId="77777777" w:rsidR="00384C38" w:rsidRPr="00384C38" w:rsidRDefault="00384C38" w:rsidP="00384C38">
      <w:pPr>
        <w:spacing w:before="100" w:beforeAutospacing="1" w:after="100" w:afterAutospacing="1" w:line="240" w:lineRule="auto"/>
        <w:rPr>
          <w:rFonts w:ascii="Times New Roman" w:eastAsia="Times New Roman" w:hAnsi="Times New Roman" w:cs="Times New Roman"/>
          <w:sz w:val="28"/>
          <w:szCs w:val="28"/>
        </w:rPr>
      </w:pPr>
      <w:r w:rsidRPr="00384C38">
        <w:rPr>
          <w:rFonts w:ascii="Times New Roman" w:eastAsia="Times New Roman" w:hAnsi="Times New Roman" w:cs="Times New Roman"/>
          <w:sz w:val="28"/>
          <w:szCs w:val="28"/>
        </w:rPr>
        <w:lastRenderedPageBreak/>
        <w:t>For the purposes of model selection, however, the central principle is straightforward: public benchmarks should inform decisions, but they should never replace organization-specific evidence. The most successful AI platforms treat benchmark results as the starting point for evaluation rather than its conclusion.</w:t>
      </w:r>
    </w:p>
    <w:p w14:paraId="297094D4" w14:textId="77777777" w:rsidR="00EA6155" w:rsidRPr="00EA6155" w:rsidRDefault="00EA6155" w:rsidP="00EA6155">
      <w:pPr>
        <w:pStyle w:val="1"/>
      </w:pPr>
      <w:r w:rsidRPr="00EA6155">
        <w:t>4.5 Model Size, Scaling Laws, and Capability</w:t>
      </w:r>
    </w:p>
    <w:p w14:paraId="5F0A63C1"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One of the most visible characteristics of a foundation model is its parameter count. Model announcements frequently emphasize the number of billions or trillions of parameters as an indicator of capability, and public discussions often compare models primarily according to size. While parameter count remains an important engineering consideration, it is only one factor among many that determine production performance.</w:t>
      </w:r>
    </w:p>
    <w:p w14:paraId="2CA1BBAE"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 relationship between model size and capability has become increasingly nuanced. Advances in training methodology, data quality, architectural design, reasoning techniques, synthetic data generation, and inference optimization have enabled smaller models to outperform significantly larger predecessors. At the same time, Mixture-of-Experts (MoE) architectures have blurred the distinction between total model size and computational cost by activating only a subset of parameters during inference.</w:t>
      </w:r>
    </w:p>
    <w:p w14:paraId="53A9D08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Consequently, model selection should not begin with the assumption that larger models are inherently better. Instead, engineers should understand how model scale interacts with training quality, architectural choices, deployment constraints, and business requirements.</w:t>
      </w:r>
    </w:p>
    <w:p w14:paraId="34B1045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The concept of </w:t>
      </w:r>
      <w:r w:rsidRPr="00EA6155">
        <w:rPr>
          <w:rFonts w:ascii="Times New Roman" w:eastAsia="Times New Roman" w:hAnsi="Times New Roman" w:cs="Times New Roman"/>
          <w:b/>
          <w:bCs/>
          <w:sz w:val="28"/>
          <w:szCs w:val="28"/>
        </w:rPr>
        <w:t>scaling laws</w:t>
      </w:r>
      <w:r w:rsidRPr="00EA6155">
        <w:rPr>
          <w:rFonts w:ascii="Times New Roman" w:eastAsia="Times New Roman" w:hAnsi="Times New Roman" w:cs="Times New Roman"/>
          <w:sz w:val="28"/>
          <w:szCs w:val="28"/>
        </w:rPr>
        <w:t xml:space="preserve"> provides useful context. Research over the past decade has consistently shown that language model performance tends to improve predictably as model parameters, training data, and compute resources increase together under appropriate conditions. However, these improvements are subject to diminishing practical returns and must be balanced against increasing infrastructure cost, latency, memory requirements, and operational complexity.</w:t>
      </w:r>
    </w:p>
    <w:p w14:paraId="05FF38E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For production AI platforms, the engineering objective is not to maximize parameter count but to identify the smallest model capable of meeting quality objectives within operational constraints.</w:t>
      </w:r>
    </w:p>
    <w:p w14:paraId="2B3770A1" w14:textId="77777777" w:rsidR="00EA6155" w:rsidRPr="00EA6155" w:rsidRDefault="00EA6155" w:rsidP="00EA6155">
      <w:pPr>
        <w:spacing w:after="0"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pict w14:anchorId="3F405A9A">
          <v:rect id="_x0000_i1323" style="width:0;height:1.5pt" o:hralign="center" o:hrstd="t" o:hr="t" fillcolor="#a0a0a0" stroked="f"/>
        </w:pict>
      </w:r>
    </w:p>
    <w:p w14:paraId="08E8A17D" w14:textId="77777777" w:rsidR="00EA6155" w:rsidRPr="00EA6155" w:rsidRDefault="00EA6155" w:rsidP="00EA6155">
      <w:pPr>
        <w:pStyle w:val="1"/>
      </w:pPr>
      <w:r w:rsidRPr="00EA6155">
        <w:t>4.5.1 Parameter Count</w:t>
      </w:r>
    </w:p>
    <w:p w14:paraId="5F87F972"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Parameter count represents the number of learned numerical values contained within a neural network. During training, these parameters are adjusted to capture </w:t>
      </w:r>
      <w:r w:rsidRPr="00EA6155">
        <w:rPr>
          <w:rFonts w:ascii="Times New Roman" w:eastAsia="Times New Roman" w:hAnsi="Times New Roman" w:cs="Times New Roman"/>
          <w:sz w:val="28"/>
          <w:szCs w:val="28"/>
        </w:rPr>
        <w:lastRenderedPageBreak/>
        <w:t>statistical relationships within the training data. During inference, they determine how the model transforms input tokens into output predictions.</w:t>
      </w:r>
    </w:p>
    <w:p w14:paraId="7E797DBA"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Because parameter count is easy to communicate, it has become one of the most widely cited characteristics of foundation models. Terms such as </w:t>
      </w:r>
      <w:r w:rsidRPr="00EA6155">
        <w:rPr>
          <w:rFonts w:ascii="Times New Roman" w:eastAsia="Times New Roman" w:hAnsi="Times New Roman" w:cs="Times New Roman"/>
          <w:i/>
          <w:iCs/>
          <w:sz w:val="28"/>
          <w:szCs w:val="28"/>
        </w:rPr>
        <w:t>7B</w:t>
      </w:r>
      <w:r w:rsidRPr="00EA6155">
        <w:rPr>
          <w:rFonts w:ascii="Times New Roman" w:eastAsia="Times New Roman" w:hAnsi="Times New Roman" w:cs="Times New Roman"/>
          <w:sz w:val="28"/>
          <w:szCs w:val="28"/>
        </w:rPr>
        <w:t xml:space="preserve">, </w:t>
      </w:r>
      <w:r w:rsidRPr="00EA6155">
        <w:rPr>
          <w:rFonts w:ascii="Times New Roman" w:eastAsia="Times New Roman" w:hAnsi="Times New Roman" w:cs="Times New Roman"/>
          <w:i/>
          <w:iCs/>
          <w:sz w:val="28"/>
          <w:szCs w:val="28"/>
        </w:rPr>
        <w:t>14B</w:t>
      </w:r>
      <w:r w:rsidRPr="00EA6155">
        <w:rPr>
          <w:rFonts w:ascii="Times New Roman" w:eastAsia="Times New Roman" w:hAnsi="Times New Roman" w:cs="Times New Roman"/>
          <w:sz w:val="28"/>
          <w:szCs w:val="28"/>
        </w:rPr>
        <w:t xml:space="preserve">, </w:t>
      </w:r>
      <w:r w:rsidRPr="00EA6155">
        <w:rPr>
          <w:rFonts w:ascii="Times New Roman" w:eastAsia="Times New Roman" w:hAnsi="Times New Roman" w:cs="Times New Roman"/>
          <w:i/>
          <w:iCs/>
          <w:sz w:val="28"/>
          <w:szCs w:val="28"/>
        </w:rPr>
        <w:t>70B</w:t>
      </w:r>
      <w:r w:rsidRPr="00EA6155">
        <w:rPr>
          <w:rFonts w:ascii="Times New Roman" w:eastAsia="Times New Roman" w:hAnsi="Times New Roman" w:cs="Times New Roman"/>
          <w:sz w:val="28"/>
          <w:szCs w:val="28"/>
        </w:rPr>
        <w:t xml:space="preserve">, or </w:t>
      </w:r>
      <w:r w:rsidRPr="00EA6155">
        <w:rPr>
          <w:rFonts w:ascii="Times New Roman" w:eastAsia="Times New Roman" w:hAnsi="Times New Roman" w:cs="Times New Roman"/>
          <w:i/>
          <w:iCs/>
          <w:sz w:val="28"/>
          <w:szCs w:val="28"/>
        </w:rPr>
        <w:t>405B</w:t>
      </w:r>
      <w:r w:rsidRPr="00EA6155">
        <w:rPr>
          <w:rFonts w:ascii="Times New Roman" w:eastAsia="Times New Roman" w:hAnsi="Times New Roman" w:cs="Times New Roman"/>
          <w:sz w:val="28"/>
          <w:szCs w:val="28"/>
        </w:rPr>
        <w:t xml:space="preserve"> have become common shorthand for describing model families.</w:t>
      </w:r>
    </w:p>
    <w:p w14:paraId="15D93751"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Although parameter count provides useful information, it should not be interpreted as a direct measure of intelligence or production quality.</w:t>
      </w:r>
    </w:p>
    <w:p w14:paraId="492BE3E2" w14:textId="77777777" w:rsidR="00EA6155" w:rsidRPr="00EA6155" w:rsidRDefault="00EA6155" w:rsidP="00EA6155">
      <w:pPr>
        <w:pStyle w:val="2"/>
      </w:pPr>
      <w:r w:rsidRPr="00EA6155">
        <w:t>What Larger Models Usually Provide</w:t>
      </w:r>
    </w:p>
    <w:p w14:paraId="33D23D8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Increasing parameter count generally allows models to represent more complex patterns learned during training.</w:t>
      </w:r>
    </w:p>
    <w:p w14:paraId="23902C02"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Larger models often demonstrate improvements in:</w:t>
      </w:r>
    </w:p>
    <w:p w14:paraId="6CF4FDC6"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factual knowledge, </w:t>
      </w:r>
    </w:p>
    <w:p w14:paraId="0DB885DA"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multilingual understanding, </w:t>
      </w:r>
    </w:p>
    <w:p w14:paraId="7AF3A57A"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reasoning ability, </w:t>
      </w:r>
    </w:p>
    <w:p w14:paraId="70203CBE"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code generation, </w:t>
      </w:r>
    </w:p>
    <w:p w14:paraId="1FC735F1"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instruction following, </w:t>
      </w:r>
    </w:p>
    <w:p w14:paraId="386D2E33"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contextual consistency, </w:t>
      </w:r>
    </w:p>
    <w:p w14:paraId="4F923796" w14:textId="77777777" w:rsidR="00EA6155" w:rsidRPr="00EA6155" w:rsidRDefault="00EA6155" w:rsidP="0049140E">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robustness across diverse tasks. </w:t>
      </w:r>
    </w:p>
    <w:p w14:paraId="376B664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These improvements arise because additional parameters increase the model's representational capacity, allowing it to capture more intricate statistical relationships.</w:t>
      </w:r>
    </w:p>
    <w:p w14:paraId="2E3ED9FA"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However, these gains depend heavily on appropriate training. Simply increasing parameter count without sufficient data quality or training compute does not guarantee improved performance.</w:t>
      </w:r>
    </w:p>
    <w:p w14:paraId="3C3D2A28" w14:textId="77777777" w:rsidR="00EA6155" w:rsidRPr="00EA6155" w:rsidRDefault="00EA6155" w:rsidP="00EA6155">
      <w:pPr>
        <w:pStyle w:val="2"/>
      </w:pPr>
      <w:r w:rsidRPr="00EA6155">
        <w:t>Engineering Costs of Larger Models</w:t>
      </w:r>
    </w:p>
    <w:p w14:paraId="11870E4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From an infrastructure perspective, increasing model size has immediate operational consequences.</w:t>
      </w:r>
    </w:p>
    <w:p w14:paraId="053CB502"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Larger models require:</w:t>
      </w:r>
    </w:p>
    <w:p w14:paraId="04F8CC12" w14:textId="77777777" w:rsidR="00EA6155" w:rsidRPr="00EA6155" w:rsidRDefault="00EA6155" w:rsidP="0049140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more GPU memory, </w:t>
      </w:r>
    </w:p>
    <w:p w14:paraId="57B986CF" w14:textId="77777777" w:rsidR="00EA6155" w:rsidRPr="00EA6155" w:rsidRDefault="00EA6155" w:rsidP="0049140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longer loading times, </w:t>
      </w:r>
    </w:p>
    <w:p w14:paraId="03759CDA" w14:textId="77777777" w:rsidR="00EA6155" w:rsidRPr="00EA6155" w:rsidRDefault="00EA6155" w:rsidP="0049140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higher inference latency, </w:t>
      </w:r>
    </w:p>
    <w:p w14:paraId="520F0F04" w14:textId="77777777" w:rsidR="00EA6155" w:rsidRPr="00EA6155" w:rsidRDefault="00EA6155" w:rsidP="0049140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greater storage capacity, </w:t>
      </w:r>
    </w:p>
    <w:p w14:paraId="26BFF2A8" w14:textId="77777777" w:rsidR="00EA6155" w:rsidRPr="00EA6155" w:rsidRDefault="00EA6155" w:rsidP="0049140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more expensive hardware, </w:t>
      </w:r>
    </w:p>
    <w:p w14:paraId="2CCCE795" w14:textId="77777777" w:rsidR="00EA6155" w:rsidRPr="00EA6155" w:rsidRDefault="00EA6155" w:rsidP="0049140E">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increased network bandwidth in distributed deployments. </w:t>
      </w:r>
    </w:p>
    <w:p w14:paraId="4BDCFCB8"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lastRenderedPageBreak/>
        <w:t>These costs continue throughout the operational lifecycle rather than occurring only during deployment.</w:t>
      </w:r>
    </w:p>
    <w:p w14:paraId="77D80485"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 model that requires twice as much GPU memory typically increases hardware acquisition costs, operational expenses, deployment complexity, and recovery time during infrastructure failures.</w:t>
      </w:r>
    </w:p>
    <w:p w14:paraId="35324ED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For organizations operating AI services at scale, these factors often outweigh modest improvements in benchmark performance.</w:t>
      </w:r>
    </w:p>
    <w:p w14:paraId="66065C00" w14:textId="77777777" w:rsidR="00EA6155" w:rsidRPr="00EA6155" w:rsidRDefault="00EA6155" w:rsidP="00EA6155">
      <w:pPr>
        <w:pStyle w:val="2"/>
      </w:pPr>
      <w:r w:rsidRPr="00EA6155">
        <w:t>Why Parameter Count Alone Is Insufficient</w:t>
      </w:r>
    </w:p>
    <w:p w14:paraId="1D044F0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Modern language models illustrate that parameter count alone no longer predicts capability reliably.</w:t>
      </w:r>
    </w:p>
    <w:p w14:paraId="4959AAD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Several factors influence model quality independently of size:</w:t>
      </w:r>
    </w:p>
    <w:p w14:paraId="0FFCFE3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Training data quality frequently matters more than training data volume.</w:t>
      </w:r>
    </w:p>
    <w:p w14:paraId="77B219B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Instruction tuning substantially improves user interaction without increasing parameter count.</w:t>
      </w:r>
    </w:p>
    <w:p w14:paraId="06924E9E"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Synthetic data generation has enhanced reasoning performance across many recent model families.</w:t>
      </w:r>
    </w:p>
    <w:p w14:paraId="35DEA6B1"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Architectural innovations improve computational efficiency.</w:t>
      </w:r>
    </w:p>
    <w:p w14:paraId="39AD9CFB"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Better tokenization reduces sequence length for many languages.</w:t>
      </w:r>
    </w:p>
    <w:p w14:paraId="546C2A5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Improved optimization algorithms increase training effectiveness.</w:t>
      </w:r>
    </w:p>
    <w:p w14:paraId="54A2222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As a result, a contemporary medium-sized model may outperform an older model containing several times as many parameters.</w:t>
      </w:r>
    </w:p>
    <w:p w14:paraId="6B0603DE"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Historical comparisons demonstrate this trend clearly. Models released only a few years apart often differ dramatically in quality despite comparable—or even smaller—parameter counts. Consequently, organizations should evaluate contemporary benchmark evidence rather than relying on assumptions derived from earlier generations of language models.</w:t>
      </w:r>
    </w:p>
    <w:p w14:paraId="60CF4E96" w14:textId="77777777" w:rsidR="00EA6155" w:rsidRPr="00EA6155" w:rsidRDefault="00EA6155" w:rsidP="00EA6155">
      <w:pPr>
        <w:spacing w:after="0"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pict w14:anchorId="22E0A40F">
          <v:rect id="_x0000_i1324" style="width:0;height:1.5pt" o:hralign="center" o:hrstd="t" o:hr="t" fillcolor="#a0a0a0" stroked="f"/>
        </w:pict>
      </w:r>
    </w:p>
    <w:p w14:paraId="0C06C2E9" w14:textId="77777777" w:rsidR="00EA6155" w:rsidRPr="00EA6155" w:rsidRDefault="00EA6155" w:rsidP="00EA6155">
      <w:pPr>
        <w:pStyle w:val="1"/>
      </w:pPr>
      <w:r w:rsidRPr="00EA6155">
        <w:t>4.5.2 Dense Versus Sparse Models</w:t>
      </w:r>
    </w:p>
    <w:p w14:paraId="7A702621"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 interpretation of model size has become more complex with the widespread adoption of Mixture-of-Experts architectures.</w:t>
      </w:r>
    </w:p>
    <w:p w14:paraId="3B73B6C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lastRenderedPageBreak/>
        <w:t>For dense models, parameter count closely approximates computational complexity because nearly every parameter participates in each inference step.</w:t>
      </w:r>
    </w:p>
    <w:p w14:paraId="6136B9D7"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For sparse models, this relationship changes fundamentally.</w:t>
      </w:r>
    </w:p>
    <w:p w14:paraId="0B8461F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 sparse model may contain hundreds of billions of parameters while activating only a fraction of them during inference. Consequently, total parameter count and active computational cost become separate quantities.</w:t>
      </w:r>
    </w:p>
    <w:p w14:paraId="70B034E6"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This distinction introduces several engineering considerations.</w:t>
      </w:r>
    </w:p>
    <w:p w14:paraId="32EA3D6A" w14:textId="77777777" w:rsidR="00EA6155" w:rsidRPr="00EA6155" w:rsidRDefault="00EA6155" w:rsidP="00EA6155">
      <w:pPr>
        <w:pStyle w:val="2"/>
      </w:pPr>
      <w:r w:rsidRPr="00EA6155">
        <w:t>Effective Capacity</w:t>
      </w:r>
    </w:p>
    <w:p w14:paraId="5F42C7A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Sparse models increase representational capacity without proportionally increasing computation.</w:t>
      </w:r>
    </w:p>
    <w:p w14:paraId="1FF30C38"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Instead of requiring every parameter to process every token, specialized experts contribute selectively.</w:t>
      </w:r>
    </w:p>
    <w:p w14:paraId="4A28880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As discussed in Section 4.2, this allows models to scale beyond what would be economically feasible using dense architectures alone.</w:t>
      </w:r>
    </w:p>
    <w:p w14:paraId="0FF82E0C" w14:textId="77777777" w:rsidR="00EA6155" w:rsidRPr="00EA6155" w:rsidRDefault="00EA6155" w:rsidP="00EA6155">
      <w:pPr>
        <w:pStyle w:val="2"/>
      </w:pPr>
      <w:r w:rsidRPr="00EA6155">
        <w:t>Active Parameters</w:t>
      </w:r>
    </w:p>
    <w:p w14:paraId="3F0B353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When evaluating sparse models, engineers should distinguish between:</w:t>
      </w:r>
    </w:p>
    <w:p w14:paraId="2C062573" w14:textId="77777777" w:rsidR="00EA6155" w:rsidRPr="00EA6155" w:rsidRDefault="00EA6155" w:rsidP="0049140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total parameters, </w:t>
      </w:r>
    </w:p>
    <w:p w14:paraId="02D780C7" w14:textId="77777777" w:rsidR="00EA6155" w:rsidRPr="00EA6155" w:rsidRDefault="00EA6155" w:rsidP="0049140E">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active parameters during inference. </w:t>
      </w:r>
    </w:p>
    <w:p w14:paraId="2073F729"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Two models advertising similar total parameter counts may require substantially different computational resources depending on how many parameters are activated for each token.</w:t>
      </w:r>
    </w:p>
    <w:p w14:paraId="1BDDA176"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This distinction is increasingly important when estimating inference cost, hardware utilization, and deployment feasibility.</w:t>
      </w:r>
    </w:p>
    <w:p w14:paraId="2087F3E0" w14:textId="77777777" w:rsidR="00EA6155" w:rsidRPr="00EA6155" w:rsidRDefault="00EA6155" w:rsidP="00EA6155">
      <w:pPr>
        <w:pStyle w:val="2"/>
      </w:pPr>
      <w:r w:rsidRPr="00EA6155">
        <w:t>Operational Trade-offs</w:t>
      </w:r>
    </w:p>
    <w:p w14:paraId="1AA3A135"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Sparse architectures introduce greater implementation complexity.</w:t>
      </w:r>
    </w:p>
    <w:p w14:paraId="126C370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Routing networks determine which experts participate in each computation.</w:t>
      </w:r>
    </w:p>
    <w:p w14:paraId="5C872FE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Load balancing becomes more important.</w:t>
      </w:r>
    </w:p>
    <w:p w14:paraId="494490A5"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Distributed execution may require additional communication among accelerators.</w:t>
      </w:r>
    </w:p>
    <w:p w14:paraId="666DF5D6"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lastRenderedPageBreak/>
        <w:t>Consequently, sparse models should not be viewed simply as "larger dense models."</w:t>
      </w:r>
    </w:p>
    <w:p w14:paraId="237D022A"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Their deployment characteristics differ substantially.</w:t>
      </w:r>
    </w:p>
    <w:p w14:paraId="0DC8BC8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Organizations evaluating sparse architectures should therefore consider benchmark performance together with infrastructure complexity rather than focusing exclusively on total parameter count.</w:t>
      </w:r>
    </w:p>
    <w:p w14:paraId="68F66F5F" w14:textId="77777777" w:rsidR="00EA6155" w:rsidRPr="00EA6155" w:rsidRDefault="00EA6155" w:rsidP="00EA6155">
      <w:pPr>
        <w:spacing w:after="0"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pict w14:anchorId="1F028C52">
          <v:rect id="_x0000_i1325" style="width:0;height:1.5pt" o:hralign="center" o:hrstd="t" o:hr="t" fillcolor="#a0a0a0" stroked="f"/>
        </w:pict>
      </w:r>
    </w:p>
    <w:p w14:paraId="511B7CE8" w14:textId="77777777" w:rsidR="00EA6155" w:rsidRPr="00EA6155" w:rsidRDefault="00EA6155" w:rsidP="00EA6155">
      <w:pPr>
        <w:pStyle w:val="1"/>
      </w:pPr>
      <w:r w:rsidRPr="00EA6155">
        <w:t>4.5.3 Context Window Trade-offs</w:t>
      </w:r>
    </w:p>
    <w:p w14:paraId="2693B19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Parameter count describes model capacity.</w:t>
      </w:r>
    </w:p>
    <w:p w14:paraId="0B11AC01"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Context window describes how much information the model can consider within a single inference request.</w:t>
      </w:r>
    </w:p>
    <w:p w14:paraId="40005F48"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These characteristics are independent.</w:t>
      </w:r>
    </w:p>
    <w:p w14:paraId="69541A7B"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 relatively small model may support an extremely long context window.</w:t>
      </w:r>
    </w:p>
    <w:p w14:paraId="5A88CBE8"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Conversely, an extremely large model may operate with comparatively modest context limits.</w:t>
      </w:r>
    </w:p>
    <w:p w14:paraId="4D035A59" w14:textId="77777777" w:rsidR="00EA6155" w:rsidRPr="00EA6155" w:rsidRDefault="00EA6155" w:rsidP="00EA6155">
      <w:pPr>
        <w:pStyle w:val="2"/>
      </w:pPr>
      <w:r w:rsidRPr="00EA6155">
        <w:t>Why Context Length Matters</w:t>
      </w:r>
    </w:p>
    <w:p w14:paraId="14ADE4B9"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Enterprise AI applications increasingly process:</w:t>
      </w:r>
    </w:p>
    <w:p w14:paraId="6E2C3F42"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technical documentation, </w:t>
      </w:r>
    </w:p>
    <w:p w14:paraId="3283ADB4"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legal contracts, </w:t>
      </w:r>
    </w:p>
    <w:p w14:paraId="00ABAD6F"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software repositories, </w:t>
      </w:r>
    </w:p>
    <w:p w14:paraId="55292309"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financial reports, </w:t>
      </w:r>
    </w:p>
    <w:p w14:paraId="2631F474"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scientific literature, </w:t>
      </w:r>
    </w:p>
    <w:p w14:paraId="657BBF75"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extended conversation histories, </w:t>
      </w:r>
    </w:p>
    <w:p w14:paraId="576CE9FB" w14:textId="77777777" w:rsidR="00EA6155" w:rsidRPr="00EA6155" w:rsidRDefault="00EA6155" w:rsidP="0049140E">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operational logs. </w:t>
      </w:r>
    </w:p>
    <w:p w14:paraId="08593367"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Larger context windows reduce the need to divide these resources into numerous smaller fragments.</w:t>
      </w:r>
    </w:p>
    <w:p w14:paraId="6115BB8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This often improves coherence because the model can reason across larger portions of the available information.</w:t>
      </w:r>
    </w:p>
    <w:p w14:paraId="19C70979" w14:textId="77777777" w:rsidR="00EA6155" w:rsidRPr="00EA6155" w:rsidRDefault="00EA6155" w:rsidP="00EA6155">
      <w:pPr>
        <w:pStyle w:val="2"/>
      </w:pPr>
      <w:r w:rsidRPr="00EA6155">
        <w:t>Engineering Trade-offs</w:t>
      </w:r>
    </w:p>
    <w:p w14:paraId="03C336F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Longer context windows introduce significant operational costs.</w:t>
      </w:r>
    </w:p>
    <w:p w14:paraId="732114B8"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lastRenderedPageBreak/>
        <w:t>Memory consumption increases.</w:t>
      </w:r>
    </w:p>
    <w:p w14:paraId="5724D95E"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Inference latency generally rises because more tokens must be processed before generation begins.</w:t>
      </w:r>
    </w:p>
    <w:p w14:paraId="3BB3D52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Throughput decreases as longer requests occupy accelerator resources for extended periods.</w:t>
      </w:r>
    </w:p>
    <w:p w14:paraId="7D05D3A5"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Infrastructure planning therefore becomes increasingly dependent on prompt characteristics rather than solely on model size.</w:t>
      </w:r>
    </w:p>
    <w:p w14:paraId="639558E6"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These considerations become particularly important for production platforms serving multiple applications with widely varying request sizes.</w:t>
      </w:r>
    </w:p>
    <w:p w14:paraId="73806869" w14:textId="77777777" w:rsidR="00EA6155" w:rsidRPr="00EA6155" w:rsidRDefault="00EA6155" w:rsidP="00EA6155">
      <w:pPr>
        <w:pStyle w:val="2"/>
      </w:pPr>
      <w:r w:rsidRPr="00EA6155">
        <w:t>Long Context Does Not Replace Retrieval</w:t>
      </w:r>
    </w:p>
    <w:p w14:paraId="203283D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One common misconception is that sufficiently long context windows eliminate retrieval systems.</w:t>
      </w:r>
    </w:p>
    <w:p w14:paraId="4CF7FCE9"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 practice, longer context and retrieval solve different engineering problems.</w:t>
      </w:r>
    </w:p>
    <w:p w14:paraId="60AE4684"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Retrieval identifies relevant information.</w:t>
      </w:r>
    </w:p>
    <w:p w14:paraId="18D427E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Long context preserves larger quantities of relevant information.</w:t>
      </w:r>
    </w:p>
    <w:p w14:paraId="1E0C46C7"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Supplying hundreds of pages of largely irrelevant material to a language model frequently produces poorer results than retrieving a small number of highly relevant documents.</w:t>
      </w:r>
    </w:p>
    <w:p w14:paraId="5804030E"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Consequently, modern production architectures increasingly combine retrieval systems with expanded context windows rather than viewing them as competing approaches.</w:t>
      </w:r>
    </w:p>
    <w:p w14:paraId="2CF603DB"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 design of retrieval architectures and context engineering is examined comprehensively in Chapter 12.</w:t>
      </w:r>
    </w:p>
    <w:p w14:paraId="74FEC53E" w14:textId="77777777" w:rsidR="00EA6155" w:rsidRPr="00EA6155" w:rsidRDefault="00EA6155" w:rsidP="00EA6155">
      <w:pPr>
        <w:pStyle w:val="2"/>
      </w:pPr>
      <w:r w:rsidRPr="00EA6155">
        <w:t>Context Quality Versus Context Quantity</w:t>
      </w:r>
    </w:p>
    <w:p w14:paraId="6CE1CFC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Another important distinction concerns maximum supported context versus effective context utilization.</w:t>
      </w:r>
    </w:p>
    <w:p w14:paraId="2DEE34CE"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 model may technically accept hundreds of thousands of tokens while exhibiting declining reasoning quality as important information becomes increasingly distant within the sequence.</w:t>
      </w:r>
    </w:p>
    <w:p w14:paraId="266C9F6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lastRenderedPageBreak/>
        <w:t>Therefore, published maximum context lengths should be interpreted as engineering limits rather than guarantees of consistent reasoning quality across the entire window.</w:t>
      </w:r>
    </w:p>
    <w:p w14:paraId="302AE5DD"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Organizations deploying long-context applications should validate practical performance using representative workloads rather than relying exclusively on vendor specifications.</w:t>
      </w:r>
    </w:p>
    <w:p w14:paraId="78C12DC4" w14:textId="77777777" w:rsidR="00EA6155" w:rsidRPr="00EA6155" w:rsidRDefault="00EA6155" w:rsidP="00EA6155">
      <w:pPr>
        <w:spacing w:after="0"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pict w14:anchorId="3FCDFA75">
          <v:rect id="_x0000_i1326" style="width:0;height:1.5pt" o:hralign="center" o:hrstd="t" o:hr="t" fillcolor="#a0a0a0" stroked="f"/>
        </w:pict>
      </w:r>
    </w:p>
    <w:p w14:paraId="2605BA48" w14:textId="77777777" w:rsidR="00EA6155" w:rsidRPr="00EA6155" w:rsidRDefault="00EA6155" w:rsidP="00EA6155">
      <w:pPr>
        <w:pStyle w:val="1"/>
      </w:pPr>
      <w:r w:rsidRPr="00EA6155">
        <w:t>4.5.4 Instruction-Tuned Versus Base Models</w:t>
      </w:r>
    </w:p>
    <w:p w14:paraId="44C81C38"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Another important dimension of model capability concerns training objective rather than architecture or size.</w:t>
      </w:r>
    </w:p>
    <w:p w14:paraId="4BEF75CC"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Most modern model families are available in multiple variants, typically including a </w:t>
      </w:r>
      <w:r w:rsidRPr="00EA6155">
        <w:rPr>
          <w:rFonts w:ascii="Times New Roman" w:eastAsia="Times New Roman" w:hAnsi="Times New Roman" w:cs="Times New Roman"/>
          <w:b/>
          <w:bCs/>
          <w:sz w:val="28"/>
          <w:szCs w:val="28"/>
        </w:rPr>
        <w:t>base model</w:t>
      </w:r>
      <w:r w:rsidRPr="00EA6155">
        <w:rPr>
          <w:rFonts w:ascii="Times New Roman" w:eastAsia="Times New Roman" w:hAnsi="Times New Roman" w:cs="Times New Roman"/>
          <w:sz w:val="28"/>
          <w:szCs w:val="28"/>
        </w:rPr>
        <w:t xml:space="preserve"> and one or more </w:t>
      </w:r>
      <w:r w:rsidRPr="00EA6155">
        <w:rPr>
          <w:rFonts w:ascii="Times New Roman" w:eastAsia="Times New Roman" w:hAnsi="Times New Roman" w:cs="Times New Roman"/>
          <w:b/>
          <w:bCs/>
          <w:sz w:val="28"/>
          <w:szCs w:val="28"/>
        </w:rPr>
        <w:t>instruction-tuned models</w:t>
      </w:r>
      <w:r w:rsidRPr="00EA6155">
        <w:rPr>
          <w:rFonts w:ascii="Times New Roman" w:eastAsia="Times New Roman" w:hAnsi="Times New Roman" w:cs="Times New Roman"/>
          <w:sz w:val="28"/>
          <w:szCs w:val="28"/>
        </w:rPr>
        <w:t>.</w:t>
      </w:r>
    </w:p>
    <w:p w14:paraId="3C86EAB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Although both versions share the same underlying architecture, their intended production uses differ significantly.</w:t>
      </w:r>
    </w:p>
    <w:p w14:paraId="1EE6BBD5" w14:textId="77777777" w:rsidR="00EA6155" w:rsidRPr="00EA6155" w:rsidRDefault="00EA6155" w:rsidP="00EA6155">
      <w:pPr>
        <w:pStyle w:val="2"/>
      </w:pPr>
      <w:r w:rsidRPr="00EA6155">
        <w:t>Base Models</w:t>
      </w:r>
    </w:p>
    <w:p w14:paraId="14C095F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Base models are trained primarily to predict the next token from large collections of text.</w:t>
      </w:r>
    </w:p>
    <w:p w14:paraId="3B454E44"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They possess extensive linguistic and factual knowledge but have not been specifically optimized to interact naturally with users.</w:t>
      </w:r>
    </w:p>
    <w:p w14:paraId="6CD8490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Consequently, they often require carefully constructed prompts and may produce responses that appear inconsistent, incomplete, or difficult to control.</w:t>
      </w:r>
    </w:p>
    <w:p w14:paraId="4075EEC7"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Base models remain valuable for research, continued pretraining, domain adaptation, and specialized fine-tuning because they preserve maximum flexibility.</w:t>
      </w:r>
    </w:p>
    <w:p w14:paraId="07561759"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However, they rarely represent the preferred choice for general-purpose conversational applications.</w:t>
      </w:r>
    </w:p>
    <w:p w14:paraId="0CCA56A6" w14:textId="77777777" w:rsidR="00EA6155" w:rsidRPr="00EA6155" w:rsidRDefault="00EA6155" w:rsidP="00EA6155">
      <w:pPr>
        <w:pStyle w:val="2"/>
      </w:pPr>
      <w:r w:rsidRPr="00EA6155">
        <w:t>Instruction-Tuned Models</w:t>
      </w:r>
    </w:p>
    <w:p w14:paraId="496AE35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Instruction tuning adapts pretrained models to follow natural language instructions more effectively.</w:t>
      </w:r>
    </w:p>
    <w:p w14:paraId="249F5911"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Rather than merely predicting statistically plausible continuations, instruction-tuned models learn behavioral patterns associated with helpful dialogue, structured outputs, question answering, summarization, reasoning, and tool interaction.</w:t>
      </w:r>
    </w:p>
    <w:p w14:paraId="1028B55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lastRenderedPageBreak/>
        <w:t>Most production conversational systems therefore employ instruction-tuned variants.</w:t>
      </w:r>
    </w:p>
    <w:p w14:paraId="04C0E3F5"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These models generally provide:</w:t>
      </w:r>
    </w:p>
    <w:p w14:paraId="76F5E752" w14:textId="77777777" w:rsidR="00EA6155" w:rsidRPr="00EA6155" w:rsidRDefault="00EA6155" w:rsidP="0049140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improved instruction following, </w:t>
      </w:r>
    </w:p>
    <w:p w14:paraId="52B83344" w14:textId="77777777" w:rsidR="00EA6155" w:rsidRPr="00EA6155" w:rsidRDefault="00EA6155" w:rsidP="0049140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better conversational quality, </w:t>
      </w:r>
    </w:p>
    <w:p w14:paraId="7F93A8EB" w14:textId="77777777" w:rsidR="00EA6155" w:rsidRPr="00EA6155" w:rsidRDefault="00EA6155" w:rsidP="0049140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greater consistency, </w:t>
      </w:r>
    </w:p>
    <w:p w14:paraId="5EC42AD1" w14:textId="77777777" w:rsidR="00EA6155" w:rsidRPr="00EA6155" w:rsidRDefault="00EA6155" w:rsidP="0049140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enhanced safety behavior, </w:t>
      </w:r>
    </w:p>
    <w:p w14:paraId="26AB800D" w14:textId="77777777" w:rsidR="00EA6155" w:rsidRPr="00EA6155" w:rsidRDefault="00EA6155" w:rsidP="0049140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more reliable structured responses, </w:t>
      </w:r>
    </w:p>
    <w:p w14:paraId="1C5C2A52" w14:textId="77777777" w:rsidR="00EA6155" w:rsidRPr="00EA6155" w:rsidRDefault="00EA6155" w:rsidP="0049140E">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 xml:space="preserve">stronger tool-calling capability. </w:t>
      </w:r>
    </w:p>
    <w:p w14:paraId="16D05D17"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The improvement often exceeds what could be achieved by modest increases in parameter count alone.</w:t>
      </w:r>
    </w:p>
    <w:p w14:paraId="528FF1E7" w14:textId="77777777" w:rsidR="00EA6155" w:rsidRPr="00EA6155" w:rsidRDefault="00EA6155" w:rsidP="00EA6155">
      <w:pPr>
        <w:pStyle w:val="2"/>
      </w:pPr>
      <w:r w:rsidRPr="00EA6155">
        <w:t>Production Considerations</w:t>
      </w:r>
    </w:p>
    <w:p w14:paraId="77400DBF"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For platform engineers, selecting between base and instruction-tuned models depends primarily on intended workload.</w:t>
      </w:r>
    </w:p>
    <w:p w14:paraId="6F5C48A0"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Organizations developing interactive assistants, document analysis systems, coding assistants, or customer support applications almost always benefit from instruction-tuned models.</w:t>
      </w:r>
    </w:p>
    <w:p w14:paraId="425B2639"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Conversely, organizations planning substantial additional domain adaptation may prefer base models because they provide greater flexibility during subsequent training.</w:t>
      </w:r>
    </w:p>
    <w:p w14:paraId="3DD63B8A"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It is also increasingly common for vendors to publish multiple instruction-tuned variants optimized for different objectives, such as reasoning, coding, multilingual communication, or lightweight deployment.</w:t>
      </w:r>
    </w:p>
    <w:p w14:paraId="5EB6E70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Model selection should therefore consider the complete family rather than evaluating only a single representative checkpoint.</w:t>
      </w:r>
    </w:p>
    <w:p w14:paraId="29C93BAD" w14:textId="77777777" w:rsidR="00EA6155" w:rsidRPr="00EA6155" w:rsidRDefault="00EA6155" w:rsidP="00EA6155">
      <w:pPr>
        <w:spacing w:after="0"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pict w14:anchorId="5C0E3E15">
          <v:rect id="_x0000_i1327" style="width:0;height:1.5pt" o:hralign="center" o:hrstd="t" o:hr="t" fillcolor="#a0a0a0" stroked="f"/>
        </w:pict>
      </w:r>
    </w:p>
    <w:p w14:paraId="280330AB" w14:textId="77777777" w:rsidR="00EA6155" w:rsidRPr="00EA6155" w:rsidRDefault="00EA6155" w:rsidP="00EA6155">
      <w:pPr>
        <w:rPr>
          <w:rFonts w:ascii="Times New Roman" w:hAnsi="Times New Roman" w:cs="Times New Roman"/>
          <w:b/>
          <w:bCs/>
          <w:sz w:val="28"/>
          <w:szCs w:val="28"/>
        </w:rPr>
      </w:pPr>
      <w:r w:rsidRPr="00EA6155">
        <w:rPr>
          <w:rFonts w:ascii="Times New Roman" w:hAnsi="Times New Roman" w:cs="Times New Roman"/>
          <w:b/>
          <w:bCs/>
          <w:sz w:val="28"/>
          <w:szCs w:val="28"/>
        </w:rPr>
        <w:t>Table 4.5. How Model Characteristics Affect Production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2669"/>
        <w:gridCol w:w="2503"/>
        <w:gridCol w:w="2486"/>
      </w:tblGrid>
      <w:tr w:rsidR="00EA6155" w:rsidRPr="00EA6155" w14:paraId="7E9E6635" w14:textId="77777777" w:rsidTr="00EA6155">
        <w:trPr>
          <w:tblHeader/>
          <w:tblCellSpacing w:w="15" w:type="dxa"/>
        </w:trPr>
        <w:tc>
          <w:tcPr>
            <w:tcW w:w="0" w:type="auto"/>
            <w:vAlign w:val="center"/>
            <w:hideMark/>
          </w:tcPr>
          <w:p w14:paraId="1D6EDB47" w14:textId="77777777" w:rsidR="00EA6155" w:rsidRPr="00EA6155" w:rsidRDefault="00EA6155" w:rsidP="00EA6155">
            <w:pPr>
              <w:spacing w:after="0" w:line="240" w:lineRule="auto"/>
              <w:jc w:val="center"/>
              <w:rPr>
                <w:rFonts w:ascii="Times New Roman" w:eastAsia="Times New Roman" w:hAnsi="Times New Roman" w:cs="Times New Roman"/>
                <w:b/>
                <w:bCs/>
                <w:sz w:val="24"/>
                <w:szCs w:val="24"/>
              </w:rPr>
            </w:pPr>
            <w:r w:rsidRPr="00EA6155">
              <w:rPr>
                <w:rFonts w:ascii="Times New Roman" w:eastAsia="Times New Roman" w:hAnsi="Times New Roman" w:cs="Times New Roman"/>
                <w:b/>
                <w:bCs/>
                <w:sz w:val="24"/>
                <w:szCs w:val="24"/>
              </w:rPr>
              <w:t>Model Characteristic</w:t>
            </w:r>
          </w:p>
        </w:tc>
        <w:tc>
          <w:tcPr>
            <w:tcW w:w="0" w:type="auto"/>
            <w:vAlign w:val="center"/>
            <w:hideMark/>
          </w:tcPr>
          <w:p w14:paraId="40DEED63" w14:textId="77777777" w:rsidR="00EA6155" w:rsidRPr="00EA6155" w:rsidRDefault="00EA6155" w:rsidP="00EA6155">
            <w:pPr>
              <w:spacing w:after="0" w:line="240" w:lineRule="auto"/>
              <w:jc w:val="center"/>
              <w:rPr>
                <w:rFonts w:ascii="Times New Roman" w:eastAsia="Times New Roman" w:hAnsi="Times New Roman" w:cs="Times New Roman"/>
                <w:b/>
                <w:bCs/>
                <w:sz w:val="24"/>
                <w:szCs w:val="24"/>
              </w:rPr>
            </w:pPr>
            <w:r w:rsidRPr="00EA6155">
              <w:rPr>
                <w:rFonts w:ascii="Times New Roman" w:eastAsia="Times New Roman" w:hAnsi="Times New Roman" w:cs="Times New Roman"/>
                <w:b/>
                <w:bCs/>
                <w:sz w:val="24"/>
                <w:szCs w:val="24"/>
              </w:rPr>
              <w:t>Primary Benefits</w:t>
            </w:r>
          </w:p>
        </w:tc>
        <w:tc>
          <w:tcPr>
            <w:tcW w:w="0" w:type="auto"/>
            <w:vAlign w:val="center"/>
            <w:hideMark/>
          </w:tcPr>
          <w:p w14:paraId="4345CA74" w14:textId="77777777" w:rsidR="00EA6155" w:rsidRPr="00EA6155" w:rsidRDefault="00EA6155" w:rsidP="00EA6155">
            <w:pPr>
              <w:spacing w:after="0" w:line="240" w:lineRule="auto"/>
              <w:jc w:val="center"/>
              <w:rPr>
                <w:rFonts w:ascii="Times New Roman" w:eastAsia="Times New Roman" w:hAnsi="Times New Roman" w:cs="Times New Roman"/>
                <w:b/>
                <w:bCs/>
                <w:sz w:val="24"/>
                <w:szCs w:val="24"/>
              </w:rPr>
            </w:pPr>
            <w:r w:rsidRPr="00EA6155">
              <w:rPr>
                <w:rFonts w:ascii="Times New Roman" w:eastAsia="Times New Roman" w:hAnsi="Times New Roman" w:cs="Times New Roman"/>
                <w:b/>
                <w:bCs/>
                <w:sz w:val="24"/>
                <w:szCs w:val="24"/>
              </w:rPr>
              <w:t>Engineering Trade-offs</w:t>
            </w:r>
          </w:p>
        </w:tc>
        <w:tc>
          <w:tcPr>
            <w:tcW w:w="0" w:type="auto"/>
            <w:vAlign w:val="center"/>
            <w:hideMark/>
          </w:tcPr>
          <w:p w14:paraId="677495A9" w14:textId="77777777" w:rsidR="00EA6155" w:rsidRPr="00EA6155" w:rsidRDefault="00EA6155" w:rsidP="00EA6155">
            <w:pPr>
              <w:spacing w:after="0" w:line="240" w:lineRule="auto"/>
              <w:jc w:val="center"/>
              <w:rPr>
                <w:rFonts w:ascii="Times New Roman" w:eastAsia="Times New Roman" w:hAnsi="Times New Roman" w:cs="Times New Roman"/>
                <w:b/>
                <w:bCs/>
                <w:sz w:val="24"/>
                <w:szCs w:val="24"/>
              </w:rPr>
            </w:pPr>
            <w:r w:rsidRPr="00EA6155">
              <w:rPr>
                <w:rFonts w:ascii="Times New Roman" w:eastAsia="Times New Roman" w:hAnsi="Times New Roman" w:cs="Times New Roman"/>
                <w:b/>
                <w:bCs/>
                <w:sz w:val="24"/>
                <w:szCs w:val="24"/>
              </w:rPr>
              <w:t>Operational Impact</w:t>
            </w:r>
          </w:p>
        </w:tc>
      </w:tr>
      <w:tr w:rsidR="00EA6155" w:rsidRPr="00EA6155" w14:paraId="4692CC05" w14:textId="77777777" w:rsidTr="00EA6155">
        <w:trPr>
          <w:tblCellSpacing w:w="15" w:type="dxa"/>
        </w:trPr>
        <w:tc>
          <w:tcPr>
            <w:tcW w:w="0" w:type="auto"/>
            <w:vAlign w:val="center"/>
            <w:hideMark/>
          </w:tcPr>
          <w:p w14:paraId="1DC3FC16"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t>Larger parameter count</w:t>
            </w:r>
          </w:p>
        </w:tc>
        <w:tc>
          <w:tcPr>
            <w:tcW w:w="0" w:type="auto"/>
            <w:vAlign w:val="center"/>
            <w:hideMark/>
          </w:tcPr>
          <w:p w14:paraId="02AAA326"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Improved representational capacity, stronger reasoning, broader knowledge, greater robustness across tasks</w:t>
            </w:r>
          </w:p>
        </w:tc>
        <w:tc>
          <w:tcPr>
            <w:tcW w:w="0" w:type="auto"/>
            <w:vAlign w:val="center"/>
            <w:hideMark/>
          </w:tcPr>
          <w:p w14:paraId="6741A366"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Higher memory requirements, increased latency, greater infrastructure cost, longer deployment times</w:t>
            </w:r>
          </w:p>
        </w:tc>
        <w:tc>
          <w:tcPr>
            <w:tcW w:w="0" w:type="auto"/>
            <w:vAlign w:val="center"/>
            <w:hideMark/>
          </w:tcPr>
          <w:p w14:paraId="5C265B8B"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Requires larger accelerators, higher operational expenditure, and more sophisticated capacity planning</w:t>
            </w:r>
          </w:p>
        </w:tc>
      </w:tr>
      <w:tr w:rsidR="00EA6155" w:rsidRPr="00EA6155" w14:paraId="6AFF9F5B" w14:textId="77777777" w:rsidTr="00EA6155">
        <w:trPr>
          <w:tblCellSpacing w:w="15" w:type="dxa"/>
        </w:trPr>
        <w:tc>
          <w:tcPr>
            <w:tcW w:w="0" w:type="auto"/>
            <w:vAlign w:val="center"/>
            <w:hideMark/>
          </w:tcPr>
          <w:p w14:paraId="08A9C492"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lastRenderedPageBreak/>
              <w:t>Smaller parameter count</w:t>
            </w:r>
          </w:p>
        </w:tc>
        <w:tc>
          <w:tcPr>
            <w:tcW w:w="0" w:type="auto"/>
            <w:vAlign w:val="center"/>
            <w:hideMark/>
          </w:tcPr>
          <w:p w14:paraId="73E6C5F7"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Lower latency, reduced infrastructure cost, easier deployment, improved energy efficiency</w:t>
            </w:r>
          </w:p>
        </w:tc>
        <w:tc>
          <w:tcPr>
            <w:tcW w:w="0" w:type="auto"/>
            <w:vAlign w:val="center"/>
            <w:hideMark/>
          </w:tcPr>
          <w:p w14:paraId="77458605"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Reduced capability on highly complex reasoning tasks, smaller knowledge capacity</w:t>
            </w:r>
          </w:p>
        </w:tc>
        <w:tc>
          <w:tcPr>
            <w:tcW w:w="0" w:type="auto"/>
            <w:vAlign w:val="center"/>
            <w:hideMark/>
          </w:tcPr>
          <w:p w14:paraId="4133603B"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Well suited for edge deployment, local inference, latency-sensitive services, and cost-constrained workloads</w:t>
            </w:r>
          </w:p>
        </w:tc>
      </w:tr>
      <w:tr w:rsidR="00EA6155" w:rsidRPr="00EA6155" w14:paraId="3E310784" w14:textId="77777777" w:rsidTr="00EA6155">
        <w:trPr>
          <w:tblCellSpacing w:w="15" w:type="dxa"/>
        </w:trPr>
        <w:tc>
          <w:tcPr>
            <w:tcW w:w="0" w:type="auto"/>
            <w:vAlign w:val="center"/>
            <w:hideMark/>
          </w:tcPr>
          <w:p w14:paraId="6B9163C9"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t>Dense architecture</w:t>
            </w:r>
          </w:p>
        </w:tc>
        <w:tc>
          <w:tcPr>
            <w:tcW w:w="0" w:type="auto"/>
            <w:vAlign w:val="center"/>
            <w:hideMark/>
          </w:tcPr>
          <w:p w14:paraId="43AE0E6E"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Predictable execution characteristics, mature ecosystem, straightforward deployment</w:t>
            </w:r>
          </w:p>
        </w:tc>
        <w:tc>
          <w:tcPr>
            <w:tcW w:w="0" w:type="auto"/>
            <w:vAlign w:val="center"/>
            <w:hideMark/>
          </w:tcPr>
          <w:p w14:paraId="076C67E8"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Computational cost grows directly with model size</w:t>
            </w:r>
          </w:p>
        </w:tc>
        <w:tc>
          <w:tcPr>
            <w:tcW w:w="0" w:type="auto"/>
            <w:vAlign w:val="center"/>
            <w:hideMark/>
          </w:tcPr>
          <w:p w14:paraId="64DAEFDE"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Simpler infrastructure planning and broad inference engine compatibility</w:t>
            </w:r>
          </w:p>
        </w:tc>
      </w:tr>
      <w:tr w:rsidR="00EA6155" w:rsidRPr="00EA6155" w14:paraId="55B09243" w14:textId="77777777" w:rsidTr="00EA6155">
        <w:trPr>
          <w:tblCellSpacing w:w="15" w:type="dxa"/>
        </w:trPr>
        <w:tc>
          <w:tcPr>
            <w:tcW w:w="0" w:type="auto"/>
            <w:vAlign w:val="center"/>
            <w:hideMark/>
          </w:tcPr>
          <w:p w14:paraId="79FA340F"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t>Sparse (MoE) architecture</w:t>
            </w:r>
          </w:p>
        </w:tc>
        <w:tc>
          <w:tcPr>
            <w:tcW w:w="0" w:type="auto"/>
            <w:vAlign w:val="center"/>
            <w:hideMark/>
          </w:tcPr>
          <w:p w14:paraId="0EAC0CE0"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Higher effective capacity with lower active computation</w:t>
            </w:r>
          </w:p>
        </w:tc>
        <w:tc>
          <w:tcPr>
            <w:tcW w:w="0" w:type="auto"/>
            <w:vAlign w:val="center"/>
            <w:hideMark/>
          </w:tcPr>
          <w:p w14:paraId="7976B6BA"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Greater serving complexity, routing overhead, distributed execution challenges</w:t>
            </w:r>
          </w:p>
        </w:tc>
        <w:tc>
          <w:tcPr>
            <w:tcW w:w="0" w:type="auto"/>
            <w:vAlign w:val="center"/>
            <w:hideMark/>
          </w:tcPr>
          <w:p w14:paraId="5A4CF71A"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May improve capability-to-cost ratio when supported by appropriate serving infrastructure</w:t>
            </w:r>
          </w:p>
        </w:tc>
      </w:tr>
      <w:tr w:rsidR="00EA6155" w:rsidRPr="00EA6155" w14:paraId="6042D289" w14:textId="77777777" w:rsidTr="00EA6155">
        <w:trPr>
          <w:tblCellSpacing w:w="15" w:type="dxa"/>
        </w:trPr>
        <w:tc>
          <w:tcPr>
            <w:tcW w:w="0" w:type="auto"/>
            <w:vAlign w:val="center"/>
            <w:hideMark/>
          </w:tcPr>
          <w:p w14:paraId="71E7EACE"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t>Long context window</w:t>
            </w:r>
          </w:p>
        </w:tc>
        <w:tc>
          <w:tcPr>
            <w:tcW w:w="0" w:type="auto"/>
            <w:vAlign w:val="center"/>
            <w:hideMark/>
          </w:tcPr>
          <w:p w14:paraId="6927D233"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Supports larger documents, richer conversations, reduced fragmentation of information</w:t>
            </w:r>
          </w:p>
        </w:tc>
        <w:tc>
          <w:tcPr>
            <w:tcW w:w="0" w:type="auto"/>
            <w:vAlign w:val="center"/>
            <w:hideMark/>
          </w:tcPr>
          <w:p w14:paraId="37B7E7FD"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Increased memory consumption, longer inference time, reduced throughput</w:t>
            </w:r>
          </w:p>
        </w:tc>
        <w:tc>
          <w:tcPr>
            <w:tcW w:w="0" w:type="auto"/>
            <w:vAlign w:val="center"/>
            <w:hideMark/>
          </w:tcPr>
          <w:p w14:paraId="254B993F"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Requires careful workload validation and often higher-capacity hardware</w:t>
            </w:r>
          </w:p>
        </w:tc>
      </w:tr>
      <w:tr w:rsidR="00EA6155" w:rsidRPr="00EA6155" w14:paraId="09F61690" w14:textId="77777777" w:rsidTr="00EA6155">
        <w:trPr>
          <w:tblCellSpacing w:w="15" w:type="dxa"/>
        </w:trPr>
        <w:tc>
          <w:tcPr>
            <w:tcW w:w="0" w:type="auto"/>
            <w:vAlign w:val="center"/>
            <w:hideMark/>
          </w:tcPr>
          <w:p w14:paraId="7E93CB00"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t>Instruction-tuned model</w:t>
            </w:r>
          </w:p>
        </w:tc>
        <w:tc>
          <w:tcPr>
            <w:tcW w:w="0" w:type="auto"/>
            <w:vAlign w:val="center"/>
            <w:hideMark/>
          </w:tcPr>
          <w:p w14:paraId="06DFBB29"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Better instruction following, conversational quality, structured outputs, and user experience</w:t>
            </w:r>
          </w:p>
        </w:tc>
        <w:tc>
          <w:tcPr>
            <w:tcW w:w="0" w:type="auto"/>
            <w:vAlign w:val="center"/>
            <w:hideMark/>
          </w:tcPr>
          <w:p w14:paraId="501BC69F"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Less flexible for continued pretraining than base models</w:t>
            </w:r>
          </w:p>
        </w:tc>
        <w:tc>
          <w:tcPr>
            <w:tcW w:w="0" w:type="auto"/>
            <w:vAlign w:val="center"/>
            <w:hideMark/>
          </w:tcPr>
          <w:p w14:paraId="549F9A7A"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Preferred for most production assistants and enterprise applications</w:t>
            </w:r>
          </w:p>
        </w:tc>
      </w:tr>
      <w:tr w:rsidR="00EA6155" w:rsidRPr="00EA6155" w14:paraId="76A117F7" w14:textId="77777777" w:rsidTr="00EA6155">
        <w:trPr>
          <w:tblCellSpacing w:w="15" w:type="dxa"/>
        </w:trPr>
        <w:tc>
          <w:tcPr>
            <w:tcW w:w="0" w:type="auto"/>
            <w:vAlign w:val="center"/>
            <w:hideMark/>
          </w:tcPr>
          <w:p w14:paraId="40CC366E"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b/>
                <w:bCs/>
                <w:sz w:val="24"/>
                <w:szCs w:val="24"/>
              </w:rPr>
              <w:t>Base model</w:t>
            </w:r>
          </w:p>
        </w:tc>
        <w:tc>
          <w:tcPr>
            <w:tcW w:w="0" w:type="auto"/>
            <w:vAlign w:val="center"/>
            <w:hideMark/>
          </w:tcPr>
          <w:p w14:paraId="7550E290"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Maximum adaptability for further training and domain specialization</w:t>
            </w:r>
          </w:p>
        </w:tc>
        <w:tc>
          <w:tcPr>
            <w:tcW w:w="0" w:type="auto"/>
            <w:vAlign w:val="center"/>
            <w:hideMark/>
          </w:tcPr>
          <w:p w14:paraId="3B10AEE4"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Requires more sophisticated prompting and additional tuning for user-facing systems</w:t>
            </w:r>
          </w:p>
        </w:tc>
        <w:tc>
          <w:tcPr>
            <w:tcW w:w="0" w:type="auto"/>
            <w:vAlign w:val="center"/>
            <w:hideMark/>
          </w:tcPr>
          <w:p w14:paraId="0A122EFB" w14:textId="77777777" w:rsidR="00EA6155" w:rsidRPr="00EA6155" w:rsidRDefault="00EA6155" w:rsidP="00EA6155">
            <w:pPr>
              <w:spacing w:after="0" w:line="240" w:lineRule="auto"/>
              <w:rPr>
                <w:rFonts w:ascii="Times New Roman" w:eastAsia="Times New Roman" w:hAnsi="Times New Roman" w:cs="Times New Roman"/>
                <w:sz w:val="24"/>
                <w:szCs w:val="24"/>
              </w:rPr>
            </w:pPr>
            <w:r w:rsidRPr="00EA6155">
              <w:rPr>
                <w:rFonts w:ascii="Times New Roman" w:eastAsia="Times New Roman" w:hAnsi="Times New Roman" w:cs="Times New Roman"/>
                <w:sz w:val="24"/>
                <w:szCs w:val="24"/>
              </w:rPr>
              <w:t>Best suited for research, continued pretraining, and specialized fine-tuning pipelines</w:t>
            </w:r>
          </w:p>
        </w:tc>
      </w:tr>
    </w:tbl>
    <w:p w14:paraId="1D215532"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Model size should therefore be viewed as one component of a multidimensional engineering decision rather than a primary objective. Effective production AI platforms rarely deploy the largest available model simply because it achieves the highest benchmark scores. Instead, they seek an appropriate balance among capability, infrastructure cost, latency, scalability, maintainability, and business requirements.</w:t>
      </w:r>
    </w:p>
    <w:p w14:paraId="22CE1963" w14:textId="77777777" w:rsidR="00EA6155" w:rsidRPr="00EA6155" w:rsidRDefault="00EA6155" w:rsidP="00EA6155">
      <w:pPr>
        <w:spacing w:before="100" w:beforeAutospacing="1" w:after="100" w:afterAutospacing="1" w:line="240" w:lineRule="auto"/>
        <w:rPr>
          <w:rFonts w:ascii="Times New Roman" w:eastAsia="Times New Roman" w:hAnsi="Times New Roman" w:cs="Times New Roman"/>
          <w:sz w:val="28"/>
          <w:szCs w:val="28"/>
        </w:rPr>
      </w:pPr>
      <w:r w:rsidRPr="00EA6155">
        <w:rPr>
          <w:rFonts w:ascii="Times New Roman" w:eastAsia="Times New Roman" w:hAnsi="Times New Roman" w:cs="Times New Roman"/>
          <w:sz w:val="28"/>
          <w:szCs w:val="28"/>
        </w:rPr>
        <w:t>As the open-weight ecosystem continues to mature, improvements in training methodology, architectural efficiency, and optimization techniques increasingly allow smaller models to achieve capabilities previously associated only with much larger systems. Consequently, evidence-based evaluation—not parameter count alone—should remain the primary driver of model selection.</w:t>
      </w:r>
    </w:p>
    <w:p w14:paraId="505D2A2E" w14:textId="77777777" w:rsidR="00B41E15" w:rsidRPr="00B41E15" w:rsidRDefault="00B41E15" w:rsidP="00B41E15">
      <w:pPr>
        <w:spacing w:before="100" w:beforeAutospacing="1" w:after="100" w:afterAutospacing="1" w:line="240" w:lineRule="auto"/>
        <w:outlineLvl w:val="1"/>
        <w:rPr>
          <w:rFonts w:ascii="Times New Roman" w:eastAsia="Times New Roman" w:hAnsi="Times New Roman" w:cs="Times New Roman"/>
          <w:b/>
          <w:bCs/>
          <w:sz w:val="40"/>
          <w:szCs w:val="40"/>
        </w:rPr>
      </w:pPr>
      <w:r w:rsidRPr="00B41E15">
        <w:rPr>
          <w:rFonts w:ascii="Times New Roman" w:eastAsia="Times New Roman" w:hAnsi="Times New Roman" w:cs="Times New Roman"/>
          <w:b/>
          <w:bCs/>
          <w:sz w:val="40"/>
          <w:szCs w:val="40"/>
        </w:rPr>
        <w:t>4.6 Hardware Considerations</w:t>
      </w:r>
    </w:p>
    <w:p w14:paraId="212817A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Model selection and hardware selection are inseparable engineering decisions. Every foundation model makes implicit assumptions about the computational </w:t>
      </w:r>
      <w:r w:rsidRPr="00B41E15">
        <w:rPr>
          <w:rFonts w:ascii="Times New Roman" w:eastAsia="Times New Roman" w:hAnsi="Times New Roman" w:cs="Times New Roman"/>
          <w:sz w:val="28"/>
          <w:szCs w:val="28"/>
        </w:rPr>
        <w:lastRenderedPageBreak/>
        <w:t>resources available for inference, and every deployment environment imposes constraints on the models that can be operated economically. Choosing a model without considering hardware requirements frequently leads to deployments that either exceed infrastructure budgets or fail to meet latency and throughput objectives.</w:t>
      </w:r>
    </w:p>
    <w:p w14:paraId="1A20BAF6"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Unlike conventional software applications, where increased CPU capacity often provides incremental performance improvements, modern foundation models depend heavily on accelerator hardware. GPU memory capacity, memory bandwidth, interconnect topology, storage throughput, and network characteristics all influence practical deployment limits. A model that appears suitable based on benchmark performance may prove impractical because it cannot execute efficiently within the organization's available hardware.</w:t>
      </w:r>
    </w:p>
    <w:p w14:paraId="74B13FEA"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At the same time, hardware planning has become considerably more flexible than during the first generation of large language models. Improvements in quantization, inference optimization, model architecture, and accelerator technology have expanded the range of viable deployment targets. Organizations can now deploy capable language models on laptops, edge devices, enterprise GPU servers, hyperscale cloud infrastructure, and heterogeneous clusters. Consequently, hardware evaluation is no longer about identifying the most powerful accelerator available, but about selecting an appropriate balance between capability, performance, cost, and operational complexity.</w:t>
      </w:r>
    </w:p>
    <w:p w14:paraId="4EEDD7F6"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This section examines hardware considerations from the perspective of model selection rather than infrastructure implementation. Topics such as distributed inference, tensor parallelism, pipeline parallelism, GPU scheduling, and serving optimization are addressed in Chapter 5, while capacity planning and infrastructure economics are discussed in Chapter 17.</w:t>
      </w:r>
    </w:p>
    <w:p w14:paraId="1582DE33" w14:textId="77777777" w:rsidR="00B41E15" w:rsidRPr="00B41E15" w:rsidRDefault="00B41E15" w:rsidP="00B41E15">
      <w:pPr>
        <w:spacing w:after="0"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pict w14:anchorId="4D8EFDC6">
          <v:rect id="_x0000_i1368" style="width:0;height:1.5pt" o:hralign="center" o:hrstd="t" o:hr="t" fillcolor="#a0a0a0" stroked="f"/>
        </w:pict>
      </w:r>
    </w:p>
    <w:p w14:paraId="5892F83C" w14:textId="77777777" w:rsidR="00B41E15" w:rsidRPr="00B41E15" w:rsidRDefault="00B41E15" w:rsidP="00B41E15">
      <w:pPr>
        <w:pStyle w:val="1"/>
      </w:pPr>
      <w:r w:rsidRPr="00B41E15">
        <w:t>4.6.1 GPU Memory Requirements</w:t>
      </w:r>
    </w:p>
    <w:p w14:paraId="1949E7F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 first hardware constraint encountered during model selection is almost always memory capacity.</w:t>
      </w:r>
    </w:p>
    <w:p w14:paraId="4355DF14"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Unlike many traditional applications, where executable code occupies relatively little memory compared with application data, language models themselves constitute the primary memory consumer. Model parameters must reside in accelerator memory during inference, and additional memory is required for activations, temporary computation, tokenizer state, runtime buffers, and intermediate representations associated with user requests.</w:t>
      </w:r>
    </w:p>
    <w:p w14:paraId="505BDA02"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lastRenderedPageBreak/>
        <w:t>Consequently, GPU memory capacity often determines whether a model can be deployed at all.</w:t>
      </w:r>
    </w:p>
    <w:p w14:paraId="6EC74D19" w14:textId="77777777" w:rsidR="00B41E15" w:rsidRPr="00B41E15" w:rsidRDefault="00B41E15" w:rsidP="00B41E15">
      <w:pPr>
        <w:pStyle w:val="2"/>
      </w:pPr>
      <w:r w:rsidRPr="00B41E15">
        <w:t>Memory Consumption Beyond Model Weights</w:t>
      </w:r>
    </w:p>
    <w:p w14:paraId="6EE5B822"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 common misconception is that a model requiring 14 GB of storage will also require approximately 14 GB of GPU memory.</w:t>
      </w:r>
    </w:p>
    <w:p w14:paraId="7DD5DA86"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In practice, inference requires substantially more memory than the serialized model file alone.</w:t>
      </w:r>
    </w:p>
    <w:p w14:paraId="102D2F5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Additional memory is consumed by:</w:t>
      </w:r>
    </w:p>
    <w:p w14:paraId="307E8675"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runtime execution buffers, </w:t>
      </w:r>
    </w:p>
    <w:p w14:paraId="00F90C87"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activation tensors, </w:t>
      </w:r>
    </w:p>
    <w:p w14:paraId="6D62383C"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temporary workspace, </w:t>
      </w:r>
    </w:p>
    <w:p w14:paraId="6C14418B"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tokenizer state, </w:t>
      </w:r>
    </w:p>
    <w:p w14:paraId="60235E84"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communication buffers in distributed deployments, </w:t>
      </w:r>
    </w:p>
    <w:p w14:paraId="47EDD2E2"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intermediate attention representations, </w:t>
      </w:r>
    </w:p>
    <w:p w14:paraId="09BFF548" w14:textId="77777777" w:rsidR="00B41E15" w:rsidRPr="00B41E15" w:rsidRDefault="00B41E15" w:rsidP="0049140E">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cached information maintained during autoregressive generation. </w:t>
      </w:r>
    </w:p>
    <w:p w14:paraId="24318215"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 exact requirements depend on implementation, inference engine, numerical precision, request characteristics, and serving configuration.</w:t>
      </w:r>
    </w:p>
    <w:p w14:paraId="1A581894"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Therefore, deployment planning should always include operational memory overhead rather than relying exclusively on model file size.</w:t>
      </w:r>
    </w:p>
    <w:p w14:paraId="40B39B0A" w14:textId="77777777" w:rsidR="00B41E15" w:rsidRPr="00B41E15" w:rsidRDefault="00B41E15" w:rsidP="00B41E15">
      <w:pPr>
        <w:pStyle w:val="2"/>
      </w:pPr>
      <w:r w:rsidRPr="00B41E15">
        <w:t>Numerical Precision</w:t>
      </w:r>
    </w:p>
    <w:p w14:paraId="454FAE1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Memory requirements are strongly influenced by numerical precision.</w:t>
      </w:r>
    </w:p>
    <w:p w14:paraId="1CD691E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Traditional deployments frequently relied on FP32 (32-bit floating point), which provides high numerical accuracy but requires considerable memory.</w:t>
      </w:r>
    </w:p>
    <w:p w14:paraId="6EA92EA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Modern inference increasingly employs reduced precision formats such as FP16, BF16, FP8, INT8, or lower-bit quantized representations.</w:t>
      </w:r>
    </w:p>
    <w:p w14:paraId="6B708D2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Reducing precision decreases memory consumption while often preserving acceptable inference quality.</w:t>
      </w:r>
    </w:p>
    <w:p w14:paraId="57E4A13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 relationship between precision and model quality is not uniform across architectures or workloads. Some applications tolerate aggressive quantization with minimal degradation, while others experience measurable reductions in reasoning accuracy or generation consistency.</w:t>
      </w:r>
    </w:p>
    <w:p w14:paraId="790A42F3"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These trade-offs are examined in greater detail in Section 4.7.</w:t>
      </w:r>
    </w:p>
    <w:p w14:paraId="19B76169" w14:textId="77777777" w:rsidR="00B41E15" w:rsidRPr="00B41E15" w:rsidRDefault="00B41E15" w:rsidP="00F530DA">
      <w:pPr>
        <w:pStyle w:val="2"/>
      </w:pPr>
      <w:r w:rsidRPr="00B41E15">
        <w:lastRenderedPageBreak/>
        <w:t>Context Length and Memory</w:t>
      </w:r>
    </w:p>
    <w:p w14:paraId="2B20B9C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GPU memory requirements depend not only on model size but also on context length.</w:t>
      </w:r>
    </w:p>
    <w:p w14:paraId="21850AA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Longer prompts require additional intermediate representations to remain available throughout generation.</w:t>
      </w:r>
    </w:p>
    <w:p w14:paraId="07F7457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Consequently, memory consumption increases as context windows grow, even when the underlying model remains unchanged.</w:t>
      </w:r>
    </w:p>
    <w:p w14:paraId="3430F665"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Organizations planning applications involving lengthy documents, software repositories, or extended conversations should therefore evaluate memory requirements using representative production workloads rather than minimal benchmark prompts.</w:t>
      </w:r>
    </w:p>
    <w:p w14:paraId="55694673" w14:textId="77777777" w:rsidR="00B41E15" w:rsidRPr="00B41E15" w:rsidRDefault="00B41E15" w:rsidP="00F530DA">
      <w:pPr>
        <w:pStyle w:val="2"/>
      </w:pPr>
      <w:r w:rsidRPr="00B41E15">
        <w:t>Practical Engineering Implications</w:t>
      </w:r>
    </w:p>
    <w:p w14:paraId="42C087B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For platform engineers, GPU memory should be viewed as a deployment constraint rather than merely a performance characteristic.</w:t>
      </w:r>
    </w:p>
    <w:p w14:paraId="6F242EF4"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Insufficient memory generally prevents model execution entirely.</w:t>
      </w:r>
    </w:p>
    <w:p w14:paraId="5A2A49EA"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Additional computational capacity, by contrast, often affects latency or throughput rather than basic feasibility.</w:t>
      </w:r>
    </w:p>
    <w:p w14:paraId="236278D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This distinction explains why organizations frequently prioritize accelerator memory capacity when selecting inference hardware.</w:t>
      </w:r>
    </w:p>
    <w:p w14:paraId="13C299FD" w14:textId="77777777" w:rsidR="00B41E15" w:rsidRPr="00B41E15" w:rsidRDefault="00B41E15" w:rsidP="00B41E15">
      <w:pPr>
        <w:spacing w:after="0"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pict w14:anchorId="01AA6C00">
          <v:rect id="_x0000_i1369" style="width:0;height:1.5pt" o:hralign="center" o:hrstd="t" o:hr="t" fillcolor="#a0a0a0" stroked="f"/>
        </w:pict>
      </w:r>
    </w:p>
    <w:p w14:paraId="2B9A3622" w14:textId="77777777" w:rsidR="00B41E15" w:rsidRPr="00B41E15" w:rsidRDefault="00B41E15" w:rsidP="00F530DA">
      <w:pPr>
        <w:pStyle w:val="1"/>
      </w:pPr>
      <w:r w:rsidRPr="00B41E15">
        <w:t>4.6.2 Consumer GPUs Versus Datacenter GPUs</w:t>
      </w:r>
    </w:p>
    <w:p w14:paraId="561B8B2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 rapid growth of open-weight models has significantly broadened the range of viable deployment hardware.</w:t>
      </w:r>
    </w:p>
    <w:p w14:paraId="79B6E222"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Early production deployments typically relied on expensive datacenter accelerators because few alternatives possessed sufficient memory capacity or computational performance.</w:t>
      </w:r>
    </w:p>
    <w:p w14:paraId="780E39A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Today, improvements in model efficiency and quantization allow many workloads to execute successfully on high-end consumer GPUs.</w:t>
      </w:r>
    </w:p>
    <w:p w14:paraId="54C7571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lastRenderedPageBreak/>
        <w:t>Choosing between consumer and datacenter hardware involves evaluating operational requirements rather than benchmark performance alone.</w:t>
      </w:r>
    </w:p>
    <w:p w14:paraId="7E661FCB" w14:textId="77777777" w:rsidR="00B41E15" w:rsidRPr="00B41E15" w:rsidRDefault="00B41E15" w:rsidP="00F530DA">
      <w:pPr>
        <w:pStyle w:val="2"/>
      </w:pPr>
      <w:r w:rsidRPr="00B41E15">
        <w:t>Consumer GPUs</w:t>
      </w:r>
    </w:p>
    <w:p w14:paraId="2EDE9F4A"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Consumer GPUs provide attractive entry points for experimentation, research, local development, and many small-scale production deployments.</w:t>
      </w:r>
    </w:p>
    <w:p w14:paraId="2D91AD21"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Their primary advantages include:</w:t>
      </w:r>
    </w:p>
    <w:p w14:paraId="48AB9D42" w14:textId="77777777" w:rsidR="00B41E15" w:rsidRPr="00B41E15" w:rsidRDefault="00B41E15" w:rsidP="0049140E">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comparatively low acquisition cost, </w:t>
      </w:r>
    </w:p>
    <w:p w14:paraId="7ABCD7BF" w14:textId="77777777" w:rsidR="00B41E15" w:rsidRPr="00B41E15" w:rsidRDefault="00B41E15" w:rsidP="0049140E">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broad market availability, </w:t>
      </w:r>
    </w:p>
    <w:p w14:paraId="39ADB45F" w14:textId="77777777" w:rsidR="00B41E15" w:rsidRPr="00B41E15" w:rsidRDefault="00B41E15" w:rsidP="0049140E">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excellent support from machine learning frameworks, </w:t>
      </w:r>
    </w:p>
    <w:p w14:paraId="57ED6F43" w14:textId="77777777" w:rsidR="00B41E15" w:rsidRPr="00B41E15" w:rsidRDefault="00B41E15" w:rsidP="0049140E">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suitability for local experimentation, </w:t>
      </w:r>
    </w:p>
    <w:p w14:paraId="4AD23382" w14:textId="77777777" w:rsidR="00B41E15" w:rsidRPr="00B41E15" w:rsidRDefault="00B41E15" w:rsidP="0049140E">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rapid iteration during development. </w:t>
      </w:r>
    </w:p>
    <w:p w14:paraId="7D0ED7B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Many organizations perform model evaluation and application prototyping using consumer hardware before transitioning selected workloads into production environments.</w:t>
      </w:r>
    </w:p>
    <w:p w14:paraId="3D76915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Recent generations of consumer accelerators also offer sufficient computational capability for medium-sized language models when combined with modern quantization techniques.</w:t>
      </w:r>
    </w:p>
    <w:p w14:paraId="08B2E591"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However, consumer hardware introduces limitations.</w:t>
      </w:r>
    </w:p>
    <w:p w14:paraId="521DA42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Memory capacity remains lower than enterprise accelerators.</w:t>
      </w:r>
    </w:p>
    <w:p w14:paraId="5630042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Error correction mechanisms may be unavailable.</w:t>
      </w:r>
    </w:p>
    <w:p w14:paraId="0B1D042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Multi-GPU scalability is often more limited.</w:t>
      </w:r>
    </w:p>
    <w:p w14:paraId="7335CCF2"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Vendor support focuses primarily on workstation or desktop environments rather than continuous enterprise operation.</w:t>
      </w:r>
    </w:p>
    <w:p w14:paraId="72044C42"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Power efficiency under sustained inference workloads may also differ from enterprise hardware.</w:t>
      </w:r>
    </w:p>
    <w:p w14:paraId="29EE72FE"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Consequently, consumer GPUs are generally most appropriate where moderate throughput and limited operational scale are acceptable.</w:t>
      </w:r>
    </w:p>
    <w:p w14:paraId="3BBE4D38" w14:textId="77777777" w:rsidR="00B41E15" w:rsidRPr="00B41E15" w:rsidRDefault="00B41E15" w:rsidP="00F530DA">
      <w:pPr>
        <w:pStyle w:val="2"/>
      </w:pPr>
      <w:r w:rsidRPr="00B41E15">
        <w:t>Datacenter GPUs</w:t>
      </w:r>
    </w:p>
    <w:p w14:paraId="0EA53A1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Enterprise accelerators are designed for continuous operation within production infrastructure.</w:t>
      </w:r>
    </w:p>
    <w:p w14:paraId="73B2F2B3"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Compared with consumer hardware, they typically provide:</w:t>
      </w:r>
    </w:p>
    <w:p w14:paraId="3315B583"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lastRenderedPageBreak/>
        <w:t xml:space="preserve">significantly larger memory capacity, </w:t>
      </w:r>
    </w:p>
    <w:p w14:paraId="62E13F6D"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higher memory bandwidth, </w:t>
      </w:r>
    </w:p>
    <w:p w14:paraId="764B1475"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enhanced reliability, </w:t>
      </w:r>
    </w:p>
    <w:p w14:paraId="395CC0DE"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error-correcting memory, </w:t>
      </w:r>
    </w:p>
    <w:p w14:paraId="365FE1EF"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high-speed interconnect technologies, </w:t>
      </w:r>
    </w:p>
    <w:p w14:paraId="176B6D23"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optimized thermal characteristics, </w:t>
      </w:r>
    </w:p>
    <w:p w14:paraId="0F468CFE" w14:textId="77777777" w:rsidR="00B41E15" w:rsidRPr="00B41E15" w:rsidRDefault="00B41E15" w:rsidP="0049140E">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enterprise lifecycle support. </w:t>
      </w:r>
    </w:p>
    <w:p w14:paraId="209BA55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These characteristics become increasingly important as model size, request volume, and availability requirements increase.</w:t>
      </w:r>
    </w:p>
    <w:p w14:paraId="0E23F0BA"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Large production deployments frequently rely on accelerator clusters connected through specialized interconnects to support distributed inference, rapid communication, and efficient resource sharing.</w:t>
      </w:r>
    </w:p>
    <w:p w14:paraId="13D6C06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Such capabilities are less important during experimentation but become essential when operating large-scale AI services.</w:t>
      </w:r>
    </w:p>
    <w:p w14:paraId="30A0D98F" w14:textId="77777777" w:rsidR="00B41E15" w:rsidRPr="00B41E15" w:rsidRDefault="00B41E15" w:rsidP="00F530DA">
      <w:pPr>
        <w:pStyle w:val="2"/>
      </w:pPr>
      <w:r w:rsidRPr="00B41E15">
        <w:t>Engineering Decision Criteria</w:t>
      </w:r>
    </w:p>
    <w:p w14:paraId="25C71320"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 appropriate hardware depends primarily on organizational objectives.</w:t>
      </w:r>
    </w:p>
    <w:p w14:paraId="613573B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Research teams prioritizing rapid experimentation often benefit from consumer hardware.</w:t>
      </w:r>
    </w:p>
    <w:p w14:paraId="5AA5ED94"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Internal enterprise assistants serving limited user populations may also operate effectively using workstation-class accelerators.</w:t>
      </w:r>
    </w:p>
    <w:p w14:paraId="2A983164"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Customer-facing services requiring predictable latency, high availability, regulatory compliance, and sustained throughput generally justify investment in enterprise-grade infrastructure.</w:t>
      </w:r>
    </w:p>
    <w:p w14:paraId="2BAB8F03"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Hardware selection should therefore be aligned with operational requirements rather than prestige or theoretical peak performance.</w:t>
      </w:r>
    </w:p>
    <w:p w14:paraId="6F9A3D14" w14:textId="77777777" w:rsidR="00B41E15" w:rsidRPr="00B41E15" w:rsidRDefault="00B41E15" w:rsidP="00B41E15">
      <w:pPr>
        <w:spacing w:after="0"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pict w14:anchorId="01FDF207">
          <v:rect id="_x0000_i1370" style="width:0;height:1.5pt" o:hralign="center" o:hrstd="t" o:hr="t" fillcolor="#a0a0a0" stroked="f"/>
        </w:pict>
      </w:r>
    </w:p>
    <w:p w14:paraId="0B26240D" w14:textId="77777777" w:rsidR="00B41E15" w:rsidRPr="00B41E15" w:rsidRDefault="00B41E15" w:rsidP="00F530DA">
      <w:pPr>
        <w:pStyle w:val="1"/>
      </w:pPr>
      <w:r w:rsidRPr="00B41E15">
        <w:t>4.6.3 CPU Inference</w:t>
      </w:r>
    </w:p>
    <w:p w14:paraId="5141BCE5"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Although GPUs dominate contemporary AI inference, CPUs continue to play an important role within the open-weight ecosystem.</w:t>
      </w:r>
    </w:p>
    <w:p w14:paraId="61F8838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Advances in quantization, efficient inference engines, and compact language models have made CPU inference increasingly practical for many workloads.</w:t>
      </w:r>
    </w:p>
    <w:p w14:paraId="15DB49F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lastRenderedPageBreak/>
        <w:t>This development is particularly significant because CPUs remain substantially more widespread than specialized accelerators.</w:t>
      </w:r>
    </w:p>
    <w:p w14:paraId="18B1FDE6" w14:textId="77777777" w:rsidR="00B41E15" w:rsidRPr="00B41E15" w:rsidRDefault="00B41E15" w:rsidP="00F530DA">
      <w:pPr>
        <w:pStyle w:val="2"/>
      </w:pPr>
      <w:r w:rsidRPr="00B41E15">
        <w:t>Appropriate Use Cases</w:t>
      </w:r>
    </w:p>
    <w:p w14:paraId="7F66209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CPU inference is well suited for applications emphasizing:</w:t>
      </w:r>
    </w:p>
    <w:p w14:paraId="0BFE32DB"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low infrastructure cost, </w:t>
      </w:r>
    </w:p>
    <w:p w14:paraId="31F1ACF0"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local deployment, </w:t>
      </w:r>
    </w:p>
    <w:p w14:paraId="1F844191"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offline execution, </w:t>
      </w:r>
    </w:p>
    <w:p w14:paraId="2FD40B01"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privacy, </w:t>
      </w:r>
    </w:p>
    <w:p w14:paraId="74B6E918"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edge computing, </w:t>
      </w:r>
    </w:p>
    <w:p w14:paraId="281945B7"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embedded systems, </w:t>
      </w:r>
    </w:p>
    <w:p w14:paraId="6C944B07" w14:textId="77777777" w:rsidR="00B41E15" w:rsidRPr="00B41E15" w:rsidRDefault="00B41E15" w:rsidP="0049140E">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 xml:space="preserve">moderate request volumes. </w:t>
      </w:r>
    </w:p>
    <w:p w14:paraId="100F4BA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Examples include desktop productivity assistants, developer tools, industrial automation systems, educational software, and secure environments where external connectivity is restricted.</w:t>
      </w:r>
    </w:p>
    <w:p w14:paraId="35D6D05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Smaller instruction-tuned models frequently provide satisfactory interactive performance on modern multicore processors when appropriately quantized.</w:t>
      </w:r>
    </w:p>
    <w:p w14:paraId="0D035EB1" w14:textId="77777777" w:rsidR="00B41E15" w:rsidRPr="00B41E15" w:rsidRDefault="00B41E15" w:rsidP="00F530DA">
      <w:pPr>
        <w:pStyle w:val="2"/>
      </w:pPr>
      <w:r w:rsidRPr="00B41E15">
        <w:t>Advantages</w:t>
      </w:r>
    </w:p>
    <w:p w14:paraId="555471E8"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CPU deployment offers several operational benefits.</w:t>
      </w:r>
    </w:p>
    <w:p w14:paraId="23A2C7A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Existing server infrastructure can often be reused without acquiring dedicated accelerator hardware.</w:t>
      </w:r>
    </w:p>
    <w:p w14:paraId="36D2C4A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Virtualization support is mature.</w:t>
      </w:r>
    </w:p>
    <w:p w14:paraId="4ECF638E"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Scheduling integrates naturally with conventional cloud infrastructure.</w:t>
      </w:r>
    </w:p>
    <w:p w14:paraId="052B287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Power consumption may remain acceptable for moderate workloads.</w:t>
      </w:r>
    </w:p>
    <w:p w14:paraId="63BC0398"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Maintenance procedures frequently align with established enterprise operational practices.</w:t>
      </w:r>
    </w:p>
    <w:p w14:paraId="3EE2B80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These characteristics reduce barriers to experimentation and broaden organizational access to self-hosted AI.</w:t>
      </w:r>
    </w:p>
    <w:p w14:paraId="1ABBE920" w14:textId="77777777" w:rsidR="00B41E15" w:rsidRPr="00B41E15" w:rsidRDefault="00B41E15" w:rsidP="00F530DA">
      <w:pPr>
        <w:pStyle w:val="2"/>
      </w:pPr>
      <w:r w:rsidRPr="00B41E15">
        <w:t>Limitations</w:t>
      </w:r>
    </w:p>
    <w:p w14:paraId="35EB23A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Despite these advantages, CPUs remain significantly slower than GPUs for large-scale transformer inference.</w:t>
      </w:r>
    </w:p>
    <w:p w14:paraId="18C38BE5"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Latency increases substantially as model size grows.</w:t>
      </w:r>
    </w:p>
    <w:p w14:paraId="20DA9BF2"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lastRenderedPageBreak/>
        <w:t>Throughput remains comparatively limited.</w:t>
      </w:r>
    </w:p>
    <w:p w14:paraId="7D9D5EE3"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Large language models requiring extensive matrix computation typically exceed the practical capabilities of CPU-only deployments for interactive enterprise services.</w:t>
      </w:r>
    </w:p>
    <w:p w14:paraId="194E31B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Consequently, CPUs are best viewed as complementary deployment targets rather than replacements for accelerator infrastructure.</w:t>
      </w:r>
    </w:p>
    <w:p w14:paraId="67D5E7B6"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Organizations should evaluate CPU inference where deployment simplicity, privacy, or infrastructure availability outweigh maximum performance requirements.</w:t>
      </w:r>
    </w:p>
    <w:p w14:paraId="14270DBB" w14:textId="77777777" w:rsidR="00B41E15" w:rsidRPr="00B41E15" w:rsidRDefault="00B41E15" w:rsidP="00B41E15">
      <w:pPr>
        <w:spacing w:after="0"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pict w14:anchorId="063AA89A">
          <v:rect id="_x0000_i1371" style="width:0;height:1.5pt" o:hralign="center" o:hrstd="t" o:hr="t" fillcolor="#a0a0a0" stroked="f"/>
        </w:pict>
      </w:r>
    </w:p>
    <w:p w14:paraId="394685E4" w14:textId="77777777" w:rsidR="00B41E15" w:rsidRPr="00B41E15" w:rsidRDefault="00B41E15" w:rsidP="00F530DA">
      <w:pPr>
        <w:pStyle w:val="1"/>
      </w:pPr>
      <w:r w:rsidRPr="00B41E15">
        <w:t>4.6.4 Multi-GPU Requirements</w:t>
      </w:r>
    </w:p>
    <w:p w14:paraId="618B5631"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As foundation models continue to increase in capability, many deployments exceed the capacity of a single accelerator.</w:t>
      </w:r>
    </w:p>
    <w:p w14:paraId="397671E3"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Multi-GPU execution enables larger models to be deployed while also supporting higher throughput and greater operational resilience.</w:t>
      </w:r>
    </w:p>
    <w:p w14:paraId="0FFBF460"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From the perspective of model selection, the important question is not how multi-GPU inference works internally, but when it becomes necessary.</w:t>
      </w:r>
    </w:p>
    <w:p w14:paraId="4FDAB15C" w14:textId="77777777" w:rsidR="00B41E15" w:rsidRPr="00B41E15" w:rsidRDefault="00B41E15" w:rsidP="00F530DA">
      <w:pPr>
        <w:pStyle w:val="2"/>
      </w:pPr>
      <w:r w:rsidRPr="00B41E15">
        <w:t>Capacity Versus Performance</w:t>
      </w:r>
    </w:p>
    <w:p w14:paraId="13D2EFE4"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Organizations often assume multiple GPUs exist primarily to increase computational speed.</w:t>
      </w:r>
    </w:p>
    <w:p w14:paraId="1E49ACA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While performance improvement is certainly one objective, the first motivation is frequently memory capacity.</w:t>
      </w:r>
    </w:p>
    <w:p w14:paraId="0B719708"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Very large models simply cannot fit within the memory available on a single accelerator.</w:t>
      </w:r>
    </w:p>
    <w:p w14:paraId="1FBBB3E6"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Distributing computation across multiple devices allows substantially larger models to become deployable.</w:t>
      </w:r>
    </w:p>
    <w:p w14:paraId="7EF1358C"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Only after capacity requirements have been satisfied do additional accelerators typically contribute to throughput and latency improvements.</w:t>
      </w:r>
    </w:p>
    <w:p w14:paraId="06A04881" w14:textId="77777777" w:rsidR="00B41E15" w:rsidRPr="00B41E15" w:rsidRDefault="00B41E15" w:rsidP="00F530DA">
      <w:pPr>
        <w:pStyle w:val="2"/>
      </w:pPr>
      <w:r w:rsidRPr="00B41E15">
        <w:lastRenderedPageBreak/>
        <w:t>Deployment Complexity</w:t>
      </w:r>
    </w:p>
    <w:p w14:paraId="4E0A2E1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Transitioning from single-device to multi-device deployment increases operational complexity considerably.</w:t>
      </w:r>
    </w:p>
    <w:p w14:paraId="77970F27"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Infrastructure must coordinate computation across accelerators.</w:t>
      </w:r>
    </w:p>
    <w:p w14:paraId="792D5376"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Communication latency becomes increasingly important.</w:t>
      </w:r>
    </w:p>
    <w:p w14:paraId="5AE7BF4A"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Hardware topology influences achievable performance.</w:t>
      </w:r>
    </w:p>
    <w:p w14:paraId="07A2699B"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Failures affecting individual devices become more significant because multiple accelerators contribute to each inference request.</w:t>
      </w:r>
    </w:p>
    <w:p w14:paraId="7CBA0C1D"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These factors increase deployment complexity independently of the underlying model.</w:t>
      </w:r>
    </w:p>
    <w:p w14:paraId="086FA635"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Detailed implementation strategies—including tensor parallelism, pipeline parallelism, expert parallelism, communication optimization, and scheduling—are discussed comprehensively in Chapter 5.</w:t>
      </w:r>
    </w:p>
    <w:p w14:paraId="3E47E17F" w14:textId="77777777" w:rsidR="00B41E15" w:rsidRPr="00B41E15" w:rsidRDefault="00B41E15" w:rsidP="00F530DA">
      <w:pPr>
        <w:pStyle w:val="2"/>
      </w:pPr>
      <w:r w:rsidRPr="00B41E15">
        <w:t>Operational Considerations</w:t>
      </w:r>
    </w:p>
    <w:p w14:paraId="66A29F5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Not every production deployment benefits from multi-GPU architectures.</w:t>
      </w:r>
    </w:p>
    <w:p w14:paraId="07C80DD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Many enterprise workloads prioritize moderate latency, predictable operating cost, and straightforward maintenance over maximum benchmark performance.</w:t>
      </w:r>
    </w:p>
    <w:p w14:paraId="20C8029E"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Deploying a medium-sized model on a single accelerator may therefore produce greater organizational value than operating a significantly larger model requiring complex distributed infrastructure.</w:t>
      </w:r>
    </w:p>
    <w:p w14:paraId="3419377F"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Model selection should consequently consider the entire operational lifecycle rather than focusing exclusively on theoretical capability.</w:t>
      </w:r>
    </w:p>
    <w:p w14:paraId="4672E3A5" w14:textId="77777777" w:rsidR="00B41E15" w:rsidRPr="00B41E15" w:rsidRDefault="00B41E15" w:rsidP="00B41E15">
      <w:pPr>
        <w:spacing w:after="0"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pict w14:anchorId="1362CCF2">
          <v:rect id="_x0000_i1372" style="width:0;height:1.5pt" o:hralign="center" o:hrstd="t" o:hr="t" fillcolor="#a0a0a0" stroked="f"/>
        </w:pict>
      </w:r>
    </w:p>
    <w:p w14:paraId="409408FC" w14:textId="77777777" w:rsidR="00B41E15" w:rsidRPr="00B41E15" w:rsidRDefault="00B41E15" w:rsidP="00B41E15">
      <w:pPr>
        <w:rPr>
          <w:rFonts w:ascii="Times New Roman" w:hAnsi="Times New Roman" w:cs="Times New Roman"/>
          <w:b/>
          <w:bCs/>
          <w:sz w:val="28"/>
          <w:szCs w:val="28"/>
        </w:rPr>
      </w:pPr>
      <w:r w:rsidRPr="00B41E15">
        <w:rPr>
          <w:rFonts w:ascii="Times New Roman" w:hAnsi="Times New Roman" w:cs="Times New Roman"/>
          <w:b/>
          <w:bCs/>
          <w:sz w:val="28"/>
          <w:szCs w:val="28"/>
        </w:rPr>
        <w:t>Table 4.6. Typical Hardware Requirements for Open-Weight Models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2074"/>
        <w:gridCol w:w="1719"/>
        <w:gridCol w:w="1749"/>
        <w:gridCol w:w="2042"/>
      </w:tblGrid>
      <w:tr w:rsidR="00B41E15" w:rsidRPr="00B41E15" w14:paraId="33009212" w14:textId="77777777" w:rsidTr="00B41E15">
        <w:trPr>
          <w:tblHeader/>
          <w:tblCellSpacing w:w="15" w:type="dxa"/>
        </w:trPr>
        <w:tc>
          <w:tcPr>
            <w:tcW w:w="0" w:type="auto"/>
            <w:vAlign w:val="center"/>
            <w:hideMark/>
          </w:tcPr>
          <w:p w14:paraId="0A296F6F" w14:textId="77777777" w:rsidR="00B41E15" w:rsidRPr="00B41E15" w:rsidRDefault="00B41E15" w:rsidP="00B41E15">
            <w:pPr>
              <w:spacing w:after="0" w:line="240" w:lineRule="auto"/>
              <w:jc w:val="center"/>
              <w:rPr>
                <w:rFonts w:ascii="Times New Roman" w:eastAsia="Times New Roman" w:hAnsi="Times New Roman" w:cs="Times New Roman"/>
                <w:b/>
                <w:bCs/>
                <w:sz w:val="24"/>
                <w:szCs w:val="24"/>
              </w:rPr>
            </w:pPr>
            <w:r w:rsidRPr="00B41E15">
              <w:rPr>
                <w:rFonts w:ascii="Times New Roman" w:eastAsia="Times New Roman" w:hAnsi="Times New Roman" w:cs="Times New Roman"/>
                <w:b/>
                <w:bCs/>
                <w:sz w:val="24"/>
                <w:szCs w:val="24"/>
              </w:rPr>
              <w:t>Approximate Model Size*</w:t>
            </w:r>
          </w:p>
        </w:tc>
        <w:tc>
          <w:tcPr>
            <w:tcW w:w="0" w:type="auto"/>
            <w:vAlign w:val="center"/>
            <w:hideMark/>
          </w:tcPr>
          <w:p w14:paraId="72A4BE87" w14:textId="77777777" w:rsidR="00B41E15" w:rsidRPr="00B41E15" w:rsidRDefault="00B41E15" w:rsidP="00B41E15">
            <w:pPr>
              <w:spacing w:after="0" w:line="240" w:lineRule="auto"/>
              <w:jc w:val="center"/>
              <w:rPr>
                <w:rFonts w:ascii="Times New Roman" w:eastAsia="Times New Roman" w:hAnsi="Times New Roman" w:cs="Times New Roman"/>
                <w:b/>
                <w:bCs/>
                <w:sz w:val="24"/>
                <w:szCs w:val="24"/>
              </w:rPr>
            </w:pPr>
            <w:r w:rsidRPr="00B41E15">
              <w:rPr>
                <w:rFonts w:ascii="Times New Roman" w:eastAsia="Times New Roman" w:hAnsi="Times New Roman" w:cs="Times New Roman"/>
                <w:b/>
                <w:bCs/>
                <w:sz w:val="24"/>
                <w:szCs w:val="24"/>
              </w:rPr>
              <w:t>Typical FP16/BF16 Memory Requirement</w:t>
            </w:r>
          </w:p>
        </w:tc>
        <w:tc>
          <w:tcPr>
            <w:tcW w:w="0" w:type="auto"/>
            <w:vAlign w:val="center"/>
            <w:hideMark/>
          </w:tcPr>
          <w:p w14:paraId="352E2CA4" w14:textId="77777777" w:rsidR="00B41E15" w:rsidRPr="00B41E15" w:rsidRDefault="00B41E15" w:rsidP="00B41E15">
            <w:pPr>
              <w:spacing w:after="0" w:line="240" w:lineRule="auto"/>
              <w:jc w:val="center"/>
              <w:rPr>
                <w:rFonts w:ascii="Times New Roman" w:eastAsia="Times New Roman" w:hAnsi="Times New Roman" w:cs="Times New Roman"/>
                <w:b/>
                <w:bCs/>
                <w:sz w:val="24"/>
                <w:szCs w:val="24"/>
              </w:rPr>
            </w:pPr>
            <w:r w:rsidRPr="00B41E15">
              <w:rPr>
                <w:rFonts w:ascii="Times New Roman" w:eastAsia="Times New Roman" w:hAnsi="Times New Roman" w:cs="Times New Roman"/>
                <w:b/>
                <w:bCs/>
                <w:sz w:val="24"/>
                <w:szCs w:val="24"/>
              </w:rPr>
              <w:t>Typical INT8 Memory Requirement</w:t>
            </w:r>
          </w:p>
        </w:tc>
        <w:tc>
          <w:tcPr>
            <w:tcW w:w="0" w:type="auto"/>
            <w:vAlign w:val="center"/>
            <w:hideMark/>
          </w:tcPr>
          <w:p w14:paraId="4773631F" w14:textId="77777777" w:rsidR="00B41E15" w:rsidRPr="00B41E15" w:rsidRDefault="00B41E15" w:rsidP="00B41E15">
            <w:pPr>
              <w:spacing w:after="0" w:line="240" w:lineRule="auto"/>
              <w:jc w:val="center"/>
              <w:rPr>
                <w:rFonts w:ascii="Times New Roman" w:eastAsia="Times New Roman" w:hAnsi="Times New Roman" w:cs="Times New Roman"/>
                <w:b/>
                <w:bCs/>
                <w:sz w:val="24"/>
                <w:szCs w:val="24"/>
              </w:rPr>
            </w:pPr>
            <w:r w:rsidRPr="00B41E15">
              <w:rPr>
                <w:rFonts w:ascii="Times New Roman" w:eastAsia="Times New Roman" w:hAnsi="Times New Roman" w:cs="Times New Roman"/>
                <w:b/>
                <w:bCs/>
                <w:sz w:val="24"/>
                <w:szCs w:val="24"/>
              </w:rPr>
              <w:t>Typical 4-bit Quantized Memory Requirement</w:t>
            </w:r>
          </w:p>
        </w:tc>
        <w:tc>
          <w:tcPr>
            <w:tcW w:w="0" w:type="auto"/>
            <w:vAlign w:val="center"/>
            <w:hideMark/>
          </w:tcPr>
          <w:p w14:paraId="30AE8A68" w14:textId="77777777" w:rsidR="00B41E15" w:rsidRPr="00B41E15" w:rsidRDefault="00B41E15" w:rsidP="00B41E15">
            <w:pPr>
              <w:spacing w:after="0" w:line="240" w:lineRule="auto"/>
              <w:jc w:val="center"/>
              <w:rPr>
                <w:rFonts w:ascii="Times New Roman" w:eastAsia="Times New Roman" w:hAnsi="Times New Roman" w:cs="Times New Roman"/>
                <w:b/>
                <w:bCs/>
                <w:sz w:val="24"/>
                <w:szCs w:val="24"/>
              </w:rPr>
            </w:pPr>
            <w:r w:rsidRPr="00B41E15">
              <w:rPr>
                <w:rFonts w:ascii="Times New Roman" w:eastAsia="Times New Roman" w:hAnsi="Times New Roman" w:cs="Times New Roman"/>
                <w:b/>
                <w:bCs/>
                <w:sz w:val="24"/>
                <w:szCs w:val="24"/>
              </w:rPr>
              <w:t>Representative Deployment Hardware</w:t>
            </w:r>
          </w:p>
        </w:tc>
      </w:tr>
      <w:tr w:rsidR="00B41E15" w:rsidRPr="00B41E15" w14:paraId="5B49F1B3" w14:textId="77777777" w:rsidTr="00B41E15">
        <w:trPr>
          <w:tblCellSpacing w:w="15" w:type="dxa"/>
        </w:trPr>
        <w:tc>
          <w:tcPr>
            <w:tcW w:w="0" w:type="auto"/>
            <w:vAlign w:val="center"/>
            <w:hideMark/>
          </w:tcPr>
          <w:p w14:paraId="37F091A9"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b/>
                <w:bCs/>
                <w:sz w:val="24"/>
                <w:szCs w:val="24"/>
              </w:rPr>
              <w:t>1–4 billion parameters</w:t>
            </w:r>
          </w:p>
        </w:tc>
        <w:tc>
          <w:tcPr>
            <w:tcW w:w="0" w:type="auto"/>
            <w:vAlign w:val="center"/>
            <w:hideMark/>
          </w:tcPr>
          <w:p w14:paraId="2310C10F"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4–10 GB plus runtime overhead</w:t>
            </w:r>
          </w:p>
        </w:tc>
        <w:tc>
          <w:tcPr>
            <w:tcW w:w="0" w:type="auto"/>
            <w:vAlign w:val="center"/>
            <w:hideMark/>
          </w:tcPr>
          <w:p w14:paraId="54CB2CEC"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2–5 GB plus overhead</w:t>
            </w:r>
          </w:p>
        </w:tc>
        <w:tc>
          <w:tcPr>
            <w:tcW w:w="0" w:type="auto"/>
            <w:vAlign w:val="center"/>
            <w:hideMark/>
          </w:tcPr>
          <w:p w14:paraId="118736B9"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1–3 GB plus overhead</w:t>
            </w:r>
          </w:p>
        </w:tc>
        <w:tc>
          <w:tcPr>
            <w:tcW w:w="0" w:type="auto"/>
            <w:vAlign w:val="center"/>
            <w:hideMark/>
          </w:tcPr>
          <w:p w14:paraId="0B4B1AA5"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Modern CPUs, edge devices, integrated AI accelerators, consumer GPUs</w:t>
            </w:r>
          </w:p>
        </w:tc>
      </w:tr>
      <w:tr w:rsidR="00B41E15" w:rsidRPr="00B41E15" w14:paraId="41EEEF62" w14:textId="77777777" w:rsidTr="00B41E15">
        <w:trPr>
          <w:tblCellSpacing w:w="15" w:type="dxa"/>
        </w:trPr>
        <w:tc>
          <w:tcPr>
            <w:tcW w:w="0" w:type="auto"/>
            <w:vAlign w:val="center"/>
            <w:hideMark/>
          </w:tcPr>
          <w:p w14:paraId="3ECA3DFD"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b/>
                <w:bCs/>
                <w:sz w:val="24"/>
                <w:szCs w:val="24"/>
              </w:rPr>
              <w:lastRenderedPageBreak/>
              <w:t>7–9 billion parameters</w:t>
            </w:r>
          </w:p>
        </w:tc>
        <w:tc>
          <w:tcPr>
            <w:tcW w:w="0" w:type="auto"/>
            <w:vAlign w:val="center"/>
            <w:hideMark/>
          </w:tcPr>
          <w:p w14:paraId="6FB8E434"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14–20 GB plus overhead</w:t>
            </w:r>
          </w:p>
        </w:tc>
        <w:tc>
          <w:tcPr>
            <w:tcW w:w="0" w:type="auto"/>
            <w:vAlign w:val="center"/>
            <w:hideMark/>
          </w:tcPr>
          <w:p w14:paraId="2317A22B"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7–10 GB plus overhead</w:t>
            </w:r>
          </w:p>
        </w:tc>
        <w:tc>
          <w:tcPr>
            <w:tcW w:w="0" w:type="auto"/>
            <w:vAlign w:val="center"/>
            <w:hideMark/>
          </w:tcPr>
          <w:p w14:paraId="5CB50816"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4–6 GB plus overhead</w:t>
            </w:r>
          </w:p>
        </w:tc>
        <w:tc>
          <w:tcPr>
            <w:tcW w:w="0" w:type="auto"/>
            <w:vAlign w:val="center"/>
            <w:hideMark/>
          </w:tcPr>
          <w:p w14:paraId="2804243D"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High-end consumer GPUs, workstation GPUs, enterprise accelerators</w:t>
            </w:r>
          </w:p>
        </w:tc>
      </w:tr>
      <w:tr w:rsidR="00B41E15" w:rsidRPr="00B41E15" w14:paraId="155902E4" w14:textId="77777777" w:rsidTr="00B41E15">
        <w:trPr>
          <w:tblCellSpacing w:w="15" w:type="dxa"/>
        </w:trPr>
        <w:tc>
          <w:tcPr>
            <w:tcW w:w="0" w:type="auto"/>
            <w:vAlign w:val="center"/>
            <w:hideMark/>
          </w:tcPr>
          <w:p w14:paraId="0662576D"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b/>
                <w:bCs/>
                <w:sz w:val="24"/>
                <w:szCs w:val="24"/>
              </w:rPr>
              <w:t>13–15 billion parameters</w:t>
            </w:r>
          </w:p>
        </w:tc>
        <w:tc>
          <w:tcPr>
            <w:tcW w:w="0" w:type="auto"/>
            <w:vAlign w:val="center"/>
            <w:hideMark/>
          </w:tcPr>
          <w:p w14:paraId="05C09564"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26–35 GB plus overhead</w:t>
            </w:r>
          </w:p>
        </w:tc>
        <w:tc>
          <w:tcPr>
            <w:tcW w:w="0" w:type="auto"/>
            <w:vAlign w:val="center"/>
            <w:hideMark/>
          </w:tcPr>
          <w:p w14:paraId="482FD7EC"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13–18 GB plus overhead</w:t>
            </w:r>
          </w:p>
        </w:tc>
        <w:tc>
          <w:tcPr>
            <w:tcW w:w="0" w:type="auto"/>
            <w:vAlign w:val="center"/>
            <w:hideMark/>
          </w:tcPr>
          <w:p w14:paraId="6E7B5438"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7–10 GB plus overhead</w:t>
            </w:r>
          </w:p>
        </w:tc>
        <w:tc>
          <w:tcPr>
            <w:tcW w:w="0" w:type="auto"/>
            <w:vAlign w:val="center"/>
            <w:hideMark/>
          </w:tcPr>
          <w:p w14:paraId="0C5AE03C"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Large-memory workstation GPUs or datacenter accelerators</w:t>
            </w:r>
          </w:p>
        </w:tc>
      </w:tr>
      <w:tr w:rsidR="00B41E15" w:rsidRPr="00B41E15" w14:paraId="115C7A6E" w14:textId="77777777" w:rsidTr="00B41E15">
        <w:trPr>
          <w:tblCellSpacing w:w="15" w:type="dxa"/>
        </w:trPr>
        <w:tc>
          <w:tcPr>
            <w:tcW w:w="0" w:type="auto"/>
            <w:vAlign w:val="center"/>
            <w:hideMark/>
          </w:tcPr>
          <w:p w14:paraId="12D094EF"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b/>
                <w:bCs/>
                <w:sz w:val="24"/>
                <w:szCs w:val="24"/>
              </w:rPr>
              <w:t>30–40 billion parameters</w:t>
            </w:r>
          </w:p>
        </w:tc>
        <w:tc>
          <w:tcPr>
            <w:tcW w:w="0" w:type="auto"/>
            <w:vAlign w:val="center"/>
            <w:hideMark/>
          </w:tcPr>
          <w:p w14:paraId="66EE5FD3"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60–90 GB plus overhead</w:t>
            </w:r>
          </w:p>
        </w:tc>
        <w:tc>
          <w:tcPr>
            <w:tcW w:w="0" w:type="auto"/>
            <w:vAlign w:val="center"/>
            <w:hideMark/>
          </w:tcPr>
          <w:p w14:paraId="61DF1B09"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30–45 GB plus overhead</w:t>
            </w:r>
          </w:p>
        </w:tc>
        <w:tc>
          <w:tcPr>
            <w:tcW w:w="0" w:type="auto"/>
            <w:vAlign w:val="center"/>
            <w:hideMark/>
          </w:tcPr>
          <w:p w14:paraId="471D0C00"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16–24 GB plus overhead</w:t>
            </w:r>
          </w:p>
        </w:tc>
        <w:tc>
          <w:tcPr>
            <w:tcW w:w="0" w:type="auto"/>
            <w:vAlign w:val="center"/>
            <w:hideMark/>
          </w:tcPr>
          <w:p w14:paraId="40622CC6"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Datacenter GPUs; multi-GPU deployment increasingly common</w:t>
            </w:r>
          </w:p>
        </w:tc>
      </w:tr>
      <w:tr w:rsidR="00B41E15" w:rsidRPr="00B41E15" w14:paraId="50B33559" w14:textId="77777777" w:rsidTr="00B41E15">
        <w:trPr>
          <w:tblCellSpacing w:w="15" w:type="dxa"/>
        </w:trPr>
        <w:tc>
          <w:tcPr>
            <w:tcW w:w="0" w:type="auto"/>
            <w:vAlign w:val="center"/>
            <w:hideMark/>
          </w:tcPr>
          <w:p w14:paraId="23D180EA"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b/>
                <w:bCs/>
                <w:sz w:val="24"/>
                <w:szCs w:val="24"/>
              </w:rPr>
              <w:t>70 billion parameters</w:t>
            </w:r>
          </w:p>
        </w:tc>
        <w:tc>
          <w:tcPr>
            <w:tcW w:w="0" w:type="auto"/>
            <w:vAlign w:val="center"/>
            <w:hideMark/>
          </w:tcPr>
          <w:p w14:paraId="374B5844"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140 GB or more plus overhead</w:t>
            </w:r>
          </w:p>
        </w:tc>
        <w:tc>
          <w:tcPr>
            <w:tcW w:w="0" w:type="auto"/>
            <w:vAlign w:val="center"/>
            <w:hideMark/>
          </w:tcPr>
          <w:p w14:paraId="6085F893"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70 GB or more plus overhead</w:t>
            </w:r>
          </w:p>
        </w:tc>
        <w:tc>
          <w:tcPr>
            <w:tcW w:w="0" w:type="auto"/>
            <w:vAlign w:val="center"/>
            <w:hideMark/>
          </w:tcPr>
          <w:p w14:paraId="0E9E115F"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Approximately 35–45 GB plus overhead</w:t>
            </w:r>
          </w:p>
        </w:tc>
        <w:tc>
          <w:tcPr>
            <w:tcW w:w="0" w:type="auto"/>
            <w:vAlign w:val="center"/>
            <w:hideMark/>
          </w:tcPr>
          <w:p w14:paraId="610D278D"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High-memory enterprise GPUs; multi-GPU deployment typical</w:t>
            </w:r>
          </w:p>
        </w:tc>
      </w:tr>
      <w:tr w:rsidR="00B41E15" w:rsidRPr="00B41E15" w14:paraId="3717DF51" w14:textId="77777777" w:rsidTr="00B41E15">
        <w:trPr>
          <w:tblCellSpacing w:w="15" w:type="dxa"/>
        </w:trPr>
        <w:tc>
          <w:tcPr>
            <w:tcW w:w="0" w:type="auto"/>
            <w:vAlign w:val="center"/>
            <w:hideMark/>
          </w:tcPr>
          <w:p w14:paraId="06126B1B"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b/>
                <w:bCs/>
                <w:sz w:val="24"/>
                <w:szCs w:val="24"/>
              </w:rPr>
              <w:t>Hundreds of billions of parameters (including MoE models)</w:t>
            </w:r>
          </w:p>
        </w:tc>
        <w:tc>
          <w:tcPr>
            <w:tcW w:w="0" w:type="auto"/>
            <w:vAlign w:val="center"/>
            <w:hideMark/>
          </w:tcPr>
          <w:p w14:paraId="0BA3A123"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Depends heavily on architecture and active parameters; generally requires distributed deployment</w:t>
            </w:r>
          </w:p>
        </w:tc>
        <w:tc>
          <w:tcPr>
            <w:tcW w:w="0" w:type="auto"/>
            <w:vAlign w:val="center"/>
            <w:hideMark/>
          </w:tcPr>
          <w:p w14:paraId="1F696348"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Architecture dependent</w:t>
            </w:r>
          </w:p>
        </w:tc>
        <w:tc>
          <w:tcPr>
            <w:tcW w:w="0" w:type="auto"/>
            <w:vAlign w:val="center"/>
            <w:hideMark/>
          </w:tcPr>
          <w:p w14:paraId="2912710A"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Architecture dependent</w:t>
            </w:r>
          </w:p>
        </w:tc>
        <w:tc>
          <w:tcPr>
            <w:tcW w:w="0" w:type="auto"/>
            <w:vAlign w:val="center"/>
            <w:hideMark/>
          </w:tcPr>
          <w:p w14:paraId="438742BB" w14:textId="77777777" w:rsidR="00B41E15" w:rsidRPr="00B41E15" w:rsidRDefault="00B41E15" w:rsidP="00B41E15">
            <w:pPr>
              <w:spacing w:after="0"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Multi-GPU or clustered accelerator infrastructure with high-speed interconnects</w:t>
            </w:r>
          </w:p>
        </w:tc>
      </w:tr>
    </w:tbl>
    <w:p w14:paraId="29DF0908"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4"/>
          <w:szCs w:val="24"/>
        </w:rPr>
      </w:pPr>
      <w:r w:rsidRPr="00B41E15">
        <w:rPr>
          <w:rFonts w:ascii="Times New Roman" w:eastAsia="Times New Roman" w:hAnsi="Times New Roman" w:cs="Times New Roman"/>
          <w:sz w:val="24"/>
          <w:szCs w:val="24"/>
        </w:rPr>
        <w:t>*Values are approximate planning estimates intended for architectural comparison rather than deployment sizing. Actual memory requirements vary according to numerical precision, quantization strategy, inference engine, context length, batching configuration, runtime implementation, and model architecture.</w:t>
      </w:r>
    </w:p>
    <w:p w14:paraId="6C6A533E"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Hardware planning should therefore begin with representative workload characterization rather than model specifications alone. Two models with similar parameter counts may exhibit substantially different operational behavior because of architectural design, numerical precision, context length, or serving implementation.</w:t>
      </w:r>
    </w:p>
    <w:p w14:paraId="46085B79" w14:textId="77777777" w:rsidR="00B41E15" w:rsidRPr="00B41E15" w:rsidRDefault="00B41E15" w:rsidP="00B41E15">
      <w:pPr>
        <w:spacing w:before="100" w:beforeAutospacing="1" w:after="100" w:afterAutospacing="1" w:line="240" w:lineRule="auto"/>
        <w:rPr>
          <w:rFonts w:ascii="Times New Roman" w:eastAsia="Times New Roman" w:hAnsi="Times New Roman" w:cs="Times New Roman"/>
          <w:sz w:val="28"/>
          <w:szCs w:val="28"/>
        </w:rPr>
      </w:pPr>
      <w:r w:rsidRPr="00B41E15">
        <w:rPr>
          <w:rFonts w:ascii="Times New Roman" w:eastAsia="Times New Roman" w:hAnsi="Times New Roman" w:cs="Times New Roman"/>
          <w:sz w:val="28"/>
          <w:szCs w:val="28"/>
        </w:rPr>
        <w:t>Ultimately, successful AI platform engineering seeks balance rather than maximum hardware capability. The objective is to select infrastructure that supports the required model quality with acceptable latency, throughput, availability, and operational cost. Oversizing hardware increases capital and operational expenditure without necessarily improving business outcomes, while undersizing hardware constrains model selection and limits future platform evolution. The following section examines one of the most important techniques for expanding deployment flexibility across diverse hardware environments: model quantization and compression.</w:t>
      </w:r>
    </w:p>
    <w:p w14:paraId="74B69974" w14:textId="77777777" w:rsidR="00090C75" w:rsidRPr="00090C75" w:rsidRDefault="00090C75" w:rsidP="00090C75">
      <w:pPr>
        <w:pStyle w:val="1"/>
      </w:pPr>
      <w:r w:rsidRPr="00090C75">
        <w:lastRenderedPageBreak/>
        <w:t>4.7 Quantization and Model Compression</w:t>
      </w:r>
    </w:p>
    <w:p w14:paraId="1C29E00B"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One of the most important developments enabling the widespread adoption of open-weight models has been the rapid advancement of model compression techniques. Only a few years ago, deploying state-of-the-art language models typically required multiple enterprise GPUs with hundreds of gigabytes of accelerator memory. Today, many capable instruction-tuned models can execute on workstation GPUs, consumer hardware, and even modern CPUs while maintaining acceptable quality for numerous production workloads.</w:t>
      </w:r>
    </w:p>
    <w:p w14:paraId="0D84C4DD"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This improvement has not resulted primarily from smaller architectures, but from increasingly sophisticated techniques that reduce memory consumption and computational requirements while preserving model capability. Among these techniques, </w:t>
      </w:r>
      <w:r w:rsidRPr="00090C75">
        <w:rPr>
          <w:rFonts w:ascii="Times New Roman" w:eastAsia="Times New Roman" w:hAnsi="Times New Roman" w:cs="Times New Roman"/>
          <w:b/>
          <w:bCs/>
          <w:sz w:val="28"/>
          <w:szCs w:val="28"/>
        </w:rPr>
        <w:t>quantization</w:t>
      </w:r>
      <w:r w:rsidRPr="00090C75">
        <w:rPr>
          <w:rFonts w:ascii="Times New Roman" w:eastAsia="Times New Roman" w:hAnsi="Times New Roman" w:cs="Times New Roman"/>
          <w:sz w:val="28"/>
          <w:szCs w:val="28"/>
        </w:rPr>
        <w:t xml:space="preserve"> has become the most widely adopted because it offers substantial reductions in hardware requirements without requiring retraining from scratch.</w:t>
      </w:r>
    </w:p>
    <w:p w14:paraId="398114F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Model compression, however, is not merely an optimization applied after model selection. Compression fundamentally influences which deployment environments become feasible. A model that appears impractical using full-precision weights may become an excellent production candidate after appropriate quantization. Conversely, aggressive compression may reduce reasoning accuracy, increase instability, or degrade structured output quality beyond acceptable limits.</w:t>
      </w:r>
    </w:p>
    <w:p w14:paraId="280E6143"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Consequently, platform engineers should understand quantization as part of the model selection process rather than solely as an inference optimization technique.</w:t>
      </w:r>
    </w:p>
    <w:p w14:paraId="4AB601C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This section introduces the engineering principles behind quantization and related compression methods. Runtime implementation details—including kernel optimization, scheduling, and hardware-specific execution—are covered in Chapter 5.</w:t>
      </w:r>
    </w:p>
    <w:p w14:paraId="436F4992"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56596D61">
          <v:rect id="_x0000_i1443" style="width:0;height:1.5pt" o:hralign="center" o:hrstd="t" o:hr="t" fillcolor="#a0a0a0" stroked="f"/>
        </w:pict>
      </w:r>
    </w:p>
    <w:p w14:paraId="1F663FCE" w14:textId="77777777" w:rsidR="00090C75" w:rsidRPr="00090C75" w:rsidRDefault="00090C75" w:rsidP="00090C75">
      <w:pPr>
        <w:pStyle w:val="1"/>
      </w:pPr>
      <w:r w:rsidRPr="00090C75">
        <w:t>4.7.1 Why Quantization Exists</w:t>
      </w:r>
    </w:p>
    <w:p w14:paraId="30AA8C8A"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Neural networks store learned parameters as numerical values. During both training and inference, these values are represented using specific numerical formats.</w:t>
      </w:r>
    </w:p>
    <w:p w14:paraId="19DE67A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Historically, deep learning relied primarily on 32-bit floating-point numbers (FP32). Although FP32 provides excellent numerical precision, it also requires considerable memory and computational bandwidth.</w:t>
      </w:r>
    </w:p>
    <w:p w14:paraId="043AF2C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lastRenderedPageBreak/>
        <w:t>As foundation models grew from millions to billions of parameters, FP32 inference became increasingly impractical.</w:t>
      </w:r>
    </w:p>
    <w:p w14:paraId="6481250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For example, every additional bit stored for billions of parameters translates directly into increased memory consumption, larger storage requirements, greater network transfer times, and higher memory bandwidth during inference.</w:t>
      </w:r>
    </w:p>
    <w:p w14:paraId="49761166"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Modern accelerators are often limited not by arithmetic capability but by memory movement. Fetching model parameters from memory frequently consumes more time and energy than performing the mathematical operations themselves.</w:t>
      </w:r>
    </w:p>
    <w:p w14:paraId="5186551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Reducing numerical precision addresses this bottleneck.</w:t>
      </w:r>
    </w:p>
    <w:p w14:paraId="297A2CF1"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Smaller numerical representations require:</w:t>
      </w:r>
    </w:p>
    <w:p w14:paraId="4F1AE321" w14:textId="77777777" w:rsidR="00090C75" w:rsidRPr="00090C75" w:rsidRDefault="00090C75" w:rsidP="0049140E">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less GPU memory, </w:t>
      </w:r>
    </w:p>
    <w:p w14:paraId="55885110" w14:textId="77777777" w:rsidR="00090C75" w:rsidRPr="00090C75" w:rsidRDefault="00090C75" w:rsidP="0049140E">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lower storage capacity, </w:t>
      </w:r>
    </w:p>
    <w:p w14:paraId="699AB81D" w14:textId="77777777" w:rsidR="00090C75" w:rsidRPr="00090C75" w:rsidRDefault="00090C75" w:rsidP="0049140E">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reduced memory bandwidth, </w:t>
      </w:r>
    </w:p>
    <w:p w14:paraId="6F96208D" w14:textId="77777777" w:rsidR="00090C75" w:rsidRPr="00090C75" w:rsidRDefault="00090C75" w:rsidP="0049140E">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faster model loading, </w:t>
      </w:r>
    </w:p>
    <w:p w14:paraId="6D6BB044" w14:textId="77777777" w:rsidR="00090C75" w:rsidRPr="00090C75" w:rsidRDefault="00090C75" w:rsidP="0049140E">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lower infrastructure cost, </w:t>
      </w:r>
    </w:p>
    <w:p w14:paraId="57560209" w14:textId="77777777" w:rsidR="00090C75" w:rsidRPr="00090C75" w:rsidRDefault="00090C75" w:rsidP="0049140E">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improved deployment flexibility. </w:t>
      </w:r>
    </w:p>
    <w:p w14:paraId="1998EB5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The engineering challenge is maintaining acceptable prediction quality while reducing precision.</w:t>
      </w:r>
    </w:p>
    <w:p w14:paraId="1A881FF3"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Over the past several years, improvements in quantization algorithms have demonstrated that many language models remain remarkably robust even when numerical precision is reduced substantially.</w:t>
      </w:r>
    </w:p>
    <w:p w14:paraId="733E767B"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3FC6078B">
          <v:rect id="_x0000_i1444" style="width:0;height:1.5pt" o:hralign="center" o:hrstd="t" o:hr="t" fillcolor="#a0a0a0" stroked="f"/>
        </w:pict>
      </w:r>
    </w:p>
    <w:p w14:paraId="3E543848" w14:textId="77777777" w:rsidR="00090C75" w:rsidRPr="00090C75" w:rsidRDefault="00090C75" w:rsidP="00090C75">
      <w:pPr>
        <w:pStyle w:val="1"/>
      </w:pPr>
      <w:r w:rsidRPr="00090C75">
        <w:t>4.7.2 Numerical Precision Formats</w:t>
      </w:r>
    </w:p>
    <w:p w14:paraId="3FFFF5B4"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Understanding quantization begins with understanding the numerical formats used to represent model parameters.</w:t>
      </w:r>
    </w:p>
    <w:p w14:paraId="5981C22C" w14:textId="77777777" w:rsidR="00090C75" w:rsidRPr="00090C75" w:rsidRDefault="00090C75" w:rsidP="00090C75">
      <w:pPr>
        <w:pStyle w:val="2"/>
      </w:pPr>
      <w:r w:rsidRPr="00090C75">
        <w:t>FP32</w:t>
      </w:r>
    </w:p>
    <w:p w14:paraId="6202EC4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Single-precision floating point (FP32) became the standard numerical format for deep learning because it provides high numerical accuracy and stable optimization during training.</w:t>
      </w:r>
    </w:p>
    <w:p w14:paraId="252F0E8D"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Although still important during parts of the training process, FP32 is increasingly uncommon for production inference because of its substantial memory requirements.</w:t>
      </w:r>
    </w:p>
    <w:p w14:paraId="194DF7E3"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lastRenderedPageBreak/>
        <w:t>Today, FP32 primarily serves as a reference precision against which lower-precision approaches are evaluated.</w:t>
      </w:r>
    </w:p>
    <w:p w14:paraId="5F2B8FF0" w14:textId="77777777" w:rsidR="00090C75" w:rsidRPr="00090C75" w:rsidRDefault="00090C75" w:rsidP="00090C75">
      <w:pPr>
        <w:pStyle w:val="2"/>
      </w:pPr>
      <w:r w:rsidRPr="00090C75">
        <w:t>FP16</w:t>
      </w:r>
    </w:p>
    <w:p w14:paraId="253DC72D"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Half-precision floating point (FP16) reduces memory requirements by approximately half while maintaining sufficiently high numerical precision for many inference workloads.</w:t>
      </w:r>
    </w:p>
    <w:p w14:paraId="4E0ECCC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FP16 became one of the first broadly adopted inference formats because modern GPUs provide hardware acceleration specifically designed for half-precision computation.</w:t>
      </w:r>
    </w:p>
    <w:p w14:paraId="28D300C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Many production deployments continue to use FP16 where maximum compatibility is desired.</w:t>
      </w:r>
    </w:p>
    <w:p w14:paraId="41D1B041" w14:textId="77777777" w:rsidR="00090C75" w:rsidRPr="00090C75" w:rsidRDefault="00090C75" w:rsidP="00090C75">
      <w:pPr>
        <w:pStyle w:val="2"/>
      </w:pPr>
      <w:r w:rsidRPr="00090C75">
        <w:t>BF16</w:t>
      </w:r>
    </w:p>
    <w:p w14:paraId="24637EEA"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Brain Floating Point (BF16) was developed to improve numerical stability while preserving many of the memory advantages of FP16.</w:t>
      </w:r>
    </w:p>
    <w:p w14:paraId="18088D8F"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BF16 allocates more bits to the exponent than FP16, allowing a significantly larger dynamic range.</w:t>
      </w:r>
    </w:p>
    <w:p w14:paraId="1B2B636B"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This characteristic reduces the likelihood of numerical overflow and underflow during computation.</w:t>
      </w:r>
    </w:p>
    <w:p w14:paraId="6A91C9C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Consequently, BF16 has become increasingly popular for both training and inference across modern accelerator platforms.</w:t>
      </w:r>
    </w:p>
    <w:p w14:paraId="75F5A85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Many recent open-weight models are trained directly using BF16.</w:t>
      </w:r>
    </w:p>
    <w:p w14:paraId="6C47C00F" w14:textId="77777777" w:rsidR="00090C75" w:rsidRPr="00090C75" w:rsidRDefault="00090C75" w:rsidP="00090C75">
      <w:pPr>
        <w:pStyle w:val="2"/>
      </w:pPr>
      <w:r w:rsidRPr="00090C75">
        <w:t>FP8</w:t>
      </w:r>
    </w:p>
    <w:p w14:paraId="179FF0F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Recent generations of AI accelerators increasingly support FP8 computation.</w:t>
      </w:r>
    </w:p>
    <w:p w14:paraId="6DEC14C3"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FP8 further reduces memory requirements while maintaining higher numerical fidelity than integer quantization for many workloads.</w:t>
      </w:r>
    </w:p>
    <w:p w14:paraId="14E55F4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Although adoption continues to grow, FP8 support depends heavily on hardware generation and software ecosystem maturity.</w:t>
      </w:r>
    </w:p>
    <w:p w14:paraId="3E85B42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It is expected to become increasingly common in enterprise inference infrastructure over the coming years.</w:t>
      </w:r>
    </w:p>
    <w:p w14:paraId="2A5D62A9" w14:textId="77777777" w:rsidR="00090C75" w:rsidRPr="00090C75" w:rsidRDefault="00090C75" w:rsidP="00090C75">
      <w:pPr>
        <w:pStyle w:val="2"/>
      </w:pPr>
      <w:r w:rsidRPr="00090C75">
        <w:lastRenderedPageBreak/>
        <w:t>Integer Quantization</w:t>
      </w:r>
    </w:p>
    <w:p w14:paraId="5B9EB81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Integer representations such as INT8 replace floating-point numbers with fixed-width integer values.</w:t>
      </w:r>
    </w:p>
    <w:p w14:paraId="7309749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Proper calibration enables many language models to preserve high inference quality while substantially reducing memory consumption.</w:t>
      </w:r>
    </w:p>
    <w:p w14:paraId="4CCAB912"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INT8 inference has become a widely adopted production strategy because numerous inference engines and hardware accelerators provide optimized execution paths for integer arithmetic.</w:t>
      </w:r>
    </w:p>
    <w:p w14:paraId="182AB6E4" w14:textId="77777777" w:rsidR="00090C75" w:rsidRPr="00090C75" w:rsidRDefault="00090C75" w:rsidP="00090C75">
      <w:pPr>
        <w:pStyle w:val="2"/>
      </w:pPr>
      <w:r w:rsidRPr="00090C75">
        <w:t>Low-Bit Quantization</w:t>
      </w:r>
    </w:p>
    <w:p w14:paraId="39B70A04"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Recent research has demonstrated that many language models remain usable even when weights are represented using four-bit, three-bit, or in some cases even lower precision formats.</w:t>
      </w:r>
    </w:p>
    <w:p w14:paraId="3E08165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Rather than relying on conventional integer representations alone, modern low-bit quantization often employs sophisticated encoding strategies that preserve important statistical characteristics of weight distributions.</w:t>
      </w:r>
    </w:p>
    <w:p w14:paraId="574DEE1B"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These approaches have dramatically expanded the practicality of local inference for medium-sized language models.</w:t>
      </w:r>
    </w:p>
    <w:p w14:paraId="63B46E3A"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However, lower precision generally increases the risk of quality degradation, particularly for reasoning-intensive workloads or tasks requiring highly consistent structured outputs.</w:t>
      </w:r>
    </w:p>
    <w:p w14:paraId="1BF5A0E8"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2B1C2927">
          <v:rect id="_x0000_i1445" style="width:0;height:1.5pt" o:hralign="center" o:hrstd="t" o:hr="t" fillcolor="#a0a0a0" stroked="f"/>
        </w:pict>
      </w:r>
    </w:p>
    <w:p w14:paraId="392AA518" w14:textId="77777777" w:rsidR="00090C75" w:rsidRPr="00090C75" w:rsidRDefault="00090C75" w:rsidP="00090C75">
      <w:pPr>
        <w:rPr>
          <w:rFonts w:ascii="Times New Roman" w:hAnsi="Times New Roman" w:cs="Times New Roman"/>
          <w:b/>
          <w:bCs/>
          <w:sz w:val="28"/>
          <w:szCs w:val="28"/>
        </w:rPr>
      </w:pPr>
      <w:r w:rsidRPr="00090C75">
        <w:rPr>
          <w:rFonts w:ascii="Times New Roman" w:hAnsi="Times New Roman" w:cs="Times New Roman"/>
          <w:b/>
          <w:bCs/>
          <w:sz w:val="28"/>
          <w:szCs w:val="28"/>
        </w:rPr>
        <w:t>Table 4.7. Common Numerical Precision Formats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1819"/>
        <w:gridCol w:w="1717"/>
        <w:gridCol w:w="2160"/>
        <w:gridCol w:w="2175"/>
      </w:tblGrid>
      <w:tr w:rsidR="00090C75" w:rsidRPr="00090C75" w14:paraId="608115AF" w14:textId="77777777" w:rsidTr="00090C75">
        <w:trPr>
          <w:tblHeader/>
          <w:tblCellSpacing w:w="15" w:type="dxa"/>
        </w:trPr>
        <w:tc>
          <w:tcPr>
            <w:tcW w:w="0" w:type="auto"/>
            <w:vAlign w:val="center"/>
            <w:hideMark/>
          </w:tcPr>
          <w:p w14:paraId="340C6821"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Precision Format</w:t>
            </w:r>
          </w:p>
        </w:tc>
        <w:tc>
          <w:tcPr>
            <w:tcW w:w="0" w:type="auto"/>
            <w:vAlign w:val="center"/>
            <w:hideMark/>
          </w:tcPr>
          <w:p w14:paraId="5B038EBB"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Approximate Memory Relative to FP32</w:t>
            </w:r>
          </w:p>
        </w:tc>
        <w:tc>
          <w:tcPr>
            <w:tcW w:w="0" w:type="auto"/>
            <w:vAlign w:val="center"/>
            <w:hideMark/>
          </w:tcPr>
          <w:p w14:paraId="3287867C"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Typical Usage</w:t>
            </w:r>
          </w:p>
        </w:tc>
        <w:tc>
          <w:tcPr>
            <w:tcW w:w="0" w:type="auto"/>
            <w:vAlign w:val="center"/>
            <w:hideMark/>
          </w:tcPr>
          <w:p w14:paraId="143F01C4"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Advantages</w:t>
            </w:r>
          </w:p>
        </w:tc>
        <w:tc>
          <w:tcPr>
            <w:tcW w:w="0" w:type="auto"/>
            <w:vAlign w:val="center"/>
            <w:hideMark/>
          </w:tcPr>
          <w:p w14:paraId="503370F4"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Limitations</w:t>
            </w:r>
          </w:p>
        </w:tc>
      </w:tr>
      <w:tr w:rsidR="00090C75" w:rsidRPr="00090C75" w14:paraId="021BFCAC" w14:textId="77777777" w:rsidTr="00090C75">
        <w:trPr>
          <w:tblCellSpacing w:w="15" w:type="dxa"/>
        </w:trPr>
        <w:tc>
          <w:tcPr>
            <w:tcW w:w="0" w:type="auto"/>
            <w:vAlign w:val="center"/>
            <w:hideMark/>
          </w:tcPr>
          <w:p w14:paraId="5329BAA2"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FP32</w:t>
            </w:r>
          </w:p>
        </w:tc>
        <w:tc>
          <w:tcPr>
            <w:tcW w:w="0" w:type="auto"/>
            <w:vAlign w:val="center"/>
            <w:hideMark/>
          </w:tcPr>
          <w:p w14:paraId="02E9AD73"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100%</w:t>
            </w:r>
          </w:p>
        </w:tc>
        <w:tc>
          <w:tcPr>
            <w:tcW w:w="0" w:type="auto"/>
            <w:vAlign w:val="center"/>
            <w:hideMark/>
          </w:tcPr>
          <w:p w14:paraId="59AFCB06"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Reference inference, portions of model training</w:t>
            </w:r>
          </w:p>
        </w:tc>
        <w:tc>
          <w:tcPr>
            <w:tcW w:w="0" w:type="auto"/>
            <w:vAlign w:val="center"/>
            <w:hideMark/>
          </w:tcPr>
          <w:p w14:paraId="480C928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Highest numerical precision and compatibility</w:t>
            </w:r>
          </w:p>
        </w:tc>
        <w:tc>
          <w:tcPr>
            <w:tcW w:w="0" w:type="auto"/>
            <w:vAlign w:val="center"/>
            <w:hideMark/>
          </w:tcPr>
          <w:p w14:paraId="255D29DE"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Largest memory footprint and highest bandwidth requirements</w:t>
            </w:r>
          </w:p>
        </w:tc>
      </w:tr>
      <w:tr w:rsidR="00090C75" w:rsidRPr="00090C75" w14:paraId="7310A19A" w14:textId="77777777" w:rsidTr="00090C75">
        <w:trPr>
          <w:tblCellSpacing w:w="15" w:type="dxa"/>
        </w:trPr>
        <w:tc>
          <w:tcPr>
            <w:tcW w:w="0" w:type="auto"/>
            <w:vAlign w:val="center"/>
            <w:hideMark/>
          </w:tcPr>
          <w:p w14:paraId="06B90FDB"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FP16</w:t>
            </w:r>
          </w:p>
        </w:tc>
        <w:tc>
          <w:tcPr>
            <w:tcW w:w="0" w:type="auto"/>
            <w:vAlign w:val="center"/>
            <w:hideMark/>
          </w:tcPr>
          <w:p w14:paraId="04A1EEF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Approximately 50%</w:t>
            </w:r>
          </w:p>
        </w:tc>
        <w:tc>
          <w:tcPr>
            <w:tcW w:w="0" w:type="auto"/>
            <w:vAlign w:val="center"/>
            <w:hideMark/>
          </w:tcPr>
          <w:p w14:paraId="53598995"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Production inference, GPU deployment</w:t>
            </w:r>
          </w:p>
        </w:tc>
        <w:tc>
          <w:tcPr>
            <w:tcW w:w="0" w:type="auto"/>
            <w:vAlign w:val="center"/>
            <w:hideMark/>
          </w:tcPr>
          <w:p w14:paraId="2D00007C"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Mature hardware support, substantial memory reduction</w:t>
            </w:r>
          </w:p>
        </w:tc>
        <w:tc>
          <w:tcPr>
            <w:tcW w:w="0" w:type="auto"/>
            <w:vAlign w:val="center"/>
            <w:hideMark/>
          </w:tcPr>
          <w:p w14:paraId="741F6272"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Smaller numerical range than BF16</w:t>
            </w:r>
          </w:p>
        </w:tc>
      </w:tr>
      <w:tr w:rsidR="00090C75" w:rsidRPr="00090C75" w14:paraId="3AB30929" w14:textId="77777777" w:rsidTr="00090C75">
        <w:trPr>
          <w:tblCellSpacing w:w="15" w:type="dxa"/>
        </w:trPr>
        <w:tc>
          <w:tcPr>
            <w:tcW w:w="0" w:type="auto"/>
            <w:vAlign w:val="center"/>
            <w:hideMark/>
          </w:tcPr>
          <w:p w14:paraId="60148A4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BF16</w:t>
            </w:r>
          </w:p>
        </w:tc>
        <w:tc>
          <w:tcPr>
            <w:tcW w:w="0" w:type="auto"/>
            <w:vAlign w:val="center"/>
            <w:hideMark/>
          </w:tcPr>
          <w:p w14:paraId="0F08BC7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Approximately 50%</w:t>
            </w:r>
          </w:p>
        </w:tc>
        <w:tc>
          <w:tcPr>
            <w:tcW w:w="0" w:type="auto"/>
            <w:vAlign w:val="center"/>
            <w:hideMark/>
          </w:tcPr>
          <w:p w14:paraId="5D3263A3"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Modern training and inference</w:t>
            </w:r>
          </w:p>
        </w:tc>
        <w:tc>
          <w:tcPr>
            <w:tcW w:w="0" w:type="auto"/>
            <w:vAlign w:val="center"/>
            <w:hideMark/>
          </w:tcPr>
          <w:p w14:paraId="71255893"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Improved numerical stability with similar memory efficiency</w:t>
            </w:r>
          </w:p>
        </w:tc>
        <w:tc>
          <w:tcPr>
            <w:tcW w:w="0" w:type="auto"/>
            <w:vAlign w:val="center"/>
            <w:hideMark/>
          </w:tcPr>
          <w:p w14:paraId="40C402F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Hardware support varies across accelerator generations</w:t>
            </w:r>
          </w:p>
        </w:tc>
      </w:tr>
      <w:tr w:rsidR="00090C75" w:rsidRPr="00090C75" w14:paraId="603BA8EE" w14:textId="77777777" w:rsidTr="00090C75">
        <w:trPr>
          <w:tblCellSpacing w:w="15" w:type="dxa"/>
        </w:trPr>
        <w:tc>
          <w:tcPr>
            <w:tcW w:w="0" w:type="auto"/>
            <w:vAlign w:val="center"/>
            <w:hideMark/>
          </w:tcPr>
          <w:p w14:paraId="017349A8"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lastRenderedPageBreak/>
              <w:t>FP8</w:t>
            </w:r>
          </w:p>
        </w:tc>
        <w:tc>
          <w:tcPr>
            <w:tcW w:w="0" w:type="auto"/>
            <w:vAlign w:val="center"/>
            <w:hideMark/>
          </w:tcPr>
          <w:p w14:paraId="3EDD6AC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Approximately 25%</w:t>
            </w:r>
          </w:p>
        </w:tc>
        <w:tc>
          <w:tcPr>
            <w:tcW w:w="0" w:type="auto"/>
            <w:vAlign w:val="center"/>
            <w:hideMark/>
          </w:tcPr>
          <w:p w14:paraId="4F5534D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Emerging high-performance inference and training</w:t>
            </w:r>
          </w:p>
        </w:tc>
        <w:tc>
          <w:tcPr>
            <w:tcW w:w="0" w:type="auto"/>
            <w:vAlign w:val="center"/>
            <w:hideMark/>
          </w:tcPr>
          <w:p w14:paraId="12D939C2"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Lower memory consumption with floating-point representation</w:t>
            </w:r>
          </w:p>
        </w:tc>
        <w:tc>
          <w:tcPr>
            <w:tcW w:w="0" w:type="auto"/>
            <w:vAlign w:val="center"/>
            <w:hideMark/>
          </w:tcPr>
          <w:p w14:paraId="3289818C"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Requires recent accelerator hardware and evolving software support</w:t>
            </w:r>
          </w:p>
        </w:tc>
      </w:tr>
      <w:tr w:rsidR="00090C75" w:rsidRPr="00090C75" w14:paraId="478C00A8" w14:textId="77777777" w:rsidTr="00090C75">
        <w:trPr>
          <w:tblCellSpacing w:w="15" w:type="dxa"/>
        </w:trPr>
        <w:tc>
          <w:tcPr>
            <w:tcW w:w="0" w:type="auto"/>
            <w:vAlign w:val="center"/>
            <w:hideMark/>
          </w:tcPr>
          <w:p w14:paraId="6BCCA0D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INT8</w:t>
            </w:r>
          </w:p>
        </w:tc>
        <w:tc>
          <w:tcPr>
            <w:tcW w:w="0" w:type="auto"/>
            <w:vAlign w:val="center"/>
            <w:hideMark/>
          </w:tcPr>
          <w:p w14:paraId="2442D436"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Approximately 25%</w:t>
            </w:r>
          </w:p>
        </w:tc>
        <w:tc>
          <w:tcPr>
            <w:tcW w:w="0" w:type="auto"/>
            <w:vAlign w:val="center"/>
            <w:hideMark/>
          </w:tcPr>
          <w:p w14:paraId="32D3E460"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Optimized production inference</w:t>
            </w:r>
          </w:p>
        </w:tc>
        <w:tc>
          <w:tcPr>
            <w:tcW w:w="0" w:type="auto"/>
            <w:vAlign w:val="center"/>
            <w:hideMark/>
          </w:tcPr>
          <w:p w14:paraId="05ECF8A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Excellent hardware support, efficient execution, broad framework compatibility</w:t>
            </w:r>
          </w:p>
        </w:tc>
        <w:tc>
          <w:tcPr>
            <w:tcW w:w="0" w:type="auto"/>
            <w:vAlign w:val="center"/>
            <w:hideMark/>
          </w:tcPr>
          <w:p w14:paraId="6F0C57A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May require calibration and quality validation</w:t>
            </w:r>
          </w:p>
        </w:tc>
      </w:tr>
      <w:tr w:rsidR="00090C75" w:rsidRPr="00090C75" w14:paraId="1A5F8A6A" w14:textId="77777777" w:rsidTr="00090C75">
        <w:trPr>
          <w:tblCellSpacing w:w="15" w:type="dxa"/>
        </w:trPr>
        <w:tc>
          <w:tcPr>
            <w:tcW w:w="0" w:type="auto"/>
            <w:vAlign w:val="center"/>
            <w:hideMark/>
          </w:tcPr>
          <w:p w14:paraId="6101F616"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4-bit Quantization</w:t>
            </w:r>
          </w:p>
        </w:tc>
        <w:tc>
          <w:tcPr>
            <w:tcW w:w="0" w:type="auto"/>
            <w:vAlign w:val="center"/>
            <w:hideMark/>
          </w:tcPr>
          <w:p w14:paraId="234A87A8"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Approximately 12–15%</w:t>
            </w:r>
          </w:p>
        </w:tc>
        <w:tc>
          <w:tcPr>
            <w:tcW w:w="0" w:type="auto"/>
            <w:vAlign w:val="center"/>
            <w:hideMark/>
          </w:tcPr>
          <w:p w14:paraId="7D42ED7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Local inference, memory-constrained deployments</w:t>
            </w:r>
          </w:p>
        </w:tc>
        <w:tc>
          <w:tcPr>
            <w:tcW w:w="0" w:type="auto"/>
            <w:vAlign w:val="center"/>
            <w:hideMark/>
          </w:tcPr>
          <w:p w14:paraId="0B9C688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Enables deployment of much larger models on modest hardware</w:t>
            </w:r>
          </w:p>
        </w:tc>
        <w:tc>
          <w:tcPr>
            <w:tcW w:w="0" w:type="auto"/>
            <w:vAlign w:val="center"/>
            <w:hideMark/>
          </w:tcPr>
          <w:p w14:paraId="0A63311B"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Greater risk of accuracy degradation depending on workload and quantization algorithm</w:t>
            </w:r>
          </w:p>
        </w:tc>
      </w:tr>
    </w:tbl>
    <w:p w14:paraId="5E4DC16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Actual memory savings vary according to implementation, metadata, runtime buffers, and inference engine design.</w:t>
      </w:r>
    </w:p>
    <w:p w14:paraId="68023FEC"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726385D8">
          <v:rect id="_x0000_i1446" style="width:0;height:1.5pt" o:hralign="center" o:hrstd="t" o:hr="t" fillcolor="#a0a0a0" stroked="f"/>
        </w:pict>
      </w:r>
    </w:p>
    <w:p w14:paraId="395B2BF5" w14:textId="77777777" w:rsidR="00090C75" w:rsidRPr="00090C75" w:rsidRDefault="00090C75" w:rsidP="00090C75">
      <w:pPr>
        <w:pStyle w:val="1"/>
      </w:pPr>
      <w:r w:rsidRPr="00090C75">
        <w:t>4.7.3 Post-Training Quantization</w:t>
      </w:r>
    </w:p>
    <w:p w14:paraId="79B22D11"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The most common production approach is </w:t>
      </w:r>
      <w:r w:rsidRPr="00090C75">
        <w:rPr>
          <w:rFonts w:ascii="Times New Roman" w:eastAsia="Times New Roman" w:hAnsi="Times New Roman" w:cs="Times New Roman"/>
          <w:b/>
          <w:bCs/>
          <w:sz w:val="28"/>
          <w:szCs w:val="28"/>
        </w:rPr>
        <w:t>Post-Training Quantization (PTQ)</w:t>
      </w:r>
      <w:r w:rsidRPr="00090C75">
        <w:rPr>
          <w:rFonts w:ascii="Times New Roman" w:eastAsia="Times New Roman" w:hAnsi="Times New Roman" w:cs="Times New Roman"/>
          <w:sz w:val="28"/>
          <w:szCs w:val="28"/>
        </w:rPr>
        <w:t>.</w:t>
      </w:r>
    </w:p>
    <w:p w14:paraId="4377E7ED"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Rather than modifying the original training process, PTQ converts an already trained model into a lower-precision representation.</w:t>
      </w:r>
    </w:p>
    <w:p w14:paraId="6A094796"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This approach has several practical advantages.</w:t>
      </w:r>
    </w:p>
    <w:p w14:paraId="010C3331"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First, organizations can quantize publicly released models without reproducing expensive training pipelines.</w:t>
      </w:r>
    </w:p>
    <w:p w14:paraId="4C148F4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Second, quantization can often be completed within hours rather than months.</w:t>
      </w:r>
    </w:p>
    <w:p w14:paraId="4BC984A3"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Third, multiple quantized variants may be generated from the same base model, allowing different deployment targets to use different precision levels.</w:t>
      </w:r>
    </w:p>
    <w:p w14:paraId="0CF25176"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Modern PTQ algorithms employ increasingly sophisticated statistical techniques to minimize information loss during conversion.</w:t>
      </w:r>
    </w:p>
    <w:p w14:paraId="472BD31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Many methods analyze representative calibration datasets to determine scaling factors that preserve important numerical characteristics.</w:t>
      </w:r>
    </w:p>
    <w:p w14:paraId="774DEE2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lastRenderedPageBreak/>
        <w:t>Because PTQ does not require retraining, it has become the dominant approach within the open-weight community.</w:t>
      </w:r>
    </w:p>
    <w:p w14:paraId="03B6FF81"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Most downloadable quantized checkpoints available through public repositories have been produced using post-training techniques.</w:t>
      </w:r>
    </w:p>
    <w:p w14:paraId="1E74B289"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6F12B703">
          <v:rect id="_x0000_i1447" style="width:0;height:1.5pt" o:hralign="center" o:hrstd="t" o:hr="t" fillcolor="#a0a0a0" stroked="f"/>
        </w:pict>
      </w:r>
    </w:p>
    <w:p w14:paraId="7DF1EDDC" w14:textId="77777777" w:rsidR="00090C75" w:rsidRPr="00090C75" w:rsidRDefault="00090C75" w:rsidP="00090C75">
      <w:pPr>
        <w:pStyle w:val="1"/>
      </w:pPr>
      <w:r w:rsidRPr="00090C75">
        <w:t>4.7.4 Quantization-Aware Training</w:t>
      </w:r>
    </w:p>
    <w:p w14:paraId="453F04B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An alternative strategy is </w:t>
      </w:r>
      <w:r w:rsidRPr="00090C75">
        <w:rPr>
          <w:rFonts w:ascii="Times New Roman" w:eastAsia="Times New Roman" w:hAnsi="Times New Roman" w:cs="Times New Roman"/>
          <w:b/>
          <w:bCs/>
          <w:sz w:val="28"/>
          <w:szCs w:val="28"/>
        </w:rPr>
        <w:t>Quantization-Aware Training (QAT)</w:t>
      </w:r>
      <w:r w:rsidRPr="00090C75">
        <w:rPr>
          <w:rFonts w:ascii="Times New Roman" w:eastAsia="Times New Roman" w:hAnsi="Times New Roman" w:cs="Times New Roman"/>
          <w:sz w:val="28"/>
          <w:szCs w:val="28"/>
        </w:rPr>
        <w:t>.</w:t>
      </w:r>
    </w:p>
    <w:p w14:paraId="1DA39FD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Instead of compressing a fully trained model afterward, QAT incorporates low-precision behavior during training or fine-tuning.</w:t>
      </w:r>
    </w:p>
    <w:p w14:paraId="2937D50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The optimization process therefore learns parameters that remain effective under reduced numerical precision.</w:t>
      </w:r>
    </w:p>
    <w:p w14:paraId="5DF3F974"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Compared with PTQ, QAT often preserves higher inference quality, particularly when using aggressive low-bit representations.</w:t>
      </w:r>
    </w:p>
    <w:p w14:paraId="73B5D2C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However, these benefits come with increased complexity.</w:t>
      </w:r>
    </w:p>
    <w:p w14:paraId="2163C48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Organizations performing QAT require access to the training process itself.</w:t>
      </w:r>
    </w:p>
    <w:p w14:paraId="0B775DB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Additional computational resources are needed.</w:t>
      </w:r>
    </w:p>
    <w:p w14:paraId="7D52F3D1"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Training pipelines become more complicated.</w:t>
      </w:r>
    </w:p>
    <w:p w14:paraId="72609DE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For these reasons, QAT is generally employed by model developers or organizations performing substantial custom model training rather than by downstream application teams deploying publicly available checkpoints.</w:t>
      </w:r>
    </w:p>
    <w:p w14:paraId="7F975074"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3C03DE8F">
          <v:rect id="_x0000_i1448" style="width:0;height:1.5pt" o:hralign="center" o:hrstd="t" o:hr="t" fillcolor="#a0a0a0" stroked="f"/>
        </w:pict>
      </w:r>
    </w:p>
    <w:p w14:paraId="6AF67DBB" w14:textId="77777777" w:rsidR="00090C75" w:rsidRPr="00090C75" w:rsidRDefault="00090C75" w:rsidP="00090C75">
      <w:pPr>
        <w:pStyle w:val="1"/>
      </w:pPr>
      <w:r w:rsidRPr="00090C75">
        <w:t>4.7.5 Popular Quantization Algorithms</w:t>
      </w:r>
    </w:p>
    <w:p w14:paraId="0D42581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The rapid expansion of open-weight models has produced a diverse ecosystem of quantization algorithms.</w:t>
      </w:r>
    </w:p>
    <w:p w14:paraId="45390B4B"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Rather than implementing generic numerical compression, these algorithms exploit statistical properties specific to transformer architectures.</w:t>
      </w:r>
    </w:p>
    <w:p w14:paraId="38731FE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Several approaches have become particularly influential.</w:t>
      </w:r>
    </w:p>
    <w:p w14:paraId="339BAAB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b/>
          <w:bCs/>
          <w:sz w:val="28"/>
          <w:szCs w:val="28"/>
        </w:rPr>
        <w:lastRenderedPageBreak/>
        <w:t>GPTQ (GPT Quantization)</w:t>
      </w:r>
      <w:r w:rsidRPr="00090C75">
        <w:rPr>
          <w:rFonts w:ascii="Times New Roman" w:eastAsia="Times New Roman" w:hAnsi="Times New Roman" w:cs="Times New Roman"/>
          <w:sz w:val="28"/>
          <w:szCs w:val="28"/>
        </w:rPr>
        <w:t xml:space="preserve"> performs post-training quantization using second-order approximations to minimize reconstruction error. GPTQ became one of the earliest widely adopted methods for producing high-quality 4-bit checkpoints and remains broadly supported across the inference ecosystem.</w:t>
      </w:r>
    </w:p>
    <w:p w14:paraId="75F151D2"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b/>
          <w:bCs/>
          <w:sz w:val="28"/>
          <w:szCs w:val="28"/>
        </w:rPr>
        <w:t>AWQ (Activation-aware Weight Quantization)</w:t>
      </w:r>
      <w:r w:rsidRPr="00090C75">
        <w:rPr>
          <w:rFonts w:ascii="Times New Roman" w:eastAsia="Times New Roman" w:hAnsi="Times New Roman" w:cs="Times New Roman"/>
          <w:sz w:val="28"/>
          <w:szCs w:val="28"/>
        </w:rPr>
        <w:t xml:space="preserve"> improves quantization quality by considering activation statistics during compression. By protecting particularly important weights, AWQ frequently preserves reasoning quality more effectively than earlier methods while maintaining efficient inference.</w:t>
      </w:r>
    </w:p>
    <w:p w14:paraId="45DCE49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b/>
          <w:bCs/>
          <w:sz w:val="28"/>
          <w:szCs w:val="28"/>
        </w:rPr>
        <w:t>GGUF</w:t>
      </w:r>
      <w:r w:rsidRPr="00090C75">
        <w:rPr>
          <w:rFonts w:ascii="Times New Roman" w:eastAsia="Times New Roman" w:hAnsi="Times New Roman" w:cs="Times New Roman"/>
          <w:sz w:val="28"/>
          <w:szCs w:val="28"/>
        </w:rPr>
        <w:t xml:space="preserve"> is not itself a quantization algorithm but a model file format widely used by local inference engines, particularly </w:t>
      </w:r>
      <w:r w:rsidRPr="00090C75">
        <w:rPr>
          <w:rFonts w:ascii="Courier New" w:eastAsia="Times New Roman" w:hAnsi="Courier New" w:cs="Courier New"/>
        </w:rPr>
        <w:t>llama.cpp</w:t>
      </w:r>
      <w:r w:rsidRPr="00090C75">
        <w:rPr>
          <w:rFonts w:ascii="Times New Roman" w:eastAsia="Times New Roman" w:hAnsi="Times New Roman" w:cs="Times New Roman"/>
          <w:sz w:val="28"/>
          <w:szCs w:val="28"/>
        </w:rPr>
        <w:t>. GGUF supports multiple quantization schemes within a standardized container, enabling efficient distribution of compressed checkpoints.</w:t>
      </w:r>
    </w:p>
    <w:p w14:paraId="463A6612"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b/>
          <w:bCs/>
          <w:sz w:val="28"/>
          <w:szCs w:val="28"/>
        </w:rPr>
        <w:t>BitsAndBytes</w:t>
      </w:r>
      <w:r w:rsidRPr="00090C75">
        <w:rPr>
          <w:rFonts w:ascii="Times New Roman" w:eastAsia="Times New Roman" w:hAnsi="Times New Roman" w:cs="Times New Roman"/>
          <w:sz w:val="28"/>
          <w:szCs w:val="28"/>
        </w:rPr>
        <w:t xml:space="preserve"> provides widely used quantization implementations integrated with the Hugging Face ecosystem. It supports several low-bit inference strategies and has become a common choice for experimentation and research.</w:t>
      </w:r>
    </w:p>
    <w:p w14:paraId="496AABF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Additional algorithms continue to emerge, reflecting active research into balancing numerical precision, computational efficiency, and model capability.</w:t>
      </w:r>
    </w:p>
    <w:p w14:paraId="1C54CE8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Platform engineers need not understand every mathematical detail, but they should recognize that quantized models produced by different algorithms may exhibit different quality characteristics despite sharing the same nominal bit width.</w:t>
      </w:r>
    </w:p>
    <w:p w14:paraId="7C839456"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7B7DE026">
          <v:rect id="_x0000_i1449" style="width:0;height:1.5pt" o:hralign="center" o:hrstd="t" o:hr="t" fillcolor="#a0a0a0" stroked="f"/>
        </w:pict>
      </w:r>
    </w:p>
    <w:p w14:paraId="5EDEA725" w14:textId="77777777" w:rsidR="00090C75" w:rsidRPr="00090C75" w:rsidRDefault="00090C75" w:rsidP="00090C75">
      <w:pPr>
        <w:rPr>
          <w:rFonts w:ascii="Times New Roman" w:hAnsi="Times New Roman" w:cs="Times New Roman"/>
          <w:b/>
          <w:bCs/>
          <w:sz w:val="28"/>
          <w:szCs w:val="28"/>
        </w:rPr>
      </w:pPr>
      <w:r w:rsidRPr="00090C75">
        <w:rPr>
          <w:rFonts w:ascii="Times New Roman" w:hAnsi="Times New Roman" w:cs="Times New Roman"/>
          <w:b/>
          <w:bCs/>
          <w:sz w:val="28"/>
          <w:szCs w:val="28"/>
        </w:rPr>
        <w:t>Table 4.8. Representative Quantization Algorithms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977"/>
        <w:gridCol w:w="2536"/>
        <w:gridCol w:w="3124"/>
      </w:tblGrid>
      <w:tr w:rsidR="00090C75" w:rsidRPr="00090C75" w14:paraId="5AF87D49" w14:textId="77777777" w:rsidTr="00090C75">
        <w:trPr>
          <w:tblHeader/>
          <w:tblCellSpacing w:w="15" w:type="dxa"/>
        </w:trPr>
        <w:tc>
          <w:tcPr>
            <w:tcW w:w="0" w:type="auto"/>
            <w:vAlign w:val="center"/>
            <w:hideMark/>
          </w:tcPr>
          <w:p w14:paraId="1EBF12AE"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Algorithm / Format</w:t>
            </w:r>
          </w:p>
        </w:tc>
        <w:tc>
          <w:tcPr>
            <w:tcW w:w="0" w:type="auto"/>
            <w:vAlign w:val="center"/>
            <w:hideMark/>
          </w:tcPr>
          <w:p w14:paraId="233C67B1"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Primary Purpose</w:t>
            </w:r>
          </w:p>
        </w:tc>
        <w:tc>
          <w:tcPr>
            <w:tcW w:w="0" w:type="auto"/>
            <w:vAlign w:val="center"/>
            <w:hideMark/>
          </w:tcPr>
          <w:p w14:paraId="5F62B9E8"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Typical Deployment Scenarios</w:t>
            </w:r>
          </w:p>
        </w:tc>
        <w:tc>
          <w:tcPr>
            <w:tcW w:w="0" w:type="auto"/>
            <w:vAlign w:val="center"/>
            <w:hideMark/>
          </w:tcPr>
          <w:p w14:paraId="6982D37E"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Notable Characteristics</w:t>
            </w:r>
          </w:p>
        </w:tc>
      </w:tr>
      <w:tr w:rsidR="00090C75" w:rsidRPr="00090C75" w14:paraId="0FA5970C" w14:textId="77777777" w:rsidTr="00090C75">
        <w:trPr>
          <w:tblCellSpacing w:w="15" w:type="dxa"/>
        </w:trPr>
        <w:tc>
          <w:tcPr>
            <w:tcW w:w="0" w:type="auto"/>
            <w:vAlign w:val="center"/>
            <w:hideMark/>
          </w:tcPr>
          <w:p w14:paraId="09EB44AC"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GPTQ</w:t>
            </w:r>
          </w:p>
        </w:tc>
        <w:tc>
          <w:tcPr>
            <w:tcW w:w="0" w:type="auto"/>
            <w:vAlign w:val="center"/>
            <w:hideMark/>
          </w:tcPr>
          <w:p w14:paraId="21B6243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High-quality post-training quantization</w:t>
            </w:r>
          </w:p>
        </w:tc>
        <w:tc>
          <w:tcPr>
            <w:tcW w:w="0" w:type="auto"/>
            <w:vAlign w:val="center"/>
            <w:hideMark/>
          </w:tcPr>
          <w:p w14:paraId="639858D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Production inference, local deployment</w:t>
            </w:r>
          </w:p>
        </w:tc>
        <w:tc>
          <w:tcPr>
            <w:tcW w:w="0" w:type="auto"/>
            <w:vAlign w:val="center"/>
            <w:hideMark/>
          </w:tcPr>
          <w:p w14:paraId="66957B3C"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Widely supported; strong quality for 4-bit models</w:t>
            </w:r>
          </w:p>
        </w:tc>
      </w:tr>
      <w:tr w:rsidR="00090C75" w:rsidRPr="00090C75" w14:paraId="3DBE8A6B" w14:textId="77777777" w:rsidTr="00090C75">
        <w:trPr>
          <w:tblCellSpacing w:w="15" w:type="dxa"/>
        </w:trPr>
        <w:tc>
          <w:tcPr>
            <w:tcW w:w="0" w:type="auto"/>
            <w:vAlign w:val="center"/>
            <w:hideMark/>
          </w:tcPr>
          <w:p w14:paraId="5EA07090"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AWQ</w:t>
            </w:r>
          </w:p>
        </w:tc>
        <w:tc>
          <w:tcPr>
            <w:tcW w:w="0" w:type="auto"/>
            <w:vAlign w:val="center"/>
            <w:hideMark/>
          </w:tcPr>
          <w:p w14:paraId="4C0B2FE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Activation-aware post-training quantization</w:t>
            </w:r>
          </w:p>
        </w:tc>
        <w:tc>
          <w:tcPr>
            <w:tcW w:w="0" w:type="auto"/>
            <w:vAlign w:val="center"/>
            <w:hideMark/>
          </w:tcPr>
          <w:p w14:paraId="6439D130"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Enterprise inference, reasoning-oriented workloads</w:t>
            </w:r>
          </w:p>
        </w:tc>
        <w:tc>
          <w:tcPr>
            <w:tcW w:w="0" w:type="auto"/>
            <w:vAlign w:val="center"/>
            <w:hideMark/>
          </w:tcPr>
          <w:p w14:paraId="191B0C96"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Protects important weights to reduce quality degradation</w:t>
            </w:r>
          </w:p>
        </w:tc>
      </w:tr>
      <w:tr w:rsidR="00090C75" w:rsidRPr="00090C75" w14:paraId="65096109" w14:textId="77777777" w:rsidTr="00090C75">
        <w:trPr>
          <w:tblCellSpacing w:w="15" w:type="dxa"/>
        </w:trPr>
        <w:tc>
          <w:tcPr>
            <w:tcW w:w="0" w:type="auto"/>
            <w:vAlign w:val="center"/>
            <w:hideMark/>
          </w:tcPr>
          <w:p w14:paraId="51D0FFFD"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GGUF</w:t>
            </w:r>
          </w:p>
        </w:tc>
        <w:tc>
          <w:tcPr>
            <w:tcW w:w="0" w:type="auto"/>
            <w:vAlign w:val="center"/>
            <w:hideMark/>
          </w:tcPr>
          <w:p w14:paraId="59F973EF"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Standardized model storage format</w:t>
            </w:r>
          </w:p>
        </w:tc>
        <w:tc>
          <w:tcPr>
            <w:tcW w:w="0" w:type="auto"/>
            <w:vAlign w:val="center"/>
            <w:hideMark/>
          </w:tcPr>
          <w:p w14:paraId="51E18EA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Local inference with llama.cpp and compatible runtimes</w:t>
            </w:r>
          </w:p>
        </w:tc>
        <w:tc>
          <w:tcPr>
            <w:tcW w:w="0" w:type="auto"/>
            <w:vAlign w:val="center"/>
            <w:hideMark/>
          </w:tcPr>
          <w:p w14:paraId="552AC66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Supports numerous quantization variants within a common format</w:t>
            </w:r>
          </w:p>
        </w:tc>
      </w:tr>
      <w:tr w:rsidR="00090C75" w:rsidRPr="00090C75" w14:paraId="2B345F98" w14:textId="77777777" w:rsidTr="00090C75">
        <w:trPr>
          <w:tblCellSpacing w:w="15" w:type="dxa"/>
        </w:trPr>
        <w:tc>
          <w:tcPr>
            <w:tcW w:w="0" w:type="auto"/>
            <w:vAlign w:val="center"/>
            <w:hideMark/>
          </w:tcPr>
          <w:p w14:paraId="33DC826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BitsAndBytes</w:t>
            </w:r>
          </w:p>
        </w:tc>
        <w:tc>
          <w:tcPr>
            <w:tcW w:w="0" w:type="auto"/>
            <w:vAlign w:val="center"/>
            <w:hideMark/>
          </w:tcPr>
          <w:p w14:paraId="2D83144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Quantization library</w:t>
            </w:r>
          </w:p>
        </w:tc>
        <w:tc>
          <w:tcPr>
            <w:tcW w:w="0" w:type="auto"/>
            <w:vAlign w:val="center"/>
            <w:hideMark/>
          </w:tcPr>
          <w:p w14:paraId="18AE2C2F"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Research, experimentation, Hugging Face workflows</w:t>
            </w:r>
          </w:p>
        </w:tc>
        <w:tc>
          <w:tcPr>
            <w:tcW w:w="0" w:type="auto"/>
            <w:vAlign w:val="center"/>
            <w:hideMark/>
          </w:tcPr>
          <w:p w14:paraId="6CE1BD9F"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Broad ecosystem integration and multiple low-bit implementations</w:t>
            </w:r>
          </w:p>
        </w:tc>
      </w:tr>
      <w:tr w:rsidR="00090C75" w:rsidRPr="00090C75" w14:paraId="39A56DB8" w14:textId="77777777" w:rsidTr="00090C75">
        <w:trPr>
          <w:tblCellSpacing w:w="15" w:type="dxa"/>
        </w:trPr>
        <w:tc>
          <w:tcPr>
            <w:tcW w:w="0" w:type="auto"/>
            <w:vAlign w:val="center"/>
            <w:hideMark/>
          </w:tcPr>
          <w:p w14:paraId="1344142D"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Vendor-specific formats</w:t>
            </w:r>
          </w:p>
        </w:tc>
        <w:tc>
          <w:tcPr>
            <w:tcW w:w="0" w:type="auto"/>
            <w:vAlign w:val="center"/>
            <w:hideMark/>
          </w:tcPr>
          <w:p w14:paraId="35C6C08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Hardware-optimized deployment</w:t>
            </w:r>
          </w:p>
        </w:tc>
        <w:tc>
          <w:tcPr>
            <w:tcW w:w="0" w:type="auto"/>
            <w:vAlign w:val="center"/>
            <w:hideMark/>
          </w:tcPr>
          <w:p w14:paraId="24D53ED5"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Accelerator-specific production environments</w:t>
            </w:r>
          </w:p>
        </w:tc>
        <w:tc>
          <w:tcPr>
            <w:tcW w:w="0" w:type="auto"/>
            <w:vAlign w:val="center"/>
            <w:hideMark/>
          </w:tcPr>
          <w:p w14:paraId="23D83CE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Often provide maximum performance on supported hardware but reduce portability</w:t>
            </w:r>
          </w:p>
        </w:tc>
      </w:tr>
    </w:tbl>
    <w:p w14:paraId="1A6EF2BB"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270D0798">
          <v:rect id="_x0000_i1450" style="width:0;height:1.5pt" o:hralign="center" o:hrstd="t" o:hr="t" fillcolor="#a0a0a0" stroked="f"/>
        </w:pict>
      </w:r>
    </w:p>
    <w:p w14:paraId="2D629CF8" w14:textId="77777777" w:rsidR="00090C75" w:rsidRPr="00090C75" w:rsidRDefault="00090C75" w:rsidP="00090C75">
      <w:pPr>
        <w:pStyle w:val="1"/>
      </w:pPr>
      <w:r w:rsidRPr="00090C75">
        <w:lastRenderedPageBreak/>
        <w:t>4.7.6 Beyond Quantization: Other Compression Techniques</w:t>
      </w:r>
    </w:p>
    <w:p w14:paraId="3B2C8FF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Although quantization receives the greatest attention, it represents only one category of model compression.</w:t>
      </w:r>
    </w:p>
    <w:p w14:paraId="379ACCB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Several additional techniques have become important within the broader AI engineering landscape.</w:t>
      </w:r>
    </w:p>
    <w:p w14:paraId="48AC8336" w14:textId="77777777" w:rsidR="00090C75" w:rsidRPr="00090C75" w:rsidRDefault="00090C75" w:rsidP="00090C75">
      <w:pPr>
        <w:pStyle w:val="2"/>
      </w:pPr>
      <w:r w:rsidRPr="00090C75">
        <w:t>Pruning</w:t>
      </w:r>
    </w:p>
    <w:p w14:paraId="1D329CB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Pruning removes parameters or computational pathways that contribute relatively little to inference quality.</w:t>
      </w:r>
    </w:p>
    <w:p w14:paraId="39B1DF42"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Depending on implementation, pruning may reduce computation, memory consumption, or both.</w:t>
      </w:r>
    </w:p>
    <w:p w14:paraId="77CEC037"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While historically important in neural network optimization, pruning has become less common than quantization for large language models because transformer architectures often respond better to precision reduction than aggressive parameter removal.</w:t>
      </w:r>
    </w:p>
    <w:p w14:paraId="51B0E4A2" w14:textId="77777777" w:rsidR="00090C75" w:rsidRPr="00090C75" w:rsidRDefault="00090C75" w:rsidP="00090C75">
      <w:pPr>
        <w:pStyle w:val="2"/>
      </w:pPr>
      <w:r w:rsidRPr="00090C75">
        <w:t>Knowledge Distillation</w:t>
      </w:r>
    </w:p>
    <w:p w14:paraId="0A3FEF0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Knowledge distillation transfers behavior from a larger teacher model into a smaller student model.</w:t>
      </w:r>
    </w:p>
    <w:p w14:paraId="51C085CD"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Rather than compressing the original model directly, the student learns to imitate the outputs of the larger system.</w:t>
      </w:r>
    </w:p>
    <w:p w14:paraId="61D9E92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Distillation frequently produces compact models with impressive capability-to-size ratios.</w:t>
      </w:r>
    </w:p>
    <w:p w14:paraId="7FD27BA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Many lightweight production models derive at least part of their effectiveness from distillation techniques.</w:t>
      </w:r>
    </w:p>
    <w:p w14:paraId="48DE5A28" w14:textId="77777777" w:rsidR="00090C75" w:rsidRPr="00090C75" w:rsidRDefault="00090C75" w:rsidP="00090C75">
      <w:pPr>
        <w:pStyle w:val="2"/>
      </w:pPr>
      <w:r w:rsidRPr="00090C75">
        <w:t>Low-Rank Adaptation</w:t>
      </w:r>
    </w:p>
    <w:p w14:paraId="15359C0E"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Methods such as Low-Rank Adaptation (LoRA) primarily target efficient fine-tuning rather than inference compression.</w:t>
      </w:r>
    </w:p>
    <w:p w14:paraId="44B091AA"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However, parameter-efficient adaptation techniques indirectly reduce storage and deployment requirements because only relatively small adaptation matrices must be distributed.</w:t>
      </w:r>
    </w:p>
    <w:p w14:paraId="44D0F2A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lastRenderedPageBreak/>
        <w:t>Organizations deploying numerous domain-specific variants often combine LoRA with quantized base models to minimize storage requirements.</w:t>
      </w:r>
    </w:p>
    <w:p w14:paraId="1EFA175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Fine-tuning methodologies are discussed later in this chapter.</w:t>
      </w:r>
    </w:p>
    <w:p w14:paraId="7B5D0A56"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pict w14:anchorId="39E91A60">
          <v:rect id="_x0000_i1451" style="width:0;height:1.5pt" o:hralign="center" o:hrstd="t" o:hr="t" fillcolor="#a0a0a0" stroked="f"/>
        </w:pict>
      </w:r>
    </w:p>
    <w:p w14:paraId="3B6280E0" w14:textId="77777777" w:rsidR="00090C75" w:rsidRPr="00090C75" w:rsidRDefault="00090C75" w:rsidP="00090C75">
      <w:pPr>
        <w:pStyle w:val="1"/>
      </w:pPr>
      <w:r w:rsidRPr="00090C75">
        <w:t>4.7.7 Engineering Trade-offs</w:t>
      </w:r>
    </w:p>
    <w:p w14:paraId="4CF6E020"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Quantization should not be viewed as a universally beneficial optimization.</w:t>
      </w:r>
    </w:p>
    <w:p w14:paraId="360101CB"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Like every engineering decision, it introduces trade-offs.</w:t>
      </w:r>
    </w:p>
    <w:p w14:paraId="5FAE9E3D"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Lower precision generally improves:</w:t>
      </w:r>
    </w:p>
    <w:p w14:paraId="48F96DAA" w14:textId="77777777" w:rsidR="00090C75" w:rsidRPr="00090C75" w:rsidRDefault="00090C75" w:rsidP="0049140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memory efficiency, </w:t>
      </w:r>
    </w:p>
    <w:p w14:paraId="23F0F4FE" w14:textId="77777777" w:rsidR="00090C75" w:rsidRPr="00090C75" w:rsidRDefault="00090C75" w:rsidP="0049140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deployment flexibility, </w:t>
      </w:r>
    </w:p>
    <w:p w14:paraId="6DF36CC4" w14:textId="77777777" w:rsidR="00090C75" w:rsidRPr="00090C75" w:rsidRDefault="00090C75" w:rsidP="0049140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hardware utilization, </w:t>
      </w:r>
    </w:p>
    <w:p w14:paraId="2EA099C2" w14:textId="77777777" w:rsidR="00090C75" w:rsidRPr="00090C75" w:rsidRDefault="00090C75" w:rsidP="0049140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infrastructure cost, </w:t>
      </w:r>
    </w:p>
    <w:p w14:paraId="6237795F" w14:textId="77777777" w:rsidR="00090C75" w:rsidRPr="00090C75" w:rsidRDefault="00090C75" w:rsidP="0049140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energy efficiency, </w:t>
      </w:r>
    </w:p>
    <w:p w14:paraId="05381FCF" w14:textId="77777777" w:rsidR="00090C75" w:rsidRPr="00090C75" w:rsidRDefault="00090C75" w:rsidP="0049140E">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model loading speed. </w:t>
      </w:r>
    </w:p>
    <w:p w14:paraId="55290A0F"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At the same time, aggressive quantization may reduce:</w:t>
      </w:r>
    </w:p>
    <w:p w14:paraId="2273D4B1" w14:textId="77777777" w:rsidR="00090C75" w:rsidRPr="00090C75" w:rsidRDefault="00090C75" w:rsidP="0049140E">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reasoning consistency, </w:t>
      </w:r>
    </w:p>
    <w:p w14:paraId="50B34BB6" w14:textId="77777777" w:rsidR="00090C75" w:rsidRPr="00090C75" w:rsidRDefault="00090C75" w:rsidP="0049140E">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mathematical accuracy, </w:t>
      </w:r>
    </w:p>
    <w:p w14:paraId="096C74EA" w14:textId="77777777" w:rsidR="00090C75" w:rsidRPr="00090C75" w:rsidRDefault="00090C75" w:rsidP="0049140E">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structured output reliability, </w:t>
      </w:r>
    </w:p>
    <w:p w14:paraId="20CDE8C9" w14:textId="77777777" w:rsidR="00090C75" w:rsidRPr="00090C75" w:rsidRDefault="00090C75" w:rsidP="0049140E">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multilingual quality, </w:t>
      </w:r>
    </w:p>
    <w:p w14:paraId="16682E34" w14:textId="77777777" w:rsidR="00090C75" w:rsidRPr="00090C75" w:rsidRDefault="00090C75" w:rsidP="0049140E">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 xml:space="preserve">robustness for edge cases. </w:t>
      </w:r>
    </w:p>
    <w:p w14:paraId="35C149CC"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The severity of these effects depends on model architecture, quantization algorithm, workload characteristics, and acceptable quality thresholds.</w:t>
      </w:r>
    </w:p>
    <w:p w14:paraId="5338E6D5"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Consequently, organizations should avoid selecting quantization strategies based solely on theoretical memory savings.</w:t>
      </w:r>
    </w:p>
    <w:p w14:paraId="48FC5D68"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Instead, compressed models should undergo the same evaluation process applied to any candidate production model.</w:t>
      </w:r>
    </w:p>
    <w:p w14:paraId="14984B6E"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Public benchmark results provide useful initial guidance, but organization-specific testing remains essential because some workloads prove considerably more sensitive to quantization than others.</w:t>
      </w:r>
    </w:p>
    <w:p w14:paraId="31927CF9"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Chapter 13 examines systematic evaluation methodologies for validating such deployment decisions.</w:t>
      </w:r>
    </w:p>
    <w:p w14:paraId="5BD13745" w14:textId="77777777" w:rsidR="00090C75" w:rsidRPr="00090C75" w:rsidRDefault="00090C75" w:rsidP="00090C75">
      <w:pPr>
        <w:spacing w:after="0"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lastRenderedPageBreak/>
        <w:pict w14:anchorId="3EA5ABA4">
          <v:rect id="_x0000_i1452" style="width:0;height:1.5pt" o:hralign="center" o:hrstd="t" o:hr="t" fillcolor="#a0a0a0" stroked="f"/>
        </w:pict>
      </w:r>
    </w:p>
    <w:p w14:paraId="0442319B" w14:textId="77777777" w:rsidR="00090C75" w:rsidRPr="00090C75" w:rsidRDefault="00090C75" w:rsidP="00090C75">
      <w:pPr>
        <w:rPr>
          <w:rFonts w:ascii="Times New Roman" w:hAnsi="Times New Roman" w:cs="Times New Roman"/>
          <w:b/>
          <w:bCs/>
          <w:sz w:val="28"/>
          <w:szCs w:val="28"/>
        </w:rPr>
      </w:pPr>
      <w:r w:rsidRPr="00090C75">
        <w:rPr>
          <w:rFonts w:ascii="Times New Roman" w:hAnsi="Times New Roman" w:cs="Times New Roman"/>
          <w:b/>
          <w:bCs/>
          <w:sz w:val="28"/>
          <w:szCs w:val="28"/>
        </w:rPr>
        <w:t>Table 4.9. Compression Techniques Compared</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1720"/>
        <w:gridCol w:w="1231"/>
        <w:gridCol w:w="1458"/>
        <w:gridCol w:w="1553"/>
        <w:gridCol w:w="1695"/>
      </w:tblGrid>
      <w:tr w:rsidR="00090C75" w:rsidRPr="00090C75" w14:paraId="0A328CF7" w14:textId="77777777" w:rsidTr="00090C75">
        <w:trPr>
          <w:tblHeader/>
          <w:tblCellSpacing w:w="15" w:type="dxa"/>
        </w:trPr>
        <w:tc>
          <w:tcPr>
            <w:tcW w:w="0" w:type="auto"/>
            <w:vAlign w:val="center"/>
            <w:hideMark/>
          </w:tcPr>
          <w:p w14:paraId="7A75AB1F"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Technique</w:t>
            </w:r>
          </w:p>
        </w:tc>
        <w:tc>
          <w:tcPr>
            <w:tcW w:w="0" w:type="auto"/>
            <w:vAlign w:val="center"/>
            <w:hideMark/>
          </w:tcPr>
          <w:p w14:paraId="0F32BDB9"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Primary Goal</w:t>
            </w:r>
          </w:p>
        </w:tc>
        <w:tc>
          <w:tcPr>
            <w:tcW w:w="0" w:type="auto"/>
            <w:vAlign w:val="center"/>
            <w:hideMark/>
          </w:tcPr>
          <w:p w14:paraId="28A5269E"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Requires Retraining</w:t>
            </w:r>
          </w:p>
        </w:tc>
        <w:tc>
          <w:tcPr>
            <w:tcW w:w="0" w:type="auto"/>
            <w:vAlign w:val="center"/>
            <w:hideMark/>
          </w:tcPr>
          <w:p w14:paraId="62C74F04"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Memory Reduction</w:t>
            </w:r>
          </w:p>
        </w:tc>
        <w:tc>
          <w:tcPr>
            <w:tcW w:w="0" w:type="auto"/>
            <w:vAlign w:val="center"/>
            <w:hideMark/>
          </w:tcPr>
          <w:p w14:paraId="132F4192"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Typical Quality Impact</w:t>
            </w:r>
          </w:p>
        </w:tc>
        <w:tc>
          <w:tcPr>
            <w:tcW w:w="0" w:type="auto"/>
            <w:vAlign w:val="center"/>
            <w:hideMark/>
          </w:tcPr>
          <w:p w14:paraId="16F32DD9" w14:textId="77777777" w:rsidR="00090C75" w:rsidRPr="00090C75" w:rsidRDefault="00090C75" w:rsidP="00090C75">
            <w:pPr>
              <w:spacing w:after="0" w:line="240" w:lineRule="auto"/>
              <w:jc w:val="center"/>
              <w:rPr>
                <w:rFonts w:ascii="Times New Roman" w:eastAsia="Times New Roman" w:hAnsi="Times New Roman" w:cs="Times New Roman"/>
                <w:b/>
                <w:bCs/>
                <w:sz w:val="24"/>
                <w:szCs w:val="24"/>
              </w:rPr>
            </w:pPr>
            <w:r w:rsidRPr="00090C75">
              <w:rPr>
                <w:rFonts w:ascii="Times New Roman" w:eastAsia="Times New Roman" w:hAnsi="Times New Roman" w:cs="Times New Roman"/>
                <w:b/>
                <w:bCs/>
                <w:sz w:val="24"/>
                <w:szCs w:val="24"/>
              </w:rPr>
              <w:t>Common Production Usage</w:t>
            </w:r>
          </w:p>
        </w:tc>
      </w:tr>
      <w:tr w:rsidR="00090C75" w:rsidRPr="00090C75" w14:paraId="17E04C59" w14:textId="77777777" w:rsidTr="00090C75">
        <w:trPr>
          <w:tblCellSpacing w:w="15" w:type="dxa"/>
        </w:trPr>
        <w:tc>
          <w:tcPr>
            <w:tcW w:w="0" w:type="auto"/>
            <w:vAlign w:val="center"/>
            <w:hideMark/>
          </w:tcPr>
          <w:p w14:paraId="50569CDF"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Post-Training Quantization</w:t>
            </w:r>
          </w:p>
        </w:tc>
        <w:tc>
          <w:tcPr>
            <w:tcW w:w="0" w:type="auto"/>
            <w:vAlign w:val="center"/>
            <w:hideMark/>
          </w:tcPr>
          <w:p w14:paraId="25CCF93F"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Reduce numerical precision after training</w:t>
            </w:r>
          </w:p>
        </w:tc>
        <w:tc>
          <w:tcPr>
            <w:tcW w:w="0" w:type="auto"/>
            <w:vAlign w:val="center"/>
            <w:hideMark/>
          </w:tcPr>
          <w:p w14:paraId="43829E62"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No</w:t>
            </w:r>
          </w:p>
        </w:tc>
        <w:tc>
          <w:tcPr>
            <w:tcW w:w="0" w:type="auto"/>
            <w:vAlign w:val="center"/>
            <w:hideMark/>
          </w:tcPr>
          <w:p w14:paraId="0502EDCC"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High</w:t>
            </w:r>
          </w:p>
        </w:tc>
        <w:tc>
          <w:tcPr>
            <w:tcW w:w="0" w:type="auto"/>
            <w:vAlign w:val="center"/>
            <w:hideMark/>
          </w:tcPr>
          <w:p w14:paraId="5C69569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Usually small when performed appropriately</w:t>
            </w:r>
          </w:p>
        </w:tc>
        <w:tc>
          <w:tcPr>
            <w:tcW w:w="0" w:type="auto"/>
            <w:vAlign w:val="center"/>
            <w:hideMark/>
          </w:tcPr>
          <w:p w14:paraId="502AE000"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Most common deployment strategy for open-weight models</w:t>
            </w:r>
          </w:p>
        </w:tc>
      </w:tr>
      <w:tr w:rsidR="00090C75" w:rsidRPr="00090C75" w14:paraId="47CE1D0D" w14:textId="77777777" w:rsidTr="00090C75">
        <w:trPr>
          <w:tblCellSpacing w:w="15" w:type="dxa"/>
        </w:trPr>
        <w:tc>
          <w:tcPr>
            <w:tcW w:w="0" w:type="auto"/>
            <w:vAlign w:val="center"/>
            <w:hideMark/>
          </w:tcPr>
          <w:p w14:paraId="12DDBED6"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Quantization-Aware Training</w:t>
            </w:r>
          </w:p>
        </w:tc>
        <w:tc>
          <w:tcPr>
            <w:tcW w:w="0" w:type="auto"/>
            <w:vAlign w:val="center"/>
            <w:hideMark/>
          </w:tcPr>
          <w:p w14:paraId="5FEEDCAD"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Optimize models for low precision during training</w:t>
            </w:r>
          </w:p>
        </w:tc>
        <w:tc>
          <w:tcPr>
            <w:tcW w:w="0" w:type="auto"/>
            <w:vAlign w:val="center"/>
            <w:hideMark/>
          </w:tcPr>
          <w:p w14:paraId="6994B6E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Yes</w:t>
            </w:r>
          </w:p>
        </w:tc>
        <w:tc>
          <w:tcPr>
            <w:tcW w:w="0" w:type="auto"/>
            <w:vAlign w:val="center"/>
            <w:hideMark/>
          </w:tcPr>
          <w:p w14:paraId="0938D45F"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High</w:t>
            </w:r>
          </w:p>
        </w:tc>
        <w:tc>
          <w:tcPr>
            <w:tcW w:w="0" w:type="auto"/>
            <w:vAlign w:val="center"/>
            <w:hideMark/>
          </w:tcPr>
          <w:p w14:paraId="6437F2F0"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Generally lower degradation than PTQ</w:t>
            </w:r>
          </w:p>
        </w:tc>
        <w:tc>
          <w:tcPr>
            <w:tcW w:w="0" w:type="auto"/>
            <w:vAlign w:val="center"/>
            <w:hideMark/>
          </w:tcPr>
          <w:p w14:paraId="516FC46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Model development and advanced fine-tuning</w:t>
            </w:r>
          </w:p>
        </w:tc>
      </w:tr>
      <w:tr w:rsidR="00090C75" w:rsidRPr="00090C75" w14:paraId="2EE8808E" w14:textId="77777777" w:rsidTr="00090C75">
        <w:trPr>
          <w:tblCellSpacing w:w="15" w:type="dxa"/>
        </w:trPr>
        <w:tc>
          <w:tcPr>
            <w:tcW w:w="0" w:type="auto"/>
            <w:vAlign w:val="center"/>
            <w:hideMark/>
          </w:tcPr>
          <w:p w14:paraId="493D44B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Pruning</w:t>
            </w:r>
          </w:p>
        </w:tc>
        <w:tc>
          <w:tcPr>
            <w:tcW w:w="0" w:type="auto"/>
            <w:vAlign w:val="center"/>
            <w:hideMark/>
          </w:tcPr>
          <w:p w14:paraId="4E818415"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Remove less important parameters</w:t>
            </w:r>
          </w:p>
        </w:tc>
        <w:tc>
          <w:tcPr>
            <w:tcW w:w="0" w:type="auto"/>
            <w:vAlign w:val="center"/>
            <w:hideMark/>
          </w:tcPr>
          <w:p w14:paraId="59B4F98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Usually yes</w:t>
            </w:r>
          </w:p>
        </w:tc>
        <w:tc>
          <w:tcPr>
            <w:tcW w:w="0" w:type="auto"/>
            <w:vAlign w:val="center"/>
            <w:hideMark/>
          </w:tcPr>
          <w:p w14:paraId="0ED5E9CB"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Moderate</w:t>
            </w:r>
          </w:p>
        </w:tc>
        <w:tc>
          <w:tcPr>
            <w:tcW w:w="0" w:type="auto"/>
            <w:vAlign w:val="center"/>
            <w:hideMark/>
          </w:tcPr>
          <w:p w14:paraId="3F76CF3D"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Depends on pruning strategy</w:t>
            </w:r>
          </w:p>
        </w:tc>
        <w:tc>
          <w:tcPr>
            <w:tcW w:w="0" w:type="auto"/>
            <w:vAlign w:val="center"/>
            <w:hideMark/>
          </w:tcPr>
          <w:p w14:paraId="4BF91D5E"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Specialized optimization scenarios</w:t>
            </w:r>
          </w:p>
        </w:tc>
      </w:tr>
      <w:tr w:rsidR="00090C75" w:rsidRPr="00090C75" w14:paraId="4F7862D3" w14:textId="77777777" w:rsidTr="00090C75">
        <w:trPr>
          <w:tblCellSpacing w:w="15" w:type="dxa"/>
        </w:trPr>
        <w:tc>
          <w:tcPr>
            <w:tcW w:w="0" w:type="auto"/>
            <w:vAlign w:val="center"/>
            <w:hideMark/>
          </w:tcPr>
          <w:p w14:paraId="2898A686"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Knowledge Distillation</w:t>
            </w:r>
          </w:p>
        </w:tc>
        <w:tc>
          <w:tcPr>
            <w:tcW w:w="0" w:type="auto"/>
            <w:vAlign w:val="center"/>
            <w:hideMark/>
          </w:tcPr>
          <w:p w14:paraId="03391B7B"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Train a smaller model to imitate a larger one</w:t>
            </w:r>
          </w:p>
        </w:tc>
        <w:tc>
          <w:tcPr>
            <w:tcW w:w="0" w:type="auto"/>
            <w:vAlign w:val="center"/>
            <w:hideMark/>
          </w:tcPr>
          <w:p w14:paraId="40DFE505"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Yes</w:t>
            </w:r>
          </w:p>
        </w:tc>
        <w:tc>
          <w:tcPr>
            <w:tcW w:w="0" w:type="auto"/>
            <w:vAlign w:val="center"/>
            <w:hideMark/>
          </w:tcPr>
          <w:p w14:paraId="6861D884"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Very high</w:t>
            </w:r>
          </w:p>
        </w:tc>
        <w:tc>
          <w:tcPr>
            <w:tcW w:w="0" w:type="auto"/>
            <w:vAlign w:val="center"/>
            <w:hideMark/>
          </w:tcPr>
          <w:p w14:paraId="0CBC3FC9"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Student quality depends on training effectiveness</w:t>
            </w:r>
          </w:p>
        </w:tc>
        <w:tc>
          <w:tcPr>
            <w:tcW w:w="0" w:type="auto"/>
            <w:vAlign w:val="center"/>
            <w:hideMark/>
          </w:tcPr>
          <w:p w14:paraId="2CE7B0DA"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Lightweight production models and edge deployment</w:t>
            </w:r>
          </w:p>
        </w:tc>
      </w:tr>
      <w:tr w:rsidR="00090C75" w:rsidRPr="00090C75" w14:paraId="43DABA09" w14:textId="77777777" w:rsidTr="00090C75">
        <w:trPr>
          <w:tblCellSpacing w:w="15" w:type="dxa"/>
        </w:trPr>
        <w:tc>
          <w:tcPr>
            <w:tcW w:w="0" w:type="auto"/>
            <w:vAlign w:val="center"/>
            <w:hideMark/>
          </w:tcPr>
          <w:p w14:paraId="58742B5E"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b/>
                <w:bCs/>
                <w:sz w:val="24"/>
                <w:szCs w:val="24"/>
              </w:rPr>
              <w:t>Parameter-Efficient Adaptation (e.g., LoRA)</w:t>
            </w:r>
          </w:p>
        </w:tc>
        <w:tc>
          <w:tcPr>
            <w:tcW w:w="0" w:type="auto"/>
            <w:vAlign w:val="center"/>
            <w:hideMark/>
          </w:tcPr>
          <w:p w14:paraId="7BB0928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Reduce storage and training requirements for model customization</w:t>
            </w:r>
          </w:p>
        </w:tc>
        <w:tc>
          <w:tcPr>
            <w:tcW w:w="0" w:type="auto"/>
            <w:vAlign w:val="center"/>
            <w:hideMark/>
          </w:tcPr>
          <w:p w14:paraId="3FF16B81"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Yes (fine-tuning only)</w:t>
            </w:r>
          </w:p>
        </w:tc>
        <w:tc>
          <w:tcPr>
            <w:tcW w:w="0" w:type="auto"/>
            <w:vAlign w:val="center"/>
            <w:hideMark/>
          </w:tcPr>
          <w:p w14:paraId="2BB60B75"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Indirect rather than full-model compression</w:t>
            </w:r>
          </w:p>
        </w:tc>
        <w:tc>
          <w:tcPr>
            <w:tcW w:w="0" w:type="auto"/>
            <w:vAlign w:val="center"/>
            <w:hideMark/>
          </w:tcPr>
          <w:p w14:paraId="01E247F2"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Typically minimal for adaptation tasks</w:t>
            </w:r>
          </w:p>
        </w:tc>
        <w:tc>
          <w:tcPr>
            <w:tcW w:w="0" w:type="auto"/>
            <w:vAlign w:val="center"/>
            <w:hideMark/>
          </w:tcPr>
          <w:p w14:paraId="60EECA7B" w14:textId="77777777" w:rsidR="00090C75" w:rsidRPr="00090C75" w:rsidRDefault="00090C75" w:rsidP="00090C75">
            <w:pPr>
              <w:spacing w:after="0" w:line="240" w:lineRule="auto"/>
              <w:rPr>
                <w:rFonts w:ascii="Times New Roman" w:eastAsia="Times New Roman" w:hAnsi="Times New Roman" w:cs="Times New Roman"/>
                <w:sz w:val="24"/>
                <w:szCs w:val="24"/>
              </w:rPr>
            </w:pPr>
            <w:r w:rsidRPr="00090C75">
              <w:rPr>
                <w:rFonts w:ascii="Times New Roman" w:eastAsia="Times New Roman" w:hAnsi="Times New Roman" w:cs="Times New Roman"/>
                <w:sz w:val="24"/>
                <w:szCs w:val="24"/>
              </w:rPr>
              <w:t>Domain-specific fine-tuning and enterprise customization</w:t>
            </w:r>
          </w:p>
        </w:tc>
      </w:tr>
    </w:tbl>
    <w:p w14:paraId="391FC496" w14:textId="77777777" w:rsidR="00090C75" w:rsidRPr="00090C75" w:rsidRDefault="00090C75" w:rsidP="00090C75">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Quantization has fundamentally changed the economics of open-weight model deployment. Techniques that were once considered specialized research topics have become standard components of production AI platforms, allowing organizations to operate increasingly capable models on a much wider range of hardware than previously possible.</w:t>
      </w:r>
    </w:p>
    <w:p w14:paraId="63F9A51E" w14:textId="7B47536D" w:rsidR="00EC18F3" w:rsidRDefault="00090C75" w:rsidP="00636940">
      <w:pPr>
        <w:spacing w:before="100" w:beforeAutospacing="1" w:after="100" w:afterAutospacing="1" w:line="240" w:lineRule="auto"/>
        <w:rPr>
          <w:rFonts w:ascii="Times New Roman" w:eastAsia="Times New Roman" w:hAnsi="Times New Roman" w:cs="Times New Roman"/>
          <w:sz w:val="28"/>
          <w:szCs w:val="28"/>
        </w:rPr>
      </w:pPr>
      <w:r w:rsidRPr="00090C75">
        <w:rPr>
          <w:rFonts w:ascii="Times New Roman" w:eastAsia="Times New Roman" w:hAnsi="Times New Roman" w:cs="Times New Roman"/>
          <w:sz w:val="28"/>
          <w:szCs w:val="28"/>
        </w:rPr>
        <w:t>Nevertheless, compression does not eliminate the need for careful engineering evaluation. Selecting an appropriate quantization strategy requires balancing memory savings against application-specific quality requirements, hardware availability, and long-term operational objectives. The following section builds on these concepts by examining how models are adapted after pretraining through fine-tuning, parameter-efficient adaptation, and continued training, enabling organizations to customize foundation models for specialized domains without incurring the cost of training from scratch.</w:t>
      </w:r>
    </w:p>
    <w:p w14:paraId="1367DD61" w14:textId="77777777" w:rsidR="00636940" w:rsidRPr="00636940" w:rsidRDefault="00636940" w:rsidP="00636940">
      <w:pPr>
        <w:pStyle w:val="1"/>
      </w:pPr>
      <w:r w:rsidRPr="00636940">
        <w:t>4.8 Fine-Tuning and Model Adaptation</w:t>
      </w:r>
    </w:p>
    <w:p w14:paraId="12A49E4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Pretrained foundation models are intentionally general-purpose. During pretraining, they learn statistical relationships across enormous corpora covering </w:t>
      </w:r>
      <w:r w:rsidRPr="00636940">
        <w:rPr>
          <w:rFonts w:ascii="Times New Roman" w:eastAsia="Times New Roman" w:hAnsi="Times New Roman" w:cs="Times New Roman"/>
          <w:sz w:val="28"/>
          <w:szCs w:val="28"/>
        </w:rPr>
        <w:lastRenderedPageBreak/>
        <w:t>many domains, languages, writing styles, and problem types. This broad knowledge enables a single model to perform a remarkable variety of tasks, but it also means that the model is rarely optimized for any individual organization or business domain.</w:t>
      </w:r>
    </w:p>
    <w:p w14:paraId="505964BC"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Most production AI systems therefore involve some form of </w:t>
      </w:r>
      <w:r w:rsidRPr="00636940">
        <w:rPr>
          <w:rFonts w:ascii="Times New Roman" w:eastAsia="Times New Roman" w:hAnsi="Times New Roman" w:cs="Times New Roman"/>
          <w:b/>
          <w:bCs/>
          <w:sz w:val="28"/>
          <w:szCs w:val="28"/>
        </w:rPr>
        <w:t>model adaptation</w:t>
      </w:r>
      <w:r w:rsidRPr="00636940">
        <w:rPr>
          <w:rFonts w:ascii="Times New Roman" w:eastAsia="Times New Roman" w:hAnsi="Times New Roman" w:cs="Times New Roman"/>
          <w:sz w:val="28"/>
          <w:szCs w:val="28"/>
        </w:rPr>
        <w:t>. Rather than training a new model from the beginning, organizations modify an existing foundation model so that it behaves more effectively for a particular workload. Adaptation may improve instruction following, incorporate domain terminology, enhance structured output generation, improve multilingual behavior, or specialize the model for coding, legal analysis, biomedical research, customer support, or numerous other applications.</w:t>
      </w:r>
    </w:p>
    <w:p w14:paraId="107A50B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 ability to adapt open-weight models is one of their principal advantages over proprietary API-only models. Organizations maintain direct control over model weights and can therefore customize behavior without depending entirely on external providers. At the same time, adaptation introduces additional engineering responsibilities involving data quality, evaluation, version management, governance, infrastructure, and lifecycle maintenance.</w:t>
      </w:r>
    </w:p>
    <w:p w14:paraId="3F7692AF"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Selecting an adaptation strategy is therefore an architectural decision rather than merely a machine learning exercise. Different techniques vary substantially in computational cost, operational complexity, storage requirements, deployment flexibility, and long-term maintainability.</w:t>
      </w:r>
    </w:p>
    <w:p w14:paraId="42E60B22"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This section examines the major approaches to adapting foundation models for production use. The emphasis is on engineering trade-offs rather than optimization algorithms.</w:t>
      </w:r>
    </w:p>
    <w:p w14:paraId="0E45DCBD"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6781BEE5">
          <v:rect id="_x0000_i1599" style="width:0;height:1.5pt" o:hralign="center" o:hrstd="t" o:hr="t" fillcolor="#a0a0a0" stroked="f"/>
        </w:pict>
      </w:r>
    </w:p>
    <w:p w14:paraId="2931F9C8" w14:textId="77777777" w:rsidR="00636940" w:rsidRPr="00636940" w:rsidRDefault="00636940" w:rsidP="00636940">
      <w:pPr>
        <w:pStyle w:val="1"/>
      </w:pPr>
      <w:r w:rsidRPr="00636940">
        <w:t>4.8.1 Adaptation Versus Prompt Engineering</w:t>
      </w:r>
    </w:p>
    <w:p w14:paraId="7D482D31"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Before modifying model weights, organizations should determine whether adaptation is actually necessary.</w:t>
      </w:r>
    </w:p>
    <w:p w14:paraId="54FAB23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Many production workloads can be addressed successfully through prompt engineering, retrieval-augmented generation (RAG), structured tool calling, or workflow orchestration without changing the underlying model.</w:t>
      </w:r>
    </w:p>
    <w:p w14:paraId="3093430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This distinction is important because weight modification increases operational complexity.</w:t>
      </w:r>
    </w:p>
    <w:p w14:paraId="1C7FC1C8"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Prompt engineering changes only the instructions presented to the model during inference.</w:t>
      </w:r>
    </w:p>
    <w:p w14:paraId="6C39E5C1"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Model adaptation changes the model itself.</w:t>
      </w:r>
    </w:p>
    <w:p w14:paraId="042FFDA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These approaches solve different categories of problems.</w:t>
      </w:r>
    </w:p>
    <w:p w14:paraId="402194CE"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Prompt engineering is generally appropriate when:</w:t>
      </w:r>
    </w:p>
    <w:p w14:paraId="635666B8" w14:textId="77777777" w:rsidR="00636940" w:rsidRPr="00636940" w:rsidRDefault="00636940" w:rsidP="0049140E">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task behavior changes frequently, </w:t>
      </w:r>
    </w:p>
    <w:p w14:paraId="04AF906A" w14:textId="77777777" w:rsidR="00636940" w:rsidRPr="00636940" w:rsidRDefault="00636940" w:rsidP="0049140E">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external knowledge evolves continuously, </w:t>
      </w:r>
    </w:p>
    <w:p w14:paraId="5E43F7BD" w14:textId="77777777" w:rsidR="00636940" w:rsidRPr="00636940" w:rsidRDefault="00636940" w:rsidP="0049140E">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organizational policies require rapid updates, </w:t>
      </w:r>
    </w:p>
    <w:p w14:paraId="70840791" w14:textId="77777777" w:rsidR="00636940" w:rsidRPr="00636940" w:rsidRDefault="00636940" w:rsidP="0049140E">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infrastructure simplicity is important, </w:t>
      </w:r>
    </w:p>
    <w:p w14:paraId="142333D3" w14:textId="77777777" w:rsidR="00636940" w:rsidRPr="00636940" w:rsidRDefault="00636940" w:rsidP="0049140E">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multiple applications share the same foundation model. </w:t>
      </w:r>
    </w:p>
    <w:p w14:paraId="2587D9B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Model adaptation becomes more attractive when improvements require changing the model's learned behavior rather than simply providing better instructions.</w:t>
      </w:r>
    </w:p>
    <w:p w14:paraId="67B897A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Examples include:</w:t>
      </w:r>
    </w:p>
    <w:p w14:paraId="2F9DB3E9"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highly specialized terminology, </w:t>
      </w:r>
    </w:p>
    <w:p w14:paraId="500BC2DE"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domain-specific reasoning, </w:t>
      </w:r>
    </w:p>
    <w:p w14:paraId="6E3F9497"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organization-specific writing style, </w:t>
      </w:r>
    </w:p>
    <w:p w14:paraId="18344BCF"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structured response consistency, </w:t>
      </w:r>
    </w:p>
    <w:p w14:paraId="294D0DDB"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coding conventions, </w:t>
      </w:r>
    </w:p>
    <w:p w14:paraId="0C19533E"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multilingual adaptation, </w:t>
      </w:r>
    </w:p>
    <w:p w14:paraId="429B2C58" w14:textId="77777777" w:rsidR="00636940" w:rsidRPr="00636940" w:rsidRDefault="00636940" w:rsidP="0049140E">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latency-sensitive deployments requiring smaller specialized models. </w:t>
      </w:r>
    </w:p>
    <w:p w14:paraId="5600F5FF"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Importantly, adaptation and prompt engineering are complementary rather than competing techniques.</w:t>
      </w:r>
    </w:p>
    <w:p w14:paraId="7DEA2328"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Many successful production systems combine:</w:t>
      </w:r>
    </w:p>
    <w:p w14:paraId="1A53A879" w14:textId="77777777" w:rsidR="00636940" w:rsidRPr="00636940" w:rsidRDefault="00636940" w:rsidP="0049140E">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instruction-tuned models, </w:t>
      </w:r>
    </w:p>
    <w:p w14:paraId="1672F603" w14:textId="77777777" w:rsidR="00636940" w:rsidRPr="00636940" w:rsidRDefault="00636940" w:rsidP="0049140E">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retrieval, </w:t>
      </w:r>
    </w:p>
    <w:p w14:paraId="53549294" w14:textId="77777777" w:rsidR="00636940" w:rsidRPr="00636940" w:rsidRDefault="00636940" w:rsidP="0049140E">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carefully engineered prompts, </w:t>
      </w:r>
    </w:p>
    <w:p w14:paraId="6E880829" w14:textId="77777777" w:rsidR="00636940" w:rsidRPr="00636940" w:rsidRDefault="00636940" w:rsidP="0049140E">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tool calling, </w:t>
      </w:r>
    </w:p>
    <w:p w14:paraId="73AE0946" w14:textId="77777777" w:rsidR="00636940" w:rsidRPr="00636940" w:rsidRDefault="00636940" w:rsidP="0049140E">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lightweight model adaptation. </w:t>
      </w:r>
    </w:p>
    <w:p w14:paraId="76A6B05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Chapter 12 examines retrieval architectures, while Chapters 7 and 8 discuss tool integration and agent orchestration. Those techniques frequently provide greater return on investment than additional model training.</w:t>
      </w:r>
    </w:p>
    <w:p w14:paraId="73C83227"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778545DC">
          <v:rect id="_x0000_i1600" style="width:0;height:1.5pt" o:hralign="center" o:hrstd="t" o:hr="t" fillcolor="#a0a0a0" stroked="f"/>
        </w:pict>
      </w:r>
    </w:p>
    <w:p w14:paraId="6238EAB1" w14:textId="77777777" w:rsidR="00636940" w:rsidRPr="00636940" w:rsidRDefault="00636940" w:rsidP="00636940">
      <w:pPr>
        <w:pStyle w:val="1"/>
      </w:pPr>
      <w:r w:rsidRPr="00636940">
        <w:t>4.8.2 Continued Pretraining</w:t>
      </w:r>
    </w:p>
    <w:p w14:paraId="3C90712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The most computationally intensive adaptation strategy is </w:t>
      </w:r>
      <w:r w:rsidRPr="00636940">
        <w:rPr>
          <w:rFonts w:ascii="Times New Roman" w:eastAsia="Times New Roman" w:hAnsi="Times New Roman" w:cs="Times New Roman"/>
          <w:b/>
          <w:bCs/>
          <w:sz w:val="28"/>
          <w:szCs w:val="28"/>
        </w:rPr>
        <w:t>continued pretraining</w:t>
      </w:r>
      <w:r w:rsidRPr="00636940">
        <w:rPr>
          <w:rFonts w:ascii="Times New Roman" w:eastAsia="Times New Roman" w:hAnsi="Times New Roman" w:cs="Times New Roman"/>
          <w:sz w:val="28"/>
          <w:szCs w:val="28"/>
        </w:rPr>
        <w:t xml:space="preserve">, sometimes called </w:t>
      </w:r>
      <w:r w:rsidRPr="00636940">
        <w:rPr>
          <w:rFonts w:ascii="Times New Roman" w:eastAsia="Times New Roman" w:hAnsi="Times New Roman" w:cs="Times New Roman"/>
          <w:b/>
          <w:bCs/>
          <w:sz w:val="28"/>
          <w:szCs w:val="28"/>
        </w:rPr>
        <w:t>domain-adaptive pretraining</w:t>
      </w:r>
      <w:r w:rsidRPr="00636940">
        <w:rPr>
          <w:rFonts w:ascii="Times New Roman" w:eastAsia="Times New Roman" w:hAnsi="Times New Roman" w:cs="Times New Roman"/>
          <w:sz w:val="28"/>
          <w:szCs w:val="28"/>
        </w:rPr>
        <w:t>.</w:t>
      </w:r>
    </w:p>
    <w:p w14:paraId="0C50B6E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Rather than changing the model's behavior through supervised examples, continued pretraining extends the original next-token prediction objective using additional domain-specific text.</w:t>
      </w:r>
    </w:p>
    <w:p w14:paraId="0F84E946"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 underlying model architecture remains unchanged.</w:t>
      </w:r>
    </w:p>
    <w:p w14:paraId="78F5EEDA"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Instead, the model acquires additional statistical knowledge from specialized corpora.</w:t>
      </w:r>
    </w:p>
    <w:p w14:paraId="0DD92BE4"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Examples include:</w:t>
      </w:r>
    </w:p>
    <w:p w14:paraId="5F7585B2"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legal documents, </w:t>
      </w:r>
    </w:p>
    <w:p w14:paraId="3A96DC86"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biomedical literature, </w:t>
      </w:r>
    </w:p>
    <w:p w14:paraId="4896D8DF"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financial reports, </w:t>
      </w:r>
    </w:p>
    <w:p w14:paraId="5E0AB4D5"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scientific publications, </w:t>
      </w:r>
    </w:p>
    <w:p w14:paraId="5BC836B4"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source code repositories, </w:t>
      </w:r>
    </w:p>
    <w:p w14:paraId="2AE783BD"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industrial documentation, </w:t>
      </w:r>
    </w:p>
    <w:p w14:paraId="0EB5B62A"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technical standards, </w:t>
      </w:r>
    </w:p>
    <w:p w14:paraId="6C1A2E31" w14:textId="77777777" w:rsidR="00636940" w:rsidRPr="00636940" w:rsidRDefault="00636940" w:rsidP="0049140E">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organizational knowledge bases. </w:t>
      </w:r>
    </w:p>
    <w:p w14:paraId="436AEBD6"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Continued pretraining is particularly valuable when the target domain contains vocabulary, concepts, or reasoning patterns that differ substantially from the model's original training data.</w:t>
      </w:r>
    </w:p>
    <w:p w14:paraId="77E64914"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For example, models intended for pharmaceutical research benefit from exposure to scientific terminology that rarely appears in general internet text.</w:t>
      </w:r>
    </w:p>
    <w:p w14:paraId="588E8A6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Similarly, industrial engineering documentation often contains abbreviations, identifiers, formulas, and domain-specific language requiring additional adaptation.</w:t>
      </w:r>
    </w:p>
    <w:p w14:paraId="6F5FD732" w14:textId="77777777" w:rsidR="00636940" w:rsidRPr="00636940" w:rsidRDefault="00636940" w:rsidP="00636940">
      <w:pPr>
        <w:pStyle w:val="2"/>
      </w:pPr>
      <w:r w:rsidRPr="00636940">
        <w:t>Advantages</w:t>
      </w:r>
    </w:p>
    <w:p w14:paraId="4ACF9432"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Continued pretraining strengthens domain knowledge while preserving broad general capabilities.</w:t>
      </w:r>
    </w:p>
    <w:p w14:paraId="187525E5"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Because the training objective remains unchanged, the resulting model frequently retains flexibility across multiple downstream tasks.</w:t>
      </w:r>
    </w:p>
    <w:p w14:paraId="613B92F6"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This approach is particularly effective for organizations possessing large collections of unlabeled domain text.</w:t>
      </w:r>
    </w:p>
    <w:p w14:paraId="4581E03A" w14:textId="77777777" w:rsidR="00636940" w:rsidRPr="00636940" w:rsidRDefault="00636940" w:rsidP="00636940">
      <w:pPr>
        <w:pStyle w:val="2"/>
      </w:pPr>
      <w:r w:rsidRPr="00636940">
        <w:t>Limitations</w:t>
      </w:r>
    </w:p>
    <w:p w14:paraId="2283EA6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Continued pretraining is computationally expensive.</w:t>
      </w:r>
    </w:p>
    <w:p w14:paraId="39C39F3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Large quantities of high-quality text are required.</w:t>
      </w:r>
    </w:p>
    <w:p w14:paraId="20C01D95"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Training infrastructure resembles original model development.</w:t>
      </w:r>
    </w:p>
    <w:p w14:paraId="053BA8BC"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Evaluation becomes more challenging because capability improvements may not appear immediately on conventional benchmarks.</w:t>
      </w:r>
    </w:p>
    <w:p w14:paraId="5CC4F256"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Consequently, continued pretraining is generally performed only by model developers or very large organizations possessing substantial computational resources.</w:t>
      </w:r>
    </w:p>
    <w:p w14:paraId="0A91B65F"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Most enterprises instead rely on lighter-weight adaptation techniques.</w:t>
      </w:r>
    </w:p>
    <w:p w14:paraId="130E07EC"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4ED5EDA0">
          <v:rect id="_x0000_i1601" style="width:0;height:1.5pt" o:hralign="center" o:hrstd="t" o:hr="t" fillcolor="#a0a0a0" stroked="f"/>
        </w:pict>
      </w:r>
    </w:p>
    <w:p w14:paraId="1C529F0F" w14:textId="77777777" w:rsidR="00636940" w:rsidRPr="00636940" w:rsidRDefault="00636940" w:rsidP="00636940">
      <w:pPr>
        <w:pStyle w:val="1"/>
      </w:pPr>
      <w:r w:rsidRPr="00636940">
        <w:t>4.8.3 Supervised Fine-Tuning</w:t>
      </w:r>
    </w:p>
    <w:p w14:paraId="28ACD06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b/>
          <w:bCs/>
          <w:sz w:val="28"/>
          <w:szCs w:val="28"/>
        </w:rPr>
        <w:t>Supervised Fine-Tuning (SFT)</w:t>
      </w:r>
      <w:r w:rsidRPr="00636940">
        <w:rPr>
          <w:rFonts w:ascii="Times New Roman" w:eastAsia="Times New Roman" w:hAnsi="Times New Roman" w:cs="Times New Roman"/>
          <w:sz w:val="28"/>
          <w:szCs w:val="28"/>
        </w:rPr>
        <w:t xml:space="preserve"> is the most widely adopted adaptation technique for production language models.</w:t>
      </w:r>
    </w:p>
    <w:p w14:paraId="08C2C91F"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Rather than predicting arbitrary next tokens from raw text, SFT trains the model using carefully constructed input-output examples.</w:t>
      </w:r>
    </w:p>
    <w:p w14:paraId="33AA605C"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Each training example specifies:</w:t>
      </w:r>
    </w:p>
    <w:p w14:paraId="2A3F88CF" w14:textId="77777777" w:rsidR="00636940" w:rsidRPr="00636940" w:rsidRDefault="00636940" w:rsidP="0049140E">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an instruction, </w:t>
      </w:r>
    </w:p>
    <w:p w14:paraId="62702971" w14:textId="77777777" w:rsidR="00636940" w:rsidRPr="00636940" w:rsidRDefault="00636940" w:rsidP="0049140E">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optional context, </w:t>
      </w:r>
    </w:p>
    <w:p w14:paraId="03F2AF64" w14:textId="77777777" w:rsidR="00636940" w:rsidRPr="00636940" w:rsidRDefault="00636940" w:rsidP="0049140E">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the desired response. </w:t>
      </w:r>
    </w:p>
    <w:p w14:paraId="103F52E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During training, the model learns behavioral patterns that align generated outputs with the supplied demonstrations.</w:t>
      </w:r>
    </w:p>
    <w:p w14:paraId="685CAEB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Instruction-following capability in many contemporary language models is largely the result of supervised fine-tuning rather than pretraining alone.</w:t>
      </w:r>
    </w:p>
    <w:p w14:paraId="46A7051C" w14:textId="77777777" w:rsidR="00636940" w:rsidRPr="00636940" w:rsidRDefault="00636940" w:rsidP="0049140E">
      <w:pPr>
        <w:pStyle w:val="2"/>
      </w:pPr>
      <w:r w:rsidRPr="00636940">
        <w:t>Training Data</w:t>
      </w:r>
    </w:p>
    <w:p w14:paraId="107BD53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 quality of supervised fine-tuning depends primarily on dataset quality rather than dataset size.</w:t>
      </w:r>
    </w:p>
    <w:p w14:paraId="79AF9B35"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Well-designed examples demonstrate:</w:t>
      </w:r>
    </w:p>
    <w:p w14:paraId="60E24699"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desired reasoning processes, </w:t>
      </w:r>
    </w:p>
    <w:p w14:paraId="63BB4FA5"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response structure, </w:t>
      </w:r>
    </w:p>
    <w:p w14:paraId="23EB54A5"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formatting conventions, </w:t>
      </w:r>
    </w:p>
    <w:p w14:paraId="161B0068"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domain terminology, </w:t>
      </w:r>
    </w:p>
    <w:p w14:paraId="24EB4DAE"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 xml:space="preserve">safety expectations, </w:t>
      </w:r>
    </w:p>
    <w:p w14:paraId="720FD304"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refusal behavior, </w:t>
      </w:r>
    </w:p>
    <w:p w14:paraId="641F333E" w14:textId="77777777" w:rsidR="00636940" w:rsidRPr="00636940" w:rsidRDefault="00636940" w:rsidP="0049140E">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interaction style. </w:t>
      </w:r>
    </w:p>
    <w:p w14:paraId="1BFDB5D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Poor-quality examples, inconsistent formatting, or contradictory instructions frequently produce degraded model behavior regardless of dataset volume.</w:t>
      </w:r>
    </w:p>
    <w:p w14:paraId="6F364E59" w14:textId="77777777" w:rsidR="00636940" w:rsidRPr="00636940" w:rsidRDefault="00636940" w:rsidP="00636940">
      <w:pPr>
        <w:pStyle w:val="2"/>
      </w:pPr>
      <w:r w:rsidRPr="00636940">
        <w:t>Production Applications</w:t>
      </w:r>
    </w:p>
    <w:p w14:paraId="1168AA97"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Supervised fine-tuning is commonly used to:</w:t>
      </w:r>
    </w:p>
    <w:p w14:paraId="776518E0"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improve customer support responses, </w:t>
      </w:r>
    </w:p>
    <w:p w14:paraId="7C784826"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standardize document generation, </w:t>
      </w:r>
    </w:p>
    <w:p w14:paraId="2D74E6E5"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specialize coding assistants, </w:t>
      </w:r>
    </w:p>
    <w:p w14:paraId="78CABA3A"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adapt models for legal analysis, </w:t>
      </w:r>
    </w:p>
    <w:p w14:paraId="14573783"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customize medical documentation, </w:t>
      </w:r>
    </w:p>
    <w:p w14:paraId="70F95A8E"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improve structured output generation, </w:t>
      </w:r>
    </w:p>
    <w:p w14:paraId="2913DBBE" w14:textId="77777777" w:rsidR="00636940" w:rsidRPr="00636940" w:rsidRDefault="00636940" w:rsidP="0049140E">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enhance multilingual communication. </w:t>
      </w:r>
    </w:p>
    <w:p w14:paraId="79E1E01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Compared with continued pretraining, SFT requires substantially fewer computational resources while producing significant improvements for narrowly defined tasks.</w:t>
      </w:r>
    </w:p>
    <w:p w14:paraId="695DB00F" w14:textId="77777777" w:rsidR="00636940" w:rsidRPr="00636940" w:rsidRDefault="00636940" w:rsidP="00636940">
      <w:pPr>
        <w:pStyle w:val="2"/>
      </w:pPr>
      <w:r w:rsidRPr="00636940">
        <w:t>Risks</w:t>
      </w:r>
    </w:p>
    <w:p w14:paraId="4A381F2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Fine-tuning can unintentionally reduce general capability if training data lacks diversity.</w:t>
      </w:r>
    </w:p>
    <w:p w14:paraId="661087CA"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The model may become overly specialized or forget behaviors learned during pretraining, a phenomenon commonly referred to as </w:t>
      </w:r>
      <w:r w:rsidRPr="00636940">
        <w:rPr>
          <w:rFonts w:ascii="Times New Roman" w:eastAsia="Times New Roman" w:hAnsi="Times New Roman" w:cs="Times New Roman"/>
          <w:b/>
          <w:bCs/>
          <w:sz w:val="28"/>
          <w:szCs w:val="28"/>
        </w:rPr>
        <w:t>catastrophic forgetting</w:t>
      </w:r>
      <w:r w:rsidRPr="00636940">
        <w:rPr>
          <w:rFonts w:ascii="Times New Roman" w:eastAsia="Times New Roman" w:hAnsi="Times New Roman" w:cs="Times New Roman"/>
          <w:sz w:val="28"/>
          <w:szCs w:val="28"/>
        </w:rPr>
        <w:t>.</w:t>
      </w:r>
    </w:p>
    <w:p w14:paraId="2336420D"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Organizations should therefore evaluate both domain-specific performance and general capability after adaptation.</w:t>
      </w:r>
    </w:p>
    <w:p w14:paraId="7390B54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Regression testing becomes particularly important as specialized datasets grow.</w:t>
      </w:r>
    </w:p>
    <w:p w14:paraId="118651DD"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Chapter 13 discusses evaluation methodologies for detecting such regressions systematically.</w:t>
      </w:r>
    </w:p>
    <w:p w14:paraId="68FF3744"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0009F1C3">
          <v:rect id="_x0000_i1602" style="width:0;height:1.5pt" o:hralign="center" o:hrstd="t" o:hr="t" fillcolor="#a0a0a0" stroked="f"/>
        </w:pict>
      </w:r>
    </w:p>
    <w:p w14:paraId="21F81D72" w14:textId="77777777" w:rsidR="00636940" w:rsidRPr="00636940" w:rsidRDefault="00636940" w:rsidP="00636940">
      <w:pPr>
        <w:pStyle w:val="1"/>
      </w:pPr>
      <w:r w:rsidRPr="00636940">
        <w:t>4.8.4 Reinforcement Learning and Preference Optimization</w:t>
      </w:r>
    </w:p>
    <w:p w14:paraId="468E6DEA"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Not all model behaviors can be described through explicit input-output examples.</w:t>
      </w:r>
    </w:p>
    <w:p w14:paraId="7602DFFF" w14:textId="70B789A5"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Characteristics such as helpfulness, reasoning quality, conversational style, and user satisfaction often depend on subjective preferences rather than objectively correct answers.</w:t>
      </w:r>
      <w:r>
        <w:rPr>
          <w:rFonts w:ascii="Times New Roman" w:eastAsia="Times New Roman" w:hAnsi="Times New Roman" w:cs="Times New Roman"/>
          <w:sz w:val="28"/>
          <w:szCs w:val="28"/>
        </w:rPr>
        <w:t xml:space="preserve"> </w:t>
      </w:r>
      <w:r w:rsidRPr="00636940">
        <w:rPr>
          <w:rFonts w:ascii="Times New Roman" w:eastAsia="Times New Roman" w:hAnsi="Times New Roman" w:cs="Times New Roman"/>
          <w:sz w:val="28"/>
          <w:szCs w:val="28"/>
        </w:rPr>
        <w:t>Modern language model development therefore increasingly incorporates preference-based optimization.</w:t>
      </w:r>
    </w:p>
    <w:p w14:paraId="05A4B3D6" w14:textId="442A73A9"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Historically, </w:t>
      </w:r>
      <w:r w:rsidRPr="00636940">
        <w:rPr>
          <w:rFonts w:ascii="Times New Roman" w:eastAsia="Times New Roman" w:hAnsi="Times New Roman" w:cs="Times New Roman"/>
          <w:b/>
          <w:bCs/>
          <w:sz w:val="28"/>
          <w:szCs w:val="28"/>
        </w:rPr>
        <w:t>Reinforcement Learning from Human Feedback (RLHF)</w:t>
      </w:r>
      <w:r w:rsidRPr="00636940">
        <w:rPr>
          <w:rFonts w:ascii="Times New Roman" w:eastAsia="Times New Roman" w:hAnsi="Times New Roman" w:cs="Times New Roman"/>
          <w:sz w:val="28"/>
          <w:szCs w:val="28"/>
        </w:rPr>
        <w:t xml:space="preserve"> became the dominant approach.</w:t>
      </w:r>
      <w:r>
        <w:rPr>
          <w:rFonts w:ascii="Times New Roman" w:eastAsia="Times New Roman" w:hAnsi="Times New Roman" w:cs="Times New Roman"/>
          <w:sz w:val="28"/>
          <w:szCs w:val="28"/>
        </w:rPr>
        <w:t xml:space="preserve"> </w:t>
      </w:r>
      <w:r w:rsidRPr="00636940">
        <w:rPr>
          <w:rFonts w:ascii="Times New Roman" w:eastAsia="Times New Roman" w:hAnsi="Times New Roman" w:cs="Times New Roman"/>
          <w:sz w:val="28"/>
          <w:szCs w:val="28"/>
        </w:rPr>
        <w:t>Human evaluators compare multiple model responses, selecting the preferred output.</w:t>
      </w:r>
      <w:r>
        <w:rPr>
          <w:rFonts w:ascii="Times New Roman" w:eastAsia="Times New Roman" w:hAnsi="Times New Roman" w:cs="Times New Roman"/>
          <w:sz w:val="28"/>
          <w:szCs w:val="28"/>
        </w:rPr>
        <w:t xml:space="preserve"> </w:t>
      </w:r>
      <w:r w:rsidRPr="00636940">
        <w:rPr>
          <w:rFonts w:ascii="Times New Roman" w:eastAsia="Times New Roman" w:hAnsi="Times New Roman" w:cs="Times New Roman"/>
          <w:sz w:val="28"/>
          <w:szCs w:val="28"/>
        </w:rPr>
        <w:t>These preference judgments train a reward model, which subsequently guides reinforcement learning.</w:t>
      </w:r>
    </w:p>
    <w:p w14:paraId="1A93D51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RLHF significantly improved conversational quality in early instruction-following language models.</w:t>
      </w:r>
    </w:p>
    <w:p w14:paraId="346182C2"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However, reinforcement learning introduces substantial engineering complexity.</w:t>
      </w:r>
    </w:p>
    <w:p w14:paraId="1BE20BF1" w14:textId="77777777" w:rsidR="00636940" w:rsidRPr="00636940" w:rsidRDefault="00636940" w:rsidP="0049140E">
      <w:pPr>
        <w:pStyle w:val="a9"/>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Training pipelines become more difficult to reproduce.</w:t>
      </w:r>
    </w:p>
    <w:p w14:paraId="49F0F09F" w14:textId="77777777" w:rsidR="00636940" w:rsidRPr="00636940" w:rsidRDefault="00636940" w:rsidP="0049140E">
      <w:pPr>
        <w:pStyle w:val="a9"/>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Reward models require continuous maintenance.</w:t>
      </w:r>
    </w:p>
    <w:p w14:paraId="3B4BD5F5" w14:textId="77777777" w:rsidR="00636940" w:rsidRPr="00636940" w:rsidRDefault="00636940" w:rsidP="0049140E">
      <w:pPr>
        <w:pStyle w:val="a9"/>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Optimization may become unstable.</w:t>
      </w:r>
    </w:p>
    <w:p w14:paraId="675BFBCE" w14:textId="77777777" w:rsidR="00636940" w:rsidRPr="00636940" w:rsidRDefault="00636940" w:rsidP="0049140E">
      <w:pPr>
        <w:pStyle w:val="a9"/>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Preference datasets are expensive to collect.</w:t>
      </w:r>
    </w:p>
    <w:p w14:paraId="4ED80BF1"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Consequently, newer optimization methods have gained popularity.</w:t>
      </w:r>
    </w:p>
    <w:p w14:paraId="514EEAED" w14:textId="77777777" w:rsidR="00636940" w:rsidRPr="00636940" w:rsidRDefault="00636940" w:rsidP="00636940">
      <w:pPr>
        <w:pStyle w:val="2"/>
      </w:pPr>
      <w:r w:rsidRPr="00636940">
        <w:t>Direct Preference Optimization</w:t>
      </w:r>
    </w:p>
    <w:p w14:paraId="5B975FC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b/>
          <w:bCs/>
          <w:sz w:val="28"/>
          <w:szCs w:val="28"/>
        </w:rPr>
        <w:t>Direct Preference Optimization (DPO)</w:t>
      </w:r>
      <w:r w:rsidRPr="00636940">
        <w:rPr>
          <w:rFonts w:ascii="Times New Roman" w:eastAsia="Times New Roman" w:hAnsi="Times New Roman" w:cs="Times New Roman"/>
          <w:sz w:val="28"/>
          <w:szCs w:val="28"/>
        </w:rPr>
        <w:t xml:space="preserve"> simplifies preference learning by optimizing directly from preference pairs without requiring an explicit reward model.</w:t>
      </w:r>
    </w:p>
    <w:p w14:paraId="59428C1E"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Compared with RLHF, DPO offers:</w:t>
      </w:r>
    </w:p>
    <w:p w14:paraId="69063C87" w14:textId="77777777" w:rsidR="00636940" w:rsidRPr="00636940" w:rsidRDefault="00636940" w:rsidP="0049140E">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simpler implementation, </w:t>
      </w:r>
    </w:p>
    <w:p w14:paraId="2F4CFAE2" w14:textId="77777777" w:rsidR="00636940" w:rsidRPr="00636940" w:rsidRDefault="00636940" w:rsidP="0049140E">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reduced computational complexity, </w:t>
      </w:r>
    </w:p>
    <w:p w14:paraId="374182E6" w14:textId="77777777" w:rsidR="00636940" w:rsidRPr="00636940" w:rsidRDefault="00636940" w:rsidP="0049140E">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improved reproducibility, </w:t>
      </w:r>
    </w:p>
    <w:p w14:paraId="67478061" w14:textId="77777777" w:rsidR="00636940" w:rsidRPr="00636940" w:rsidRDefault="00636940" w:rsidP="0049140E">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easier integration into existing fine-tuning pipelines. </w:t>
      </w:r>
    </w:p>
    <w:p w14:paraId="3D14E66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Many recent open-weight model families employ DPO or related approaches during instruction tuning.</w:t>
      </w:r>
    </w:p>
    <w:p w14:paraId="65D6C23F" w14:textId="77777777" w:rsidR="00636940" w:rsidRPr="00636940" w:rsidRDefault="00636940" w:rsidP="00636940">
      <w:pPr>
        <w:pStyle w:val="2"/>
      </w:pPr>
      <w:r w:rsidRPr="00636940">
        <w:t>Other Preference Optimization Methods</w:t>
      </w:r>
    </w:p>
    <w:p w14:paraId="7AE6CEC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Research continues to produce alternative techniques that improve alignment while reducing computational cost.</w:t>
      </w:r>
    </w:p>
    <w:p w14:paraId="039713E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Examples include:</w:t>
      </w:r>
    </w:p>
    <w:p w14:paraId="55E3C243" w14:textId="77777777" w:rsidR="00636940" w:rsidRPr="00636940" w:rsidRDefault="00636940" w:rsidP="0049140E">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ORPO (Odds Ratio Preference Optimization), </w:t>
      </w:r>
    </w:p>
    <w:p w14:paraId="1DA05E68" w14:textId="77777777" w:rsidR="00636940" w:rsidRPr="00636940" w:rsidRDefault="00636940" w:rsidP="0049140E">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 xml:space="preserve">IPO (Identity Preference Optimization), </w:t>
      </w:r>
    </w:p>
    <w:p w14:paraId="2C527BFF" w14:textId="77777777" w:rsidR="00636940" w:rsidRPr="00636940" w:rsidRDefault="00636940" w:rsidP="0049140E">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SimPO (Simple Preference Optimization), </w:t>
      </w:r>
    </w:p>
    <w:p w14:paraId="736BB2A9" w14:textId="77777777" w:rsidR="00636940" w:rsidRPr="00636940" w:rsidRDefault="00636940" w:rsidP="0049140E">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KTO (Kahneman-Tversky Optimization), </w:t>
      </w:r>
    </w:p>
    <w:p w14:paraId="05B1F31C" w14:textId="77777777" w:rsidR="00636940" w:rsidRPr="00636940" w:rsidRDefault="00636940" w:rsidP="0049140E">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GRPO (Group Relative Policy Optimization). </w:t>
      </w:r>
    </w:p>
    <w:p w14:paraId="16C83A7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Although these methods differ mathematically, they share the objective of improving model behavior through preference information rather than explicit supervised targets.</w:t>
      </w:r>
    </w:p>
    <w:p w14:paraId="1A76962F"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For most platform engineering teams, understanding that modern instruction-tuned models have undergone preference optimization is more important than mastering the underlying optimization algorithms.</w:t>
      </w:r>
    </w:p>
    <w:p w14:paraId="526C4517"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188C8921">
          <v:rect id="_x0000_i1603" style="width:0;height:1.5pt" o:hralign="center" o:hrstd="t" o:hr="t" fillcolor="#a0a0a0" stroked="f"/>
        </w:pict>
      </w:r>
    </w:p>
    <w:p w14:paraId="1EA37027" w14:textId="77777777" w:rsidR="00636940" w:rsidRPr="00636940" w:rsidRDefault="00636940" w:rsidP="00636940">
      <w:pPr>
        <w:pStyle w:val="1"/>
      </w:pPr>
      <w:r w:rsidRPr="00636940">
        <w:t>4.8.5 Parameter-Efficient Fine-Tuning</w:t>
      </w:r>
    </w:p>
    <w:p w14:paraId="7F12581D"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As model size increased, conventional fine-tuning became increasingly expensive because every model parameter required updating.</w:t>
      </w:r>
    </w:p>
    <w:p w14:paraId="7DCB4977"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Parameter-Efficient Fine-Tuning (PEFT) addresses this problem by modifying only a relatively small subset of parameters while leaving the original foundation model largely unchanged.</w:t>
      </w:r>
    </w:p>
    <w:p w14:paraId="5A6D1AB0" w14:textId="4B6D5883"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Instead of storing complete copies of billions of parameters for every specialized model, organizations store compact adaptation components.</w:t>
      </w:r>
      <w:r>
        <w:rPr>
          <w:rFonts w:ascii="Times New Roman" w:eastAsia="Times New Roman" w:hAnsi="Times New Roman" w:cs="Times New Roman"/>
          <w:sz w:val="28"/>
          <w:szCs w:val="28"/>
        </w:rPr>
        <w:t xml:space="preserve"> </w:t>
      </w:r>
      <w:r w:rsidRPr="00636940">
        <w:rPr>
          <w:rFonts w:ascii="Times New Roman" w:eastAsia="Times New Roman" w:hAnsi="Times New Roman" w:cs="Times New Roman"/>
          <w:sz w:val="28"/>
          <w:szCs w:val="28"/>
        </w:rPr>
        <w:t>This dramatically reduces storage requirements, training cost, and deployment complexity.</w:t>
      </w:r>
    </w:p>
    <w:p w14:paraId="26A5C75A"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PEFT has become one of the most important practical developments enabling enterprise customization of open-weight models.</w:t>
      </w:r>
    </w:p>
    <w:p w14:paraId="40DD9360" w14:textId="77777777" w:rsidR="00636940" w:rsidRPr="00636940" w:rsidRDefault="00636940" w:rsidP="00636940">
      <w:pPr>
        <w:pStyle w:val="2"/>
      </w:pPr>
      <w:r w:rsidRPr="00636940">
        <w:t>LoRA</w:t>
      </w:r>
    </w:p>
    <w:p w14:paraId="0F6B8EE3"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b/>
          <w:bCs/>
          <w:sz w:val="28"/>
          <w:szCs w:val="28"/>
        </w:rPr>
        <w:t>Low-Rank Adaptation (LoRA)</w:t>
      </w:r>
      <w:r w:rsidRPr="00636940">
        <w:rPr>
          <w:rFonts w:ascii="Times New Roman" w:eastAsia="Times New Roman" w:hAnsi="Times New Roman" w:cs="Times New Roman"/>
          <w:sz w:val="28"/>
          <w:szCs w:val="28"/>
        </w:rPr>
        <w:t xml:space="preserve"> is the best-known PEFT technique.</w:t>
      </w:r>
    </w:p>
    <w:p w14:paraId="069A70AC" w14:textId="77777777" w:rsid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Rather than modifying every weight within the model, LoRA introduces small trainable matrices that approximate parameter updates using low-rank decompositions.</w:t>
      </w:r>
      <w:r>
        <w:rPr>
          <w:rFonts w:ascii="Times New Roman" w:eastAsia="Times New Roman" w:hAnsi="Times New Roman" w:cs="Times New Roman"/>
          <w:sz w:val="28"/>
          <w:szCs w:val="28"/>
        </w:rPr>
        <w:t xml:space="preserve"> </w:t>
      </w:r>
    </w:p>
    <w:p w14:paraId="2A244DCF" w14:textId="1666F38F"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 original model remains unchanged.</w:t>
      </w:r>
      <w:r>
        <w:rPr>
          <w:rFonts w:ascii="Times New Roman" w:eastAsia="Times New Roman" w:hAnsi="Times New Roman" w:cs="Times New Roman"/>
          <w:sz w:val="28"/>
          <w:szCs w:val="28"/>
        </w:rPr>
        <w:t xml:space="preserve"> </w:t>
      </w:r>
      <w:r w:rsidRPr="00636940">
        <w:rPr>
          <w:rFonts w:ascii="Times New Roman" w:eastAsia="Times New Roman" w:hAnsi="Times New Roman" w:cs="Times New Roman"/>
          <w:sz w:val="28"/>
          <w:szCs w:val="28"/>
        </w:rPr>
        <w:t>Only the additional adaptation matrices require storage.</w:t>
      </w:r>
    </w:p>
    <w:p w14:paraId="4DC9B785"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This approach provides several advantages:</w:t>
      </w:r>
    </w:p>
    <w:p w14:paraId="4E92416E" w14:textId="77777777" w:rsidR="00636940" w:rsidRPr="00636940" w:rsidRDefault="00636940" w:rsidP="0049140E">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dramatically reduced GPU memory during training, </w:t>
      </w:r>
    </w:p>
    <w:p w14:paraId="5BE50A2D" w14:textId="77777777" w:rsidR="00636940" w:rsidRPr="00636940" w:rsidRDefault="00636940" w:rsidP="0049140E">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significantly smaller adaptation files, </w:t>
      </w:r>
    </w:p>
    <w:p w14:paraId="7CC44BCB" w14:textId="77777777" w:rsidR="00636940" w:rsidRPr="00636940" w:rsidRDefault="00636940" w:rsidP="0049140E">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 xml:space="preserve">rapid experimentation, </w:t>
      </w:r>
    </w:p>
    <w:p w14:paraId="119C96B9" w14:textId="77777777" w:rsidR="00636940" w:rsidRPr="00636940" w:rsidRDefault="00636940" w:rsidP="0049140E">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easy switching among domain-specific variants, </w:t>
      </w:r>
    </w:p>
    <w:p w14:paraId="3F4EE0F1" w14:textId="77777777" w:rsidR="00636940" w:rsidRPr="00636940" w:rsidRDefault="00636940" w:rsidP="0049140E">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preservation of the original foundation model. </w:t>
      </w:r>
    </w:p>
    <w:p w14:paraId="50185E0F"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Many organizations maintain a single base model together with numerous LoRA adapters supporting different departments, languages, customers, or business applications.</w:t>
      </w:r>
    </w:p>
    <w:p w14:paraId="51DD3D7D" w14:textId="77777777" w:rsidR="00636940" w:rsidRPr="00636940" w:rsidRDefault="00636940" w:rsidP="00636940">
      <w:pPr>
        <w:pStyle w:val="2"/>
      </w:pPr>
      <w:r w:rsidRPr="00636940">
        <w:t>QLoRA</w:t>
      </w:r>
    </w:p>
    <w:p w14:paraId="2F8CCEA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QLoRA extends this concept by combining LoRA with quantized base models.</w:t>
      </w:r>
    </w:p>
    <w:p w14:paraId="47E0F29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Because the underlying model remains compressed during training, GPU memory requirements decrease substantially.</w:t>
      </w:r>
    </w:p>
    <w:p w14:paraId="1BC7C32E"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QLoRA has enabled high-quality adaptation of medium-sized and even relatively large language models using hardware previously considered insufficient for fine-tuning.</w:t>
      </w:r>
    </w:p>
    <w:p w14:paraId="59978F41"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For many organizations, QLoRA represents the practical entry point into custom model adaptation because it balances computational efficiency with strong downstream performance.</w:t>
      </w:r>
    </w:p>
    <w:p w14:paraId="265F9EC2" w14:textId="77777777" w:rsidR="00636940" w:rsidRPr="00636940" w:rsidRDefault="00636940" w:rsidP="00636940">
      <w:pPr>
        <w:pStyle w:val="2"/>
      </w:pPr>
      <w:r w:rsidRPr="00636940">
        <w:t>Other PEFT Methods</w:t>
      </w:r>
    </w:p>
    <w:p w14:paraId="3D5A52C4"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 research community has proposed numerous additional parameter-efficient approaches, including adapters, prefix tuning, prompt tuning, IA³, and related methods.</w:t>
      </w:r>
    </w:p>
    <w:p w14:paraId="4D25FE52"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While these techniques differ in implementation, they share the objective of minimizing the number of trainable parameters while preserving adaptation quality.</w:t>
      </w:r>
    </w:p>
    <w:p w14:paraId="459A76D1"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LoRA has emerged as the dominant production approach because of its broad ecosystem support and favorable balance between simplicity and effectiveness.</w:t>
      </w:r>
    </w:p>
    <w:p w14:paraId="51CD0066"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62756ECF">
          <v:rect id="_x0000_i1604" style="width:0;height:1.5pt" o:hralign="center" o:hrstd="t" o:hr="t" fillcolor="#a0a0a0" stroked="f"/>
        </w:pict>
      </w:r>
    </w:p>
    <w:p w14:paraId="4095260A" w14:textId="77777777" w:rsidR="00636940" w:rsidRPr="00636940" w:rsidRDefault="00636940" w:rsidP="00636940">
      <w:pPr>
        <w:rPr>
          <w:rFonts w:ascii="Times New Roman" w:hAnsi="Times New Roman" w:cs="Times New Roman"/>
          <w:sz w:val="28"/>
          <w:szCs w:val="28"/>
        </w:rPr>
      </w:pPr>
      <w:r w:rsidRPr="00636940">
        <w:rPr>
          <w:rFonts w:ascii="Times New Roman" w:hAnsi="Times New Roman" w:cs="Times New Roman"/>
          <w:sz w:val="28"/>
          <w:szCs w:val="28"/>
        </w:rPr>
        <w:t>Table 4.10. Comparison of Model Adaptation Techniques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1090"/>
        <w:gridCol w:w="1191"/>
        <w:gridCol w:w="1501"/>
        <w:gridCol w:w="1513"/>
        <w:gridCol w:w="1364"/>
        <w:gridCol w:w="1355"/>
      </w:tblGrid>
      <w:tr w:rsidR="00636940" w:rsidRPr="00636940" w14:paraId="3D21A21A" w14:textId="77777777" w:rsidTr="00636940">
        <w:trPr>
          <w:tblHeader/>
          <w:tblCellSpacing w:w="15" w:type="dxa"/>
        </w:trPr>
        <w:tc>
          <w:tcPr>
            <w:tcW w:w="0" w:type="auto"/>
            <w:vAlign w:val="center"/>
            <w:hideMark/>
          </w:tcPr>
          <w:p w14:paraId="34E1376F"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Adaptation Technique</w:t>
            </w:r>
          </w:p>
        </w:tc>
        <w:tc>
          <w:tcPr>
            <w:tcW w:w="0" w:type="auto"/>
            <w:vAlign w:val="center"/>
            <w:hideMark/>
          </w:tcPr>
          <w:p w14:paraId="3F186315"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Primary Objective</w:t>
            </w:r>
          </w:p>
        </w:tc>
        <w:tc>
          <w:tcPr>
            <w:tcW w:w="0" w:type="auto"/>
            <w:vAlign w:val="center"/>
            <w:hideMark/>
          </w:tcPr>
          <w:p w14:paraId="259DFA97"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Typical Training Data</w:t>
            </w:r>
          </w:p>
        </w:tc>
        <w:tc>
          <w:tcPr>
            <w:tcW w:w="0" w:type="auto"/>
            <w:vAlign w:val="center"/>
            <w:hideMark/>
          </w:tcPr>
          <w:p w14:paraId="38A34427"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Computational Cost</w:t>
            </w:r>
          </w:p>
        </w:tc>
        <w:tc>
          <w:tcPr>
            <w:tcW w:w="0" w:type="auto"/>
            <w:vAlign w:val="center"/>
            <w:hideMark/>
          </w:tcPr>
          <w:p w14:paraId="6A7A6914"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Typical Enterprise Usage</w:t>
            </w:r>
          </w:p>
        </w:tc>
        <w:tc>
          <w:tcPr>
            <w:tcW w:w="0" w:type="auto"/>
            <w:vAlign w:val="center"/>
            <w:hideMark/>
          </w:tcPr>
          <w:p w14:paraId="751E0718"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Major Advantages</w:t>
            </w:r>
          </w:p>
        </w:tc>
        <w:tc>
          <w:tcPr>
            <w:tcW w:w="0" w:type="auto"/>
            <w:vAlign w:val="center"/>
            <w:hideMark/>
          </w:tcPr>
          <w:p w14:paraId="1C0313F7" w14:textId="77777777" w:rsidR="00636940" w:rsidRPr="00636940" w:rsidRDefault="00636940" w:rsidP="00636940">
            <w:pPr>
              <w:spacing w:after="0" w:line="240" w:lineRule="auto"/>
              <w:jc w:val="center"/>
              <w:rPr>
                <w:rFonts w:ascii="Times New Roman" w:eastAsia="Times New Roman" w:hAnsi="Times New Roman" w:cs="Times New Roman"/>
                <w:b/>
                <w:bCs/>
                <w:sz w:val="24"/>
                <w:szCs w:val="24"/>
              </w:rPr>
            </w:pPr>
            <w:r w:rsidRPr="00636940">
              <w:rPr>
                <w:rFonts w:ascii="Times New Roman" w:eastAsia="Times New Roman" w:hAnsi="Times New Roman" w:cs="Times New Roman"/>
                <w:b/>
                <w:bCs/>
                <w:sz w:val="24"/>
                <w:szCs w:val="24"/>
              </w:rPr>
              <w:t>Primary Limitations</w:t>
            </w:r>
          </w:p>
        </w:tc>
      </w:tr>
      <w:tr w:rsidR="00636940" w:rsidRPr="00636940" w14:paraId="1BF7A93F" w14:textId="77777777" w:rsidTr="00636940">
        <w:trPr>
          <w:tblCellSpacing w:w="15" w:type="dxa"/>
        </w:trPr>
        <w:tc>
          <w:tcPr>
            <w:tcW w:w="0" w:type="auto"/>
            <w:vAlign w:val="center"/>
            <w:hideMark/>
          </w:tcPr>
          <w:p w14:paraId="4E54A233"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b/>
                <w:bCs/>
                <w:sz w:val="24"/>
                <w:szCs w:val="24"/>
              </w:rPr>
              <w:t>Continued Pretraining</w:t>
            </w:r>
          </w:p>
        </w:tc>
        <w:tc>
          <w:tcPr>
            <w:tcW w:w="0" w:type="auto"/>
            <w:vAlign w:val="center"/>
            <w:hideMark/>
          </w:tcPr>
          <w:p w14:paraId="1FDF67CE"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Learn additional domain knowledge</w:t>
            </w:r>
          </w:p>
        </w:tc>
        <w:tc>
          <w:tcPr>
            <w:tcW w:w="0" w:type="auto"/>
            <w:vAlign w:val="center"/>
            <w:hideMark/>
          </w:tcPr>
          <w:p w14:paraId="589E052E"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Large unlabeled text corpora</w:t>
            </w:r>
          </w:p>
        </w:tc>
        <w:tc>
          <w:tcPr>
            <w:tcW w:w="0" w:type="auto"/>
            <w:vAlign w:val="center"/>
            <w:hideMark/>
          </w:tcPr>
          <w:p w14:paraId="41398A28"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Very high</w:t>
            </w:r>
          </w:p>
        </w:tc>
        <w:tc>
          <w:tcPr>
            <w:tcW w:w="0" w:type="auto"/>
            <w:vAlign w:val="center"/>
            <w:hideMark/>
          </w:tcPr>
          <w:p w14:paraId="5775EF34"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 xml:space="preserve">Large model developers and organizations with extensive </w:t>
            </w:r>
            <w:r w:rsidRPr="00636940">
              <w:rPr>
                <w:rFonts w:ascii="Times New Roman" w:eastAsia="Times New Roman" w:hAnsi="Times New Roman" w:cs="Times New Roman"/>
                <w:sz w:val="24"/>
                <w:szCs w:val="24"/>
              </w:rPr>
              <w:lastRenderedPageBreak/>
              <w:t>compute resources</w:t>
            </w:r>
          </w:p>
        </w:tc>
        <w:tc>
          <w:tcPr>
            <w:tcW w:w="0" w:type="auto"/>
            <w:vAlign w:val="center"/>
            <w:hideMark/>
          </w:tcPr>
          <w:p w14:paraId="62669374"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lastRenderedPageBreak/>
              <w:t xml:space="preserve">Strengthens domain understanding while preserving </w:t>
            </w:r>
            <w:r w:rsidRPr="00636940">
              <w:rPr>
                <w:rFonts w:ascii="Times New Roman" w:eastAsia="Times New Roman" w:hAnsi="Times New Roman" w:cs="Times New Roman"/>
                <w:sz w:val="24"/>
                <w:szCs w:val="24"/>
              </w:rPr>
              <w:lastRenderedPageBreak/>
              <w:t>general capability</w:t>
            </w:r>
          </w:p>
        </w:tc>
        <w:tc>
          <w:tcPr>
            <w:tcW w:w="0" w:type="auto"/>
            <w:vAlign w:val="center"/>
            <w:hideMark/>
          </w:tcPr>
          <w:p w14:paraId="1433A2C2"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lastRenderedPageBreak/>
              <w:t>Expensive infrastructure and long training times</w:t>
            </w:r>
          </w:p>
        </w:tc>
      </w:tr>
      <w:tr w:rsidR="00636940" w:rsidRPr="00636940" w14:paraId="688F8BCE" w14:textId="77777777" w:rsidTr="00636940">
        <w:trPr>
          <w:tblCellSpacing w:w="15" w:type="dxa"/>
        </w:trPr>
        <w:tc>
          <w:tcPr>
            <w:tcW w:w="0" w:type="auto"/>
            <w:vAlign w:val="center"/>
            <w:hideMark/>
          </w:tcPr>
          <w:p w14:paraId="07249548"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b/>
                <w:bCs/>
                <w:sz w:val="24"/>
                <w:szCs w:val="24"/>
              </w:rPr>
              <w:t>Supervised Fine-Tuning (SFT)</w:t>
            </w:r>
          </w:p>
        </w:tc>
        <w:tc>
          <w:tcPr>
            <w:tcW w:w="0" w:type="auto"/>
            <w:vAlign w:val="center"/>
            <w:hideMark/>
          </w:tcPr>
          <w:p w14:paraId="217F91E5"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Improve task-specific behavior</w:t>
            </w:r>
          </w:p>
        </w:tc>
        <w:tc>
          <w:tcPr>
            <w:tcW w:w="0" w:type="auto"/>
            <w:vAlign w:val="center"/>
            <w:hideMark/>
          </w:tcPr>
          <w:p w14:paraId="360CD482"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Curated instruction-response examples</w:t>
            </w:r>
          </w:p>
        </w:tc>
        <w:tc>
          <w:tcPr>
            <w:tcW w:w="0" w:type="auto"/>
            <w:vAlign w:val="center"/>
            <w:hideMark/>
          </w:tcPr>
          <w:p w14:paraId="254162A9"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Moderate</w:t>
            </w:r>
          </w:p>
        </w:tc>
        <w:tc>
          <w:tcPr>
            <w:tcW w:w="0" w:type="auto"/>
            <w:vAlign w:val="center"/>
            <w:hideMark/>
          </w:tcPr>
          <w:p w14:paraId="5872A24B"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Enterprise assistants, coding tools, document automation</w:t>
            </w:r>
          </w:p>
        </w:tc>
        <w:tc>
          <w:tcPr>
            <w:tcW w:w="0" w:type="auto"/>
            <w:vAlign w:val="center"/>
            <w:hideMark/>
          </w:tcPr>
          <w:p w14:paraId="40C8FA3A"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Strong behavioral improvements using relatively small datasets</w:t>
            </w:r>
          </w:p>
        </w:tc>
        <w:tc>
          <w:tcPr>
            <w:tcW w:w="0" w:type="auto"/>
            <w:vAlign w:val="center"/>
            <w:hideMark/>
          </w:tcPr>
          <w:p w14:paraId="79345AE2"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Sensitive to dataset quality and catastrophic forgetting</w:t>
            </w:r>
          </w:p>
        </w:tc>
      </w:tr>
      <w:tr w:rsidR="00636940" w:rsidRPr="00636940" w14:paraId="047E2689" w14:textId="77777777" w:rsidTr="00636940">
        <w:trPr>
          <w:tblCellSpacing w:w="15" w:type="dxa"/>
        </w:trPr>
        <w:tc>
          <w:tcPr>
            <w:tcW w:w="0" w:type="auto"/>
            <w:vAlign w:val="center"/>
            <w:hideMark/>
          </w:tcPr>
          <w:p w14:paraId="65F359D7"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b/>
                <w:bCs/>
                <w:sz w:val="24"/>
                <w:szCs w:val="24"/>
              </w:rPr>
              <w:t>RLHF</w:t>
            </w:r>
          </w:p>
        </w:tc>
        <w:tc>
          <w:tcPr>
            <w:tcW w:w="0" w:type="auto"/>
            <w:vAlign w:val="center"/>
            <w:hideMark/>
          </w:tcPr>
          <w:p w14:paraId="43CA7E8C"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Optimize responses using human preferences</w:t>
            </w:r>
          </w:p>
        </w:tc>
        <w:tc>
          <w:tcPr>
            <w:tcW w:w="0" w:type="auto"/>
            <w:vAlign w:val="center"/>
            <w:hideMark/>
          </w:tcPr>
          <w:p w14:paraId="4A659AD9"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Human preference comparisons</w:t>
            </w:r>
          </w:p>
        </w:tc>
        <w:tc>
          <w:tcPr>
            <w:tcW w:w="0" w:type="auto"/>
            <w:vAlign w:val="center"/>
            <w:hideMark/>
          </w:tcPr>
          <w:p w14:paraId="36F25671"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Very high</w:t>
            </w:r>
          </w:p>
        </w:tc>
        <w:tc>
          <w:tcPr>
            <w:tcW w:w="0" w:type="auto"/>
            <w:vAlign w:val="center"/>
            <w:hideMark/>
          </w:tcPr>
          <w:p w14:paraId="09EAFE34"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Frontier model development</w:t>
            </w:r>
          </w:p>
        </w:tc>
        <w:tc>
          <w:tcPr>
            <w:tcW w:w="0" w:type="auto"/>
            <w:vAlign w:val="center"/>
            <w:hideMark/>
          </w:tcPr>
          <w:p w14:paraId="1726B981"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Produces highly refined conversational behavior</w:t>
            </w:r>
          </w:p>
        </w:tc>
        <w:tc>
          <w:tcPr>
            <w:tcW w:w="0" w:type="auto"/>
            <w:vAlign w:val="center"/>
            <w:hideMark/>
          </w:tcPr>
          <w:p w14:paraId="43A74E93"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Complex pipelines and expensive data collection</w:t>
            </w:r>
          </w:p>
        </w:tc>
      </w:tr>
      <w:tr w:rsidR="00636940" w:rsidRPr="00636940" w14:paraId="4E762B50" w14:textId="77777777" w:rsidTr="00636940">
        <w:trPr>
          <w:tblCellSpacing w:w="15" w:type="dxa"/>
        </w:trPr>
        <w:tc>
          <w:tcPr>
            <w:tcW w:w="0" w:type="auto"/>
            <w:vAlign w:val="center"/>
            <w:hideMark/>
          </w:tcPr>
          <w:p w14:paraId="76991408"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b/>
                <w:bCs/>
                <w:sz w:val="24"/>
                <w:szCs w:val="24"/>
              </w:rPr>
              <w:t>Direct Preference Optimization (DPO) and related methods</w:t>
            </w:r>
          </w:p>
        </w:tc>
        <w:tc>
          <w:tcPr>
            <w:tcW w:w="0" w:type="auto"/>
            <w:vAlign w:val="center"/>
            <w:hideMark/>
          </w:tcPr>
          <w:p w14:paraId="69A274EF"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Learn preferred behavior directly from preference data</w:t>
            </w:r>
          </w:p>
        </w:tc>
        <w:tc>
          <w:tcPr>
            <w:tcW w:w="0" w:type="auto"/>
            <w:vAlign w:val="center"/>
            <w:hideMark/>
          </w:tcPr>
          <w:p w14:paraId="186CE2BF"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Preference pairs</w:t>
            </w:r>
          </w:p>
        </w:tc>
        <w:tc>
          <w:tcPr>
            <w:tcW w:w="0" w:type="auto"/>
            <w:vAlign w:val="center"/>
            <w:hideMark/>
          </w:tcPr>
          <w:p w14:paraId="24437EC6"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Moderate</w:t>
            </w:r>
          </w:p>
        </w:tc>
        <w:tc>
          <w:tcPr>
            <w:tcW w:w="0" w:type="auto"/>
            <w:vAlign w:val="center"/>
            <w:hideMark/>
          </w:tcPr>
          <w:p w14:paraId="4C632D0C"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Modern instruction tuning</w:t>
            </w:r>
          </w:p>
        </w:tc>
        <w:tc>
          <w:tcPr>
            <w:tcW w:w="0" w:type="auto"/>
            <w:vAlign w:val="center"/>
            <w:hideMark/>
          </w:tcPr>
          <w:p w14:paraId="13C40B44"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Simpler than RLHF with competitive results</w:t>
            </w:r>
          </w:p>
        </w:tc>
        <w:tc>
          <w:tcPr>
            <w:tcW w:w="0" w:type="auto"/>
            <w:vAlign w:val="center"/>
            <w:hideMark/>
          </w:tcPr>
          <w:p w14:paraId="62F0E460"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Still requires high-quality preference datasets</w:t>
            </w:r>
          </w:p>
        </w:tc>
      </w:tr>
      <w:tr w:rsidR="00636940" w:rsidRPr="00636940" w14:paraId="1420A395" w14:textId="77777777" w:rsidTr="00636940">
        <w:trPr>
          <w:tblCellSpacing w:w="15" w:type="dxa"/>
        </w:trPr>
        <w:tc>
          <w:tcPr>
            <w:tcW w:w="0" w:type="auto"/>
            <w:vAlign w:val="center"/>
            <w:hideMark/>
          </w:tcPr>
          <w:p w14:paraId="2668803E"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b/>
                <w:bCs/>
                <w:sz w:val="24"/>
                <w:szCs w:val="24"/>
              </w:rPr>
              <w:t>LoRA</w:t>
            </w:r>
          </w:p>
        </w:tc>
        <w:tc>
          <w:tcPr>
            <w:tcW w:w="0" w:type="auto"/>
            <w:vAlign w:val="center"/>
            <w:hideMark/>
          </w:tcPr>
          <w:p w14:paraId="120C9EBF"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Efficient task-specific adaptation</w:t>
            </w:r>
          </w:p>
        </w:tc>
        <w:tc>
          <w:tcPr>
            <w:tcW w:w="0" w:type="auto"/>
            <w:vAlign w:val="center"/>
            <w:hideMark/>
          </w:tcPr>
          <w:p w14:paraId="0932BF29"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Domain-specific supervised datasets</w:t>
            </w:r>
          </w:p>
        </w:tc>
        <w:tc>
          <w:tcPr>
            <w:tcW w:w="0" w:type="auto"/>
            <w:vAlign w:val="center"/>
            <w:hideMark/>
          </w:tcPr>
          <w:p w14:paraId="7ADC3D17"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Low</w:t>
            </w:r>
          </w:p>
        </w:tc>
        <w:tc>
          <w:tcPr>
            <w:tcW w:w="0" w:type="auto"/>
            <w:vAlign w:val="center"/>
            <w:hideMark/>
          </w:tcPr>
          <w:p w14:paraId="6E209A35"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Enterprise customization and rapid experimentation</w:t>
            </w:r>
          </w:p>
        </w:tc>
        <w:tc>
          <w:tcPr>
            <w:tcW w:w="0" w:type="auto"/>
            <w:vAlign w:val="center"/>
            <w:hideMark/>
          </w:tcPr>
          <w:p w14:paraId="73C8D105"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Minimal storage requirements and efficient training</w:t>
            </w:r>
          </w:p>
        </w:tc>
        <w:tc>
          <w:tcPr>
            <w:tcW w:w="0" w:type="auto"/>
            <w:vAlign w:val="center"/>
            <w:hideMark/>
          </w:tcPr>
          <w:p w14:paraId="7A07B110"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May provide smaller improvements than full fine-tuning for some tasks</w:t>
            </w:r>
          </w:p>
        </w:tc>
      </w:tr>
      <w:tr w:rsidR="00636940" w:rsidRPr="00636940" w14:paraId="16597C83" w14:textId="77777777" w:rsidTr="00636940">
        <w:trPr>
          <w:tblCellSpacing w:w="15" w:type="dxa"/>
        </w:trPr>
        <w:tc>
          <w:tcPr>
            <w:tcW w:w="0" w:type="auto"/>
            <w:vAlign w:val="center"/>
            <w:hideMark/>
          </w:tcPr>
          <w:p w14:paraId="43304CD7"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b/>
                <w:bCs/>
                <w:sz w:val="24"/>
                <w:szCs w:val="24"/>
              </w:rPr>
              <w:t>QLoRA</w:t>
            </w:r>
          </w:p>
        </w:tc>
        <w:tc>
          <w:tcPr>
            <w:tcW w:w="0" w:type="auto"/>
            <w:vAlign w:val="center"/>
            <w:hideMark/>
          </w:tcPr>
          <w:p w14:paraId="2F00B969"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Efficient adaptation using quantized base models</w:t>
            </w:r>
          </w:p>
        </w:tc>
        <w:tc>
          <w:tcPr>
            <w:tcW w:w="0" w:type="auto"/>
            <w:vAlign w:val="center"/>
            <w:hideMark/>
          </w:tcPr>
          <w:p w14:paraId="49D5BACC"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Domain-specific supervised datasets</w:t>
            </w:r>
          </w:p>
        </w:tc>
        <w:tc>
          <w:tcPr>
            <w:tcW w:w="0" w:type="auto"/>
            <w:vAlign w:val="center"/>
            <w:hideMark/>
          </w:tcPr>
          <w:p w14:paraId="276C1328"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Very low relative to full fine-tuning</w:t>
            </w:r>
          </w:p>
        </w:tc>
        <w:tc>
          <w:tcPr>
            <w:tcW w:w="0" w:type="auto"/>
            <w:vAlign w:val="center"/>
            <w:hideMark/>
          </w:tcPr>
          <w:p w14:paraId="7827A059"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Organizations with limited GPU resources</w:t>
            </w:r>
          </w:p>
        </w:tc>
        <w:tc>
          <w:tcPr>
            <w:tcW w:w="0" w:type="auto"/>
            <w:vAlign w:val="center"/>
            <w:hideMark/>
          </w:tcPr>
          <w:p w14:paraId="233F66BA"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Enables adaptation of larger models on modest hardware</w:t>
            </w:r>
          </w:p>
        </w:tc>
        <w:tc>
          <w:tcPr>
            <w:tcW w:w="0" w:type="auto"/>
            <w:vAlign w:val="center"/>
            <w:hideMark/>
          </w:tcPr>
          <w:p w14:paraId="5254B2BA" w14:textId="77777777" w:rsidR="00636940" w:rsidRPr="00636940" w:rsidRDefault="00636940" w:rsidP="00636940">
            <w:pPr>
              <w:spacing w:after="0" w:line="240" w:lineRule="auto"/>
              <w:rPr>
                <w:rFonts w:ascii="Times New Roman" w:eastAsia="Times New Roman" w:hAnsi="Times New Roman" w:cs="Times New Roman"/>
                <w:sz w:val="24"/>
                <w:szCs w:val="24"/>
              </w:rPr>
            </w:pPr>
            <w:r w:rsidRPr="00636940">
              <w:rPr>
                <w:rFonts w:ascii="Times New Roman" w:eastAsia="Times New Roman" w:hAnsi="Times New Roman" w:cs="Times New Roman"/>
                <w:sz w:val="24"/>
                <w:szCs w:val="24"/>
              </w:rPr>
              <w:t>Training complexity increases because quantization and adaptation interact</w:t>
            </w:r>
          </w:p>
        </w:tc>
      </w:tr>
    </w:tbl>
    <w:p w14:paraId="020A797F" w14:textId="77777777" w:rsidR="00636940" w:rsidRPr="00636940" w:rsidRDefault="00636940" w:rsidP="00636940">
      <w:pPr>
        <w:spacing w:after="0"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pict w14:anchorId="4E28EF0E">
          <v:rect id="_x0000_i1605" style="width:0;height:1.5pt" o:hralign="center" o:hrstd="t" o:hr="t" fillcolor="#a0a0a0" stroked="f"/>
        </w:pict>
      </w:r>
    </w:p>
    <w:p w14:paraId="66E3B0AF" w14:textId="77777777" w:rsidR="00636940" w:rsidRPr="00636940" w:rsidRDefault="00636940" w:rsidP="00636940">
      <w:pPr>
        <w:pStyle w:val="1"/>
      </w:pPr>
      <w:r w:rsidRPr="00636940">
        <w:t>4.8.6 Choosing an Adaptation Strategy</w:t>
      </w:r>
    </w:p>
    <w:p w14:paraId="47FE2894"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Selecting an adaptation strategy requires balancing technical objectives against operational constraints.</w:t>
      </w:r>
    </w:p>
    <w:p w14:paraId="7C67A20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No single technique represents the universally correct solution.</w:t>
      </w:r>
    </w:p>
    <w:p w14:paraId="2EC01F2B"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lastRenderedPageBreak/>
        <w:t>Organizations should begin by identifying the actual source of performance limitations.</w:t>
      </w:r>
    </w:p>
    <w:p w14:paraId="1B787DAE"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If the model possesses adequate knowledge but follows instructions poorly, supervised fine-tuning may provide substantial improvement.</w:t>
      </w:r>
    </w:p>
    <w:p w14:paraId="787A3381"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If domain terminology is unfamiliar, continued pretraining may be more appropriate.</w:t>
      </w:r>
    </w:p>
    <w:p w14:paraId="0316DE05"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If deployment infrastructure is limited, parameter-efficient adaptation techniques often deliver the highest return on investment.</w:t>
      </w:r>
    </w:p>
    <w:p w14:paraId="1F50069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Conversely, if model deficiencies stem primarily from missing external information rather than internal knowledge, retrieval-augmented generation may produce greater improvements than any form of weight modification.</w:t>
      </w:r>
    </w:p>
    <w:p w14:paraId="5C188440"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Engineering decisions should therefore consider adaptation within the broader AI platform architecture rather than in isolation.</w:t>
      </w:r>
    </w:p>
    <w:p w14:paraId="3396761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Other practical considerations include:</w:t>
      </w:r>
    </w:p>
    <w:p w14:paraId="2E3D77AC"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availability of high-quality training data, </w:t>
      </w:r>
    </w:p>
    <w:p w14:paraId="0724CC1E"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computational resources, </w:t>
      </w:r>
    </w:p>
    <w:p w14:paraId="29B74B14"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frequency of domain updates, </w:t>
      </w:r>
    </w:p>
    <w:p w14:paraId="77C8103C"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regulatory requirements, </w:t>
      </w:r>
    </w:p>
    <w:p w14:paraId="5123C30F"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deployment targets, </w:t>
      </w:r>
    </w:p>
    <w:p w14:paraId="63FEFAA0"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evaluation methodology, </w:t>
      </w:r>
    </w:p>
    <w:p w14:paraId="47E1C6B5"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maintenance effort, </w:t>
      </w:r>
    </w:p>
    <w:p w14:paraId="3B90EDE3" w14:textId="77777777" w:rsidR="00636940" w:rsidRPr="00636940" w:rsidRDefault="00636940" w:rsidP="0049140E">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version management. </w:t>
      </w:r>
    </w:p>
    <w:p w14:paraId="4202F907"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Each adapted model becomes another software artifact requiring lifecycle management.</w:t>
      </w:r>
    </w:p>
    <w:p w14:paraId="07185A09"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Organizations maintaining dozens of specialized checkpoints must track compatibility with tokenizer versions, inference engines, quantization formats, evaluation datasets, and deployment pipelines.</w:t>
      </w:r>
    </w:p>
    <w:p w14:paraId="4C42D29A"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These operational concerns become increasingly important as AI platforms mature and are examined later in the book. Chapter 15 discusses deployment pipelines and model registries, while Chapter 20 addresses long-term model lifecycle management, technology evolution, and replacement strategies.</w:t>
      </w:r>
    </w:p>
    <w:p w14:paraId="3A9634CA" w14:textId="77777777" w:rsidR="00636940" w:rsidRPr="00636940" w:rsidRDefault="00636940" w:rsidP="00636940">
      <w:pPr>
        <w:spacing w:before="100" w:beforeAutospacing="1" w:after="100" w:afterAutospacing="1" w:line="240" w:lineRule="auto"/>
        <w:rPr>
          <w:rFonts w:ascii="Times New Roman" w:eastAsia="Times New Roman" w:hAnsi="Times New Roman" w:cs="Times New Roman"/>
          <w:sz w:val="28"/>
          <w:szCs w:val="28"/>
        </w:rPr>
      </w:pPr>
      <w:r w:rsidRPr="00636940">
        <w:rPr>
          <w:rFonts w:ascii="Times New Roman" w:eastAsia="Times New Roman" w:hAnsi="Times New Roman" w:cs="Times New Roman"/>
          <w:sz w:val="28"/>
          <w:szCs w:val="28"/>
        </w:rPr>
        <w:t xml:space="preserve">Ultimately, the objective of model adaptation is not to maximize customization but to minimize the gap between general-purpose foundation models and production requirements. Successful AI platform engineering favors the least complex adaptation strategy capable of achieving measurable business objectives. In many </w:t>
      </w:r>
      <w:r w:rsidRPr="00636940">
        <w:rPr>
          <w:rFonts w:ascii="Times New Roman" w:eastAsia="Times New Roman" w:hAnsi="Times New Roman" w:cs="Times New Roman"/>
          <w:sz w:val="28"/>
          <w:szCs w:val="28"/>
        </w:rPr>
        <w:lastRenderedPageBreak/>
        <w:t>cases this will involve lightweight parameter-efficient techniques combined with retrieval, prompt engineering, and workflow orchestration rather than extensive retraining of the underlying model.</w:t>
      </w:r>
    </w:p>
    <w:p w14:paraId="45A21899" w14:textId="77777777" w:rsidR="006779A5" w:rsidRPr="006779A5" w:rsidRDefault="006779A5" w:rsidP="006779A5">
      <w:pPr>
        <w:pStyle w:val="1"/>
      </w:pPr>
      <w:r w:rsidRPr="006779A5">
        <w:t>4.9 Selecting an Open-Weight Model</w:t>
      </w:r>
    </w:p>
    <w:p w14:paraId="76968C4E"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 preceding sections have examined the individual factors that influence model selection: architecture, licensing, benchmark interpretation, scaling behavior, hardware requirements, quantization, and adaptation. In practice, however, platform engineers rarely evaluate these characteristics independently. Production model selection is a multidimensional decision involving technical capability, operational constraints, legal requirements, infrastructure availability, organizational maturity, and long-term maintainability.</w:t>
      </w:r>
    </w:p>
    <w:p w14:paraId="08918DAA"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One of the most common mistakes in AI engineering is reducing model selection to a single metric, such as benchmark ranking or parameter count. A model that achieves the highest public leaderboard score may introduce unacceptable infrastructure costs, restrictive licensing terms, immature tooling, or operational complexity. Conversely, a model that ranks slightly lower on public benchmarks may provide superior business value because it integrates more effectively with existing infrastructure, offers broader deployment flexibility, or supports lower operational costs.</w:t>
      </w:r>
    </w:p>
    <w:p w14:paraId="52F47A04"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Selecting a foundation model should therefore resemble technology selection in other engineering disciplines. Organizations evaluating databases, message brokers, Kubernetes distributions, or programming languages rarely optimize for one characteristic alone. Instead, they balance multiple criteria according to business priorities and operational realities.</w:t>
      </w:r>
    </w:p>
    <w:p w14:paraId="07F9BB55"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 objective of this section is to provide a structured decision framework rather than a ranked list of recommended models. The open-weight ecosystem evolves too rapidly for static recommendations to remain useful. Instead, platform engineers should develop repeatable evaluation processes that remain valid as models continue to improve.</w:t>
      </w:r>
    </w:p>
    <w:p w14:paraId="1294511F"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1F0F83B6">
          <v:rect id="_x0000_i1687" style="width:0;height:1.5pt" o:hralign="center" o:hrstd="t" o:hr="t" fillcolor="#a0a0a0" stroked="f"/>
        </w:pict>
      </w:r>
    </w:p>
    <w:p w14:paraId="5EF8D04D" w14:textId="77777777" w:rsidR="006779A5" w:rsidRPr="006779A5" w:rsidRDefault="006779A5" w:rsidP="006779A5">
      <w:pPr>
        <w:pStyle w:val="1"/>
      </w:pPr>
      <w:r w:rsidRPr="006779A5">
        <w:t>4.9.1 Define the Production Requirements First</w:t>
      </w:r>
    </w:p>
    <w:p w14:paraId="0A5C031A"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Model evaluation should begin with the application rather than the model.</w:t>
      </w:r>
    </w:p>
    <w:p w14:paraId="06EFA9DB"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Organizations frequently reverse this sequence by selecting a popular model and then attempting to adapt their application to its characteristics. This approach often </w:t>
      </w:r>
      <w:r w:rsidRPr="006779A5">
        <w:rPr>
          <w:rFonts w:ascii="Times New Roman" w:eastAsia="Times New Roman" w:hAnsi="Times New Roman" w:cs="Times New Roman"/>
          <w:sz w:val="28"/>
          <w:szCs w:val="28"/>
        </w:rPr>
        <w:lastRenderedPageBreak/>
        <w:t>produces unnecessary complexity because deployment decisions become constrained by assumptions established before business requirements have been analyzed.</w:t>
      </w:r>
    </w:p>
    <w:p w14:paraId="3353ECE2"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Instead, engineering teams should first define the intended workload.</w:t>
      </w:r>
    </w:p>
    <w:p w14:paraId="35B36807"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Important questions include:</w:t>
      </w:r>
    </w:p>
    <w:p w14:paraId="3EAAAAC9"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What tasks will the model perform? </w:t>
      </w:r>
    </w:p>
    <w:p w14:paraId="3466BD7B"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What response quality is required? </w:t>
      </w:r>
    </w:p>
    <w:p w14:paraId="647FF711"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How much latency is acceptable? </w:t>
      </w:r>
    </w:p>
    <w:p w14:paraId="1C3629C9"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What request volume is expected? </w:t>
      </w:r>
    </w:p>
    <w:p w14:paraId="64EDB8FE"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Which languages must be supported? </w:t>
      </w:r>
    </w:p>
    <w:p w14:paraId="0EDED23A"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Are multimodal capabilities necessary? </w:t>
      </w:r>
    </w:p>
    <w:p w14:paraId="1533A868"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Will the model operate offline? </w:t>
      </w:r>
    </w:p>
    <w:p w14:paraId="79D04D22"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Must customer data remain within organizational infrastructure? </w:t>
      </w:r>
    </w:p>
    <w:p w14:paraId="472C09C3"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Are there regulatory or compliance requirements? </w:t>
      </w:r>
    </w:p>
    <w:p w14:paraId="7F7F53C7"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What hardware is available? </w:t>
      </w:r>
    </w:p>
    <w:p w14:paraId="52BE069B" w14:textId="77777777" w:rsidR="006779A5" w:rsidRPr="006779A5" w:rsidRDefault="006779A5" w:rsidP="0049140E">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How frequently will models be updated? </w:t>
      </w:r>
    </w:p>
    <w:p w14:paraId="5F10585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Answers to these questions frequently eliminate many candidate models before benchmark comparison even begins.</w:t>
      </w:r>
    </w:p>
    <w:p w14:paraId="1119573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For example, an organization requiring offline inference immediately excludes API-only commercial services.</w:t>
      </w:r>
    </w:p>
    <w:p w14:paraId="1432FA5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 deployment constrained to workstation-class GPUs may eliminate extremely large dense models.</w:t>
      </w:r>
    </w:p>
    <w:p w14:paraId="02BAF25E"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An application requiring deterministic JSON output may prioritize instruction-tuned models over general-purpose checkpoints.</w:t>
      </w:r>
    </w:p>
    <w:p w14:paraId="58F09EF1"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 multilingual customer support platform may value language coverage more than advanced mathematical reasoning.</w:t>
      </w:r>
    </w:p>
    <w:p w14:paraId="220E767F"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Production requirements therefore define evaluation priorities.</w:t>
      </w:r>
    </w:p>
    <w:p w14:paraId="1FE4A2AE"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313CABF1">
          <v:rect id="_x0000_i1688" style="width:0;height:1.5pt" o:hralign="center" o:hrstd="t" o:hr="t" fillcolor="#a0a0a0" stroked="f"/>
        </w:pict>
      </w:r>
    </w:p>
    <w:p w14:paraId="2141BE10" w14:textId="77777777" w:rsidR="006779A5" w:rsidRPr="006779A5" w:rsidRDefault="006779A5" w:rsidP="006779A5">
      <w:pPr>
        <w:pStyle w:val="1"/>
      </w:pPr>
      <w:r w:rsidRPr="006779A5">
        <w:t>4.9.2 Establish Evaluation Criteria</w:t>
      </w:r>
    </w:p>
    <w:p w14:paraId="72251EE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Once requirements have been identified, candidate models should be evaluated using consistent criteria.</w:t>
      </w:r>
    </w:p>
    <w:p w14:paraId="151FCC34"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Although exact weighting varies among organizations, most production evaluations consider several major dimensions.</w:t>
      </w:r>
    </w:p>
    <w:p w14:paraId="7FE9AE98" w14:textId="77777777" w:rsidR="006779A5" w:rsidRPr="006779A5" w:rsidRDefault="006779A5" w:rsidP="006779A5">
      <w:pPr>
        <w:pStyle w:val="2"/>
      </w:pPr>
      <w:r w:rsidRPr="006779A5">
        <w:lastRenderedPageBreak/>
        <w:t>Functional Capability</w:t>
      </w:r>
    </w:p>
    <w:p w14:paraId="42DBF6E7"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Functional capability concerns whether the model performs the intended tasks successfully.</w:t>
      </w:r>
    </w:p>
    <w:p w14:paraId="0B9BD52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Evaluation should include:</w:t>
      </w:r>
    </w:p>
    <w:p w14:paraId="744D462E"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organization-specific datasets, </w:t>
      </w:r>
    </w:p>
    <w:p w14:paraId="538A4D11"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representative prompts, </w:t>
      </w:r>
    </w:p>
    <w:p w14:paraId="7BBB76D7"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structured output validation, </w:t>
      </w:r>
    </w:p>
    <w:p w14:paraId="61CB04FF"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edge cases, </w:t>
      </w:r>
    </w:p>
    <w:p w14:paraId="448BA43F"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multilingual testing, </w:t>
      </w:r>
    </w:p>
    <w:p w14:paraId="3C28D729"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domain terminology, </w:t>
      </w:r>
    </w:p>
    <w:p w14:paraId="05D3044F" w14:textId="77777777" w:rsidR="006779A5" w:rsidRPr="006779A5" w:rsidRDefault="006779A5" w:rsidP="0049140E">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error handling. </w:t>
      </w:r>
    </w:p>
    <w:p w14:paraId="0B58F7F6"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Public benchmarks provide useful background information but should not replace application-specific evaluation.</w:t>
      </w:r>
    </w:p>
    <w:p w14:paraId="6F2D40C0" w14:textId="77777777" w:rsidR="006779A5" w:rsidRPr="006779A5" w:rsidRDefault="006779A5" w:rsidP="006779A5">
      <w:pPr>
        <w:pStyle w:val="2"/>
      </w:pPr>
      <w:r w:rsidRPr="006779A5">
        <w:t>Infrastructure Compatibility</w:t>
      </w:r>
    </w:p>
    <w:p w14:paraId="361A024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Infrastructure compatibility determines whether the model can operate efficiently within the available hardware environment.</w:t>
      </w:r>
    </w:p>
    <w:p w14:paraId="1ED659CD"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Important considerations include:</w:t>
      </w:r>
    </w:p>
    <w:p w14:paraId="203FD88E"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accelerator memory, </w:t>
      </w:r>
    </w:p>
    <w:p w14:paraId="4C637336"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quantization support, </w:t>
      </w:r>
    </w:p>
    <w:p w14:paraId="1E47BE3A"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inference engine compatibility, </w:t>
      </w:r>
    </w:p>
    <w:p w14:paraId="41598838"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CPU deployment requirements, </w:t>
      </w:r>
    </w:p>
    <w:p w14:paraId="22CB9B52"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multi-GPU requirements, </w:t>
      </w:r>
    </w:p>
    <w:p w14:paraId="78125D7F"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storage capacity, </w:t>
      </w:r>
    </w:p>
    <w:p w14:paraId="7399C0A1" w14:textId="77777777" w:rsidR="006779A5" w:rsidRPr="006779A5" w:rsidRDefault="006779A5" w:rsidP="0049140E">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deployment targets. </w:t>
      </w:r>
    </w:p>
    <w:p w14:paraId="6C7FC51D"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Infrastructure constraints frequently become decisive factors despite relatively small benchmark differences.</w:t>
      </w:r>
    </w:p>
    <w:p w14:paraId="7CB9E7A3" w14:textId="77777777" w:rsidR="006779A5" w:rsidRPr="006779A5" w:rsidRDefault="006779A5" w:rsidP="006779A5">
      <w:pPr>
        <w:pStyle w:val="2"/>
      </w:pPr>
      <w:r w:rsidRPr="006779A5">
        <w:t>Licensing</w:t>
      </w:r>
    </w:p>
    <w:p w14:paraId="02F84D0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Licensing should be evaluated before extensive engineering effort is invested.</w:t>
      </w:r>
    </w:p>
    <w:p w14:paraId="0AAFE647"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Questions include:</w:t>
      </w:r>
    </w:p>
    <w:p w14:paraId="1921F861" w14:textId="77777777" w:rsidR="006779A5" w:rsidRPr="006779A5" w:rsidRDefault="006779A5" w:rsidP="0049140E">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Is commercial deployment permitted? </w:t>
      </w:r>
    </w:p>
    <w:p w14:paraId="47426FC1" w14:textId="77777777" w:rsidR="006779A5" w:rsidRPr="006779A5" w:rsidRDefault="006779A5" w:rsidP="0049140E">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Are derivative models allowed? </w:t>
      </w:r>
    </w:p>
    <w:p w14:paraId="5AC6177D" w14:textId="77777777" w:rsidR="006779A5" w:rsidRPr="006779A5" w:rsidRDefault="006779A5" w:rsidP="0049140E">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Can adapted weights be redistributed? </w:t>
      </w:r>
    </w:p>
    <w:p w14:paraId="7C800CCB" w14:textId="77777777" w:rsidR="006779A5" w:rsidRPr="006779A5" w:rsidRDefault="006779A5" w:rsidP="0049140E">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Are acceptable-use requirements compatible with organizational policies? </w:t>
      </w:r>
    </w:p>
    <w:p w14:paraId="5777C7A6" w14:textId="77777777" w:rsidR="006779A5" w:rsidRPr="006779A5" w:rsidRDefault="006779A5" w:rsidP="0049140E">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lastRenderedPageBreak/>
        <w:t xml:space="preserve">Does the license align with planned business models? </w:t>
      </w:r>
    </w:p>
    <w:p w14:paraId="2933078B"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Ignoring licensing until deployment frequently results in costly redesign efforts.</w:t>
      </w:r>
    </w:p>
    <w:p w14:paraId="25B529FA" w14:textId="77777777" w:rsidR="006779A5" w:rsidRPr="006779A5" w:rsidRDefault="006779A5" w:rsidP="006779A5">
      <w:pPr>
        <w:pStyle w:val="2"/>
      </w:pPr>
      <w:r w:rsidRPr="006779A5">
        <w:t>Ecosystem Maturity</w:t>
      </w:r>
    </w:p>
    <w:p w14:paraId="3218246D"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 surrounding ecosystem often influences engineering productivity more than raw model capability.</w:t>
      </w:r>
    </w:p>
    <w:p w14:paraId="633A43CF"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Evaluation should consider:</w:t>
      </w:r>
    </w:p>
    <w:p w14:paraId="4D4850B6"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community activity, </w:t>
      </w:r>
    </w:p>
    <w:p w14:paraId="6A4D4143"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documentation quality, </w:t>
      </w:r>
    </w:p>
    <w:p w14:paraId="30CD9DCD"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inference engine support, </w:t>
      </w:r>
    </w:p>
    <w:p w14:paraId="5B2BA1FB"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tokenizer compatibility, </w:t>
      </w:r>
    </w:p>
    <w:p w14:paraId="33F1F23A"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availability of quantized checkpoints, </w:t>
      </w:r>
    </w:p>
    <w:p w14:paraId="63E65EF4"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fine-tuning tools, </w:t>
      </w:r>
    </w:p>
    <w:p w14:paraId="17D5A636"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evaluation frameworks, </w:t>
      </w:r>
    </w:p>
    <w:p w14:paraId="7A562AD9" w14:textId="77777777" w:rsidR="006779A5" w:rsidRPr="006779A5" w:rsidRDefault="006779A5" w:rsidP="0049140E">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long-term maintenance. </w:t>
      </w:r>
    </w:p>
    <w:p w14:paraId="56B6C0BD"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Models with mature ecosystems generally reduce operational risk because implementation knowledge becomes easier to obtain.</w:t>
      </w:r>
    </w:p>
    <w:p w14:paraId="3C0D00E1" w14:textId="77777777" w:rsidR="006779A5" w:rsidRPr="006779A5" w:rsidRDefault="006779A5" w:rsidP="006779A5">
      <w:pPr>
        <w:pStyle w:val="2"/>
      </w:pPr>
      <w:r w:rsidRPr="006779A5">
        <w:t>Operational Characteristics</w:t>
      </w:r>
    </w:p>
    <w:p w14:paraId="59E798FE"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Operational evaluation includes:</w:t>
      </w:r>
    </w:p>
    <w:p w14:paraId="24E53FA3"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latency, </w:t>
      </w:r>
    </w:p>
    <w:p w14:paraId="09C71142"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throughput, </w:t>
      </w:r>
    </w:p>
    <w:p w14:paraId="34EDB791"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memory utilization, </w:t>
      </w:r>
    </w:p>
    <w:p w14:paraId="1EA7FE0F"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startup time, </w:t>
      </w:r>
    </w:p>
    <w:p w14:paraId="2DCA4AC2"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model loading speed, </w:t>
      </w:r>
    </w:p>
    <w:p w14:paraId="44A2CEFD"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scalability, </w:t>
      </w:r>
    </w:p>
    <w:p w14:paraId="34EBA9EF" w14:textId="77777777" w:rsidR="006779A5" w:rsidRPr="006779A5" w:rsidRDefault="006779A5" w:rsidP="0049140E">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inference stability. </w:t>
      </w:r>
    </w:p>
    <w:p w14:paraId="4FE3107D"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These characteristics frequently determine user experience more directly than benchmark scores.</w:t>
      </w:r>
    </w:p>
    <w:p w14:paraId="54FC5D02"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Chapter 5 examines runtime performance optimization in significantly greater depth.</w:t>
      </w:r>
    </w:p>
    <w:p w14:paraId="7088E825"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7F9D19AF">
          <v:rect id="_x0000_i1689" style="width:0;height:1.5pt" o:hralign="center" o:hrstd="t" o:hr="t" fillcolor="#a0a0a0" stroked="f"/>
        </w:pict>
      </w:r>
    </w:p>
    <w:p w14:paraId="4F3ECC26" w14:textId="77777777" w:rsidR="006779A5" w:rsidRPr="006779A5" w:rsidRDefault="006779A5" w:rsidP="006779A5">
      <w:pPr>
        <w:rPr>
          <w:rFonts w:ascii="Times New Roman" w:hAnsi="Times New Roman" w:cs="Times New Roman"/>
          <w:b/>
          <w:bCs/>
          <w:sz w:val="28"/>
          <w:szCs w:val="28"/>
        </w:rPr>
      </w:pPr>
      <w:r w:rsidRPr="006779A5">
        <w:rPr>
          <w:rFonts w:ascii="Times New Roman" w:hAnsi="Times New Roman" w:cs="Times New Roman"/>
          <w:b/>
          <w:bCs/>
          <w:sz w:val="28"/>
          <w:szCs w:val="28"/>
        </w:rPr>
        <w:t>Table 4.11. Major Model Selection Criteria</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2366"/>
        <w:gridCol w:w="2636"/>
        <w:gridCol w:w="2631"/>
      </w:tblGrid>
      <w:tr w:rsidR="006779A5" w:rsidRPr="006779A5" w14:paraId="5BCAA55A" w14:textId="77777777" w:rsidTr="006779A5">
        <w:trPr>
          <w:tblHeader/>
          <w:tblCellSpacing w:w="15" w:type="dxa"/>
        </w:trPr>
        <w:tc>
          <w:tcPr>
            <w:tcW w:w="0" w:type="auto"/>
            <w:vAlign w:val="center"/>
            <w:hideMark/>
          </w:tcPr>
          <w:p w14:paraId="372ABF9F"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lastRenderedPageBreak/>
              <w:t>Evaluation Dimension</w:t>
            </w:r>
          </w:p>
        </w:tc>
        <w:tc>
          <w:tcPr>
            <w:tcW w:w="0" w:type="auto"/>
            <w:vAlign w:val="center"/>
            <w:hideMark/>
          </w:tcPr>
          <w:p w14:paraId="7E060D3A"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Primary Questions</w:t>
            </w:r>
          </w:p>
        </w:tc>
        <w:tc>
          <w:tcPr>
            <w:tcW w:w="0" w:type="auto"/>
            <w:vAlign w:val="center"/>
            <w:hideMark/>
          </w:tcPr>
          <w:p w14:paraId="49365B70"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Typical Evidence</w:t>
            </w:r>
          </w:p>
        </w:tc>
        <w:tc>
          <w:tcPr>
            <w:tcW w:w="0" w:type="auto"/>
            <w:vAlign w:val="center"/>
            <w:hideMark/>
          </w:tcPr>
          <w:p w14:paraId="455EAAC8"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Why It Matters</w:t>
            </w:r>
          </w:p>
        </w:tc>
      </w:tr>
      <w:tr w:rsidR="006779A5" w:rsidRPr="006779A5" w14:paraId="6C278087" w14:textId="77777777" w:rsidTr="006779A5">
        <w:trPr>
          <w:tblCellSpacing w:w="15" w:type="dxa"/>
        </w:trPr>
        <w:tc>
          <w:tcPr>
            <w:tcW w:w="0" w:type="auto"/>
            <w:vAlign w:val="center"/>
            <w:hideMark/>
          </w:tcPr>
          <w:p w14:paraId="083660B7"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Functional capability</w:t>
            </w:r>
          </w:p>
        </w:tc>
        <w:tc>
          <w:tcPr>
            <w:tcW w:w="0" w:type="auto"/>
            <w:vAlign w:val="center"/>
            <w:hideMark/>
          </w:tcPr>
          <w:p w14:paraId="2928F8FD"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Can the model perform required business tasks?</w:t>
            </w:r>
          </w:p>
        </w:tc>
        <w:tc>
          <w:tcPr>
            <w:tcW w:w="0" w:type="auto"/>
            <w:vAlign w:val="center"/>
            <w:hideMark/>
          </w:tcPr>
          <w:p w14:paraId="23E4D7B5"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Internal evaluation datasets, public benchmarks, human assessment</w:t>
            </w:r>
          </w:p>
        </w:tc>
        <w:tc>
          <w:tcPr>
            <w:tcW w:w="0" w:type="auto"/>
            <w:vAlign w:val="center"/>
            <w:hideMark/>
          </w:tcPr>
          <w:p w14:paraId="1D33ED68"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Determines whether the application delivers acceptable quality</w:t>
            </w:r>
          </w:p>
        </w:tc>
      </w:tr>
      <w:tr w:rsidR="006779A5" w:rsidRPr="006779A5" w14:paraId="3CD65A75" w14:textId="77777777" w:rsidTr="006779A5">
        <w:trPr>
          <w:tblCellSpacing w:w="15" w:type="dxa"/>
        </w:trPr>
        <w:tc>
          <w:tcPr>
            <w:tcW w:w="0" w:type="auto"/>
            <w:vAlign w:val="center"/>
            <w:hideMark/>
          </w:tcPr>
          <w:p w14:paraId="427A9B67"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Licensing</w:t>
            </w:r>
          </w:p>
        </w:tc>
        <w:tc>
          <w:tcPr>
            <w:tcW w:w="0" w:type="auto"/>
            <w:vAlign w:val="center"/>
            <w:hideMark/>
          </w:tcPr>
          <w:p w14:paraId="74A888AB"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Can the model be deployed legally for intended business use?</w:t>
            </w:r>
          </w:p>
        </w:tc>
        <w:tc>
          <w:tcPr>
            <w:tcW w:w="0" w:type="auto"/>
            <w:vAlign w:val="center"/>
            <w:hideMark/>
          </w:tcPr>
          <w:p w14:paraId="0090088D"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License documentation, legal review</w:t>
            </w:r>
          </w:p>
        </w:tc>
        <w:tc>
          <w:tcPr>
            <w:tcW w:w="0" w:type="auto"/>
            <w:vAlign w:val="center"/>
            <w:hideMark/>
          </w:tcPr>
          <w:p w14:paraId="30A4C996"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Prevents compliance and commercial deployment risks</w:t>
            </w:r>
          </w:p>
        </w:tc>
      </w:tr>
      <w:tr w:rsidR="006779A5" w:rsidRPr="006779A5" w14:paraId="5F424B89" w14:textId="77777777" w:rsidTr="006779A5">
        <w:trPr>
          <w:tblCellSpacing w:w="15" w:type="dxa"/>
        </w:trPr>
        <w:tc>
          <w:tcPr>
            <w:tcW w:w="0" w:type="auto"/>
            <w:vAlign w:val="center"/>
            <w:hideMark/>
          </w:tcPr>
          <w:p w14:paraId="06590D1E"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Hardware compatibility</w:t>
            </w:r>
          </w:p>
        </w:tc>
        <w:tc>
          <w:tcPr>
            <w:tcW w:w="0" w:type="auto"/>
            <w:vAlign w:val="center"/>
            <w:hideMark/>
          </w:tcPr>
          <w:p w14:paraId="2158E229"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Can available infrastructure support the model efficiently?</w:t>
            </w:r>
          </w:p>
        </w:tc>
        <w:tc>
          <w:tcPr>
            <w:tcW w:w="0" w:type="auto"/>
            <w:vAlign w:val="center"/>
            <w:hideMark/>
          </w:tcPr>
          <w:p w14:paraId="69E90374"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Memory estimates, deployment testing, quantization support</w:t>
            </w:r>
          </w:p>
        </w:tc>
        <w:tc>
          <w:tcPr>
            <w:tcW w:w="0" w:type="auto"/>
            <w:vAlign w:val="center"/>
            <w:hideMark/>
          </w:tcPr>
          <w:p w14:paraId="2B365AB3"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Determines deployment feasibility and operational cost</w:t>
            </w:r>
          </w:p>
        </w:tc>
      </w:tr>
      <w:tr w:rsidR="006779A5" w:rsidRPr="006779A5" w14:paraId="2D4D62AB" w14:textId="77777777" w:rsidTr="006779A5">
        <w:trPr>
          <w:tblCellSpacing w:w="15" w:type="dxa"/>
        </w:trPr>
        <w:tc>
          <w:tcPr>
            <w:tcW w:w="0" w:type="auto"/>
            <w:vAlign w:val="center"/>
            <w:hideMark/>
          </w:tcPr>
          <w:p w14:paraId="0D589DB1"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Operational performance</w:t>
            </w:r>
          </w:p>
        </w:tc>
        <w:tc>
          <w:tcPr>
            <w:tcW w:w="0" w:type="auto"/>
            <w:vAlign w:val="center"/>
            <w:hideMark/>
          </w:tcPr>
          <w:p w14:paraId="1BA63764"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Does the model meet latency and throughput objectives?</w:t>
            </w:r>
          </w:p>
        </w:tc>
        <w:tc>
          <w:tcPr>
            <w:tcW w:w="0" w:type="auto"/>
            <w:vAlign w:val="center"/>
            <w:hideMark/>
          </w:tcPr>
          <w:p w14:paraId="52A7B19F"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Performance testing under representative workloads</w:t>
            </w:r>
          </w:p>
        </w:tc>
        <w:tc>
          <w:tcPr>
            <w:tcW w:w="0" w:type="auto"/>
            <w:vAlign w:val="center"/>
            <w:hideMark/>
          </w:tcPr>
          <w:p w14:paraId="065606BE"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Directly influences user experience and infrastructure utilization</w:t>
            </w:r>
          </w:p>
        </w:tc>
      </w:tr>
      <w:tr w:rsidR="006779A5" w:rsidRPr="006779A5" w14:paraId="72FC1A2D" w14:textId="77777777" w:rsidTr="006779A5">
        <w:trPr>
          <w:tblCellSpacing w:w="15" w:type="dxa"/>
        </w:trPr>
        <w:tc>
          <w:tcPr>
            <w:tcW w:w="0" w:type="auto"/>
            <w:vAlign w:val="center"/>
            <w:hideMark/>
          </w:tcPr>
          <w:p w14:paraId="0CCF0414"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Adaptability</w:t>
            </w:r>
          </w:p>
        </w:tc>
        <w:tc>
          <w:tcPr>
            <w:tcW w:w="0" w:type="auto"/>
            <w:vAlign w:val="center"/>
            <w:hideMark/>
          </w:tcPr>
          <w:p w14:paraId="7CDC3174"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Can the model be customized when required?</w:t>
            </w:r>
          </w:p>
        </w:tc>
        <w:tc>
          <w:tcPr>
            <w:tcW w:w="0" w:type="auto"/>
            <w:vAlign w:val="center"/>
            <w:hideMark/>
          </w:tcPr>
          <w:p w14:paraId="26622634"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Fine-tuning support, PEFT compatibility, documentation</w:t>
            </w:r>
          </w:p>
        </w:tc>
        <w:tc>
          <w:tcPr>
            <w:tcW w:w="0" w:type="auto"/>
            <w:vAlign w:val="center"/>
            <w:hideMark/>
          </w:tcPr>
          <w:p w14:paraId="1E60647F"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Enables long-term evolution and domain specialization</w:t>
            </w:r>
          </w:p>
        </w:tc>
      </w:tr>
      <w:tr w:rsidR="006779A5" w:rsidRPr="006779A5" w14:paraId="4982DF5D" w14:textId="77777777" w:rsidTr="006779A5">
        <w:trPr>
          <w:tblCellSpacing w:w="15" w:type="dxa"/>
        </w:trPr>
        <w:tc>
          <w:tcPr>
            <w:tcW w:w="0" w:type="auto"/>
            <w:vAlign w:val="center"/>
            <w:hideMark/>
          </w:tcPr>
          <w:p w14:paraId="4C851979"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Ecosystem maturity</w:t>
            </w:r>
          </w:p>
        </w:tc>
        <w:tc>
          <w:tcPr>
            <w:tcW w:w="0" w:type="auto"/>
            <w:vAlign w:val="center"/>
            <w:hideMark/>
          </w:tcPr>
          <w:p w14:paraId="292F0ACE"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Is the surrounding tooling sufficiently mature?</w:t>
            </w:r>
          </w:p>
        </w:tc>
        <w:tc>
          <w:tcPr>
            <w:tcW w:w="0" w:type="auto"/>
            <w:vAlign w:val="center"/>
            <w:hideMark/>
          </w:tcPr>
          <w:p w14:paraId="0CBE3E21"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Community activity, inference framework support, documentation</w:t>
            </w:r>
          </w:p>
        </w:tc>
        <w:tc>
          <w:tcPr>
            <w:tcW w:w="0" w:type="auto"/>
            <w:vAlign w:val="center"/>
            <w:hideMark/>
          </w:tcPr>
          <w:p w14:paraId="796241CA"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Reduces implementation effort and operational risk</w:t>
            </w:r>
          </w:p>
        </w:tc>
      </w:tr>
      <w:tr w:rsidR="006779A5" w:rsidRPr="006779A5" w14:paraId="78B4A4E4" w14:textId="77777777" w:rsidTr="006779A5">
        <w:trPr>
          <w:tblCellSpacing w:w="15" w:type="dxa"/>
        </w:trPr>
        <w:tc>
          <w:tcPr>
            <w:tcW w:w="0" w:type="auto"/>
            <w:vAlign w:val="center"/>
            <w:hideMark/>
          </w:tcPr>
          <w:p w14:paraId="3CBFCBBA"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b/>
                <w:bCs/>
                <w:sz w:val="24"/>
                <w:szCs w:val="24"/>
              </w:rPr>
              <w:t>Long-term sustainability</w:t>
            </w:r>
          </w:p>
        </w:tc>
        <w:tc>
          <w:tcPr>
            <w:tcW w:w="0" w:type="auto"/>
            <w:vAlign w:val="center"/>
            <w:hideMark/>
          </w:tcPr>
          <w:p w14:paraId="24F7695A"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Is the model family likely to remain actively maintained?</w:t>
            </w:r>
          </w:p>
        </w:tc>
        <w:tc>
          <w:tcPr>
            <w:tcW w:w="0" w:type="auto"/>
            <w:vAlign w:val="center"/>
            <w:hideMark/>
          </w:tcPr>
          <w:p w14:paraId="42915FD0"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Release history, governance model, ecosystem adoption</w:t>
            </w:r>
          </w:p>
        </w:tc>
        <w:tc>
          <w:tcPr>
            <w:tcW w:w="0" w:type="auto"/>
            <w:vAlign w:val="center"/>
            <w:hideMark/>
          </w:tcPr>
          <w:p w14:paraId="5E15784A"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Influences long-term platform maintenance and upgrade planning</w:t>
            </w:r>
          </w:p>
        </w:tc>
      </w:tr>
    </w:tbl>
    <w:p w14:paraId="4526C241"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No individual criterion should dominate every decision. The relative importance depends entirely on organizational priorities.</w:t>
      </w:r>
    </w:p>
    <w:p w14:paraId="7AF7022A"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48EF464F">
          <v:rect id="_x0000_i1690" style="width:0;height:1.5pt" o:hralign="center" o:hrstd="t" o:hr="t" fillcolor="#a0a0a0" stroked="f"/>
        </w:pict>
      </w:r>
    </w:p>
    <w:p w14:paraId="711AFB31" w14:textId="77777777" w:rsidR="006779A5" w:rsidRPr="006779A5" w:rsidRDefault="006779A5" w:rsidP="006779A5">
      <w:pPr>
        <w:pStyle w:val="1"/>
      </w:pPr>
      <w:r w:rsidRPr="006779A5">
        <w:t>4.9.3 Shortlisting Candidate Models</w:t>
      </w:r>
    </w:p>
    <w:p w14:paraId="3323836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 initial objective is not to identify the best model but to reduce the evaluation space to a manageable number of candidates.</w:t>
      </w:r>
    </w:p>
    <w:p w14:paraId="74750951"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Large organizations may evaluate dozens of publicly available checkpoints.</w:t>
      </w:r>
    </w:p>
    <w:p w14:paraId="48F34EC7"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Smaller engineering teams often limit detailed evaluation to three or four candidates representing different trade-offs.</w:t>
      </w:r>
    </w:p>
    <w:p w14:paraId="392206EE"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 typical shortlist might include:</w:t>
      </w:r>
    </w:p>
    <w:p w14:paraId="69709BBF" w14:textId="77777777" w:rsidR="006779A5" w:rsidRPr="006779A5" w:rsidRDefault="006779A5" w:rsidP="0049140E">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one lightweight model optimized for latency, </w:t>
      </w:r>
    </w:p>
    <w:p w14:paraId="2013CC93" w14:textId="77777777" w:rsidR="006779A5" w:rsidRPr="006779A5" w:rsidRDefault="006779A5" w:rsidP="0049140E">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one medium-sized balanced model, </w:t>
      </w:r>
    </w:p>
    <w:p w14:paraId="329BE33E" w14:textId="77777777" w:rsidR="006779A5" w:rsidRPr="006779A5" w:rsidRDefault="006779A5" w:rsidP="0049140E">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one larger high-capability model. </w:t>
      </w:r>
    </w:p>
    <w:p w14:paraId="2169921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lastRenderedPageBreak/>
        <w:t>This strategy provides useful comparison without requiring exhaustive evaluation of every available release.</w:t>
      </w:r>
    </w:p>
    <w:p w14:paraId="6A15A07E"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Candidate diversity is generally more valuable than comparing numerous variants differing only marginally in architecture or parameter count.</w:t>
      </w:r>
    </w:p>
    <w:p w14:paraId="5ABAE77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At this stage, organizations should also verify compatibility with preferred inference engines, quantization formats, deployment environments, and adaptation pipelines.</w:t>
      </w:r>
    </w:p>
    <w:p w14:paraId="4F4E1346"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Models lacking practical deployment support often impose significantly greater engineering effort than benchmark results alone would suggest.</w:t>
      </w:r>
    </w:p>
    <w:p w14:paraId="01463EDF"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1E6928BB">
          <v:rect id="_x0000_i1691" style="width:0;height:1.5pt" o:hralign="center" o:hrstd="t" o:hr="t" fillcolor="#a0a0a0" stroked="f"/>
        </w:pict>
      </w:r>
    </w:p>
    <w:p w14:paraId="7EE6ADB3" w14:textId="77777777" w:rsidR="006779A5" w:rsidRPr="006779A5" w:rsidRDefault="006779A5" w:rsidP="006779A5">
      <w:pPr>
        <w:pStyle w:val="1"/>
      </w:pPr>
      <w:r w:rsidRPr="006779A5">
        <w:t>4.9.4 Build an Internal Evaluation Dataset</w:t>
      </w:r>
    </w:p>
    <w:p w14:paraId="72A2B12C"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Public leaderboards evaluate general capability.</w:t>
      </w:r>
    </w:p>
    <w:p w14:paraId="6673E82F"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Production systems require application-specific evidence.</w:t>
      </w:r>
    </w:p>
    <w:p w14:paraId="079F2F04"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Consequently, organizations should construct internal evaluation datasets representing real workloads.</w:t>
      </w:r>
    </w:p>
    <w:p w14:paraId="00DB5B10"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These datasets typically include:</w:t>
      </w:r>
    </w:p>
    <w:p w14:paraId="7A412789"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representative user requests, </w:t>
      </w:r>
    </w:p>
    <w:p w14:paraId="3096B1DA"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expected outputs, </w:t>
      </w:r>
    </w:p>
    <w:p w14:paraId="2031B99C"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historical support interactions, </w:t>
      </w:r>
    </w:p>
    <w:p w14:paraId="2EAA5F1A"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production documents, </w:t>
      </w:r>
    </w:p>
    <w:p w14:paraId="590F4295"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structured extraction tasks, </w:t>
      </w:r>
    </w:p>
    <w:p w14:paraId="397A3BAD"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coding examples, </w:t>
      </w:r>
    </w:p>
    <w:p w14:paraId="215024C1"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multilingual requests, </w:t>
      </w:r>
    </w:p>
    <w:p w14:paraId="1A9ECFD7"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edge cases, </w:t>
      </w:r>
    </w:p>
    <w:p w14:paraId="599828C5" w14:textId="77777777" w:rsidR="006779A5" w:rsidRPr="006779A5" w:rsidRDefault="006779A5" w:rsidP="0049140E">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failure scenarios. </w:t>
      </w:r>
    </w:p>
    <w:p w14:paraId="3D60FA37"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Evaluation datasets should evolve alongside the application rather than remaining static.</w:t>
      </w:r>
    </w:p>
    <w:p w14:paraId="4C6BD1FE"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As production systems mature, real user interactions frequently become the most valuable source of future evaluation examples.</w:t>
      </w:r>
    </w:p>
    <w:p w14:paraId="5F63D816"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Dataset construction eventually becomes a continuous engineering activity supporting regression testing, model upgrades, and quality assurance.</w:t>
      </w:r>
    </w:p>
    <w:p w14:paraId="1465A387"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Chapter 13 examines this process in detail.</w:t>
      </w:r>
    </w:p>
    <w:p w14:paraId="1A3F3C3A"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lastRenderedPageBreak/>
        <w:pict w14:anchorId="434C5437">
          <v:rect id="_x0000_i1692" style="width:0;height:1.5pt" o:hralign="center" o:hrstd="t" o:hr="t" fillcolor="#a0a0a0" stroked="f"/>
        </w:pict>
      </w:r>
    </w:p>
    <w:p w14:paraId="06F629CE" w14:textId="77777777" w:rsidR="006779A5" w:rsidRPr="006779A5" w:rsidRDefault="006779A5" w:rsidP="006779A5">
      <w:pPr>
        <w:spacing w:before="100" w:beforeAutospacing="1" w:after="100" w:afterAutospacing="1" w:line="240" w:lineRule="auto"/>
        <w:outlineLvl w:val="2"/>
        <w:rPr>
          <w:rFonts w:ascii="Times New Roman" w:eastAsia="Times New Roman" w:hAnsi="Times New Roman" w:cs="Times New Roman"/>
          <w:b/>
          <w:bCs/>
          <w:sz w:val="28"/>
          <w:szCs w:val="28"/>
        </w:rPr>
      </w:pPr>
      <w:r w:rsidRPr="006779A5">
        <w:rPr>
          <w:rFonts w:ascii="Times New Roman" w:eastAsia="Times New Roman" w:hAnsi="Times New Roman" w:cs="Times New Roman"/>
          <w:b/>
          <w:bCs/>
          <w:sz w:val="28"/>
          <w:szCs w:val="28"/>
        </w:rPr>
        <w:t>4.9.5 Conduct Comparative Testing</w:t>
      </w:r>
    </w:p>
    <w:p w14:paraId="2CAE882C"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After candidate models have been shortlisted, comparative testing should occur under identical conditions.</w:t>
      </w:r>
    </w:p>
    <w:p w14:paraId="3EAACCA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Differences in prompts, sampling parameters, inference engines, quantization methods, or hardware configurations can easily distort conclusions.</w:t>
      </w:r>
    </w:p>
    <w:p w14:paraId="39795C16"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Meaningful comparison therefore requires consistent evaluation methodology.</w:t>
      </w:r>
    </w:p>
    <w:p w14:paraId="7FCE8DC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Testing should ideally include both automated and human evaluation.</w:t>
      </w:r>
    </w:p>
    <w:p w14:paraId="3222310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Automated testing measures objective characteristics such as:</w:t>
      </w:r>
    </w:p>
    <w:p w14:paraId="64BFF804" w14:textId="77777777" w:rsidR="006779A5" w:rsidRPr="006779A5" w:rsidRDefault="006779A5" w:rsidP="0049140E">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structured output correctness, </w:t>
      </w:r>
    </w:p>
    <w:p w14:paraId="339A91D0" w14:textId="77777777" w:rsidR="006779A5" w:rsidRPr="006779A5" w:rsidRDefault="006779A5" w:rsidP="0049140E">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benchmark performance, </w:t>
      </w:r>
    </w:p>
    <w:p w14:paraId="4BD8A2AB" w14:textId="77777777" w:rsidR="006779A5" w:rsidRPr="006779A5" w:rsidRDefault="006779A5" w:rsidP="0049140E">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latency, </w:t>
      </w:r>
    </w:p>
    <w:p w14:paraId="50E5463F" w14:textId="77777777" w:rsidR="006779A5" w:rsidRPr="006779A5" w:rsidRDefault="006779A5" w:rsidP="0049140E">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resource utilization, </w:t>
      </w:r>
    </w:p>
    <w:p w14:paraId="06C4CDB6" w14:textId="77777777" w:rsidR="006779A5" w:rsidRPr="006779A5" w:rsidRDefault="006779A5" w:rsidP="0049140E">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regression detection. </w:t>
      </w:r>
    </w:p>
    <w:p w14:paraId="4714650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Human evaluation captures:</w:t>
      </w:r>
    </w:p>
    <w:p w14:paraId="7474BA4C" w14:textId="77777777" w:rsidR="006779A5" w:rsidRPr="006779A5" w:rsidRDefault="006779A5" w:rsidP="0049140E">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readability, </w:t>
      </w:r>
    </w:p>
    <w:p w14:paraId="3D1BE002" w14:textId="77777777" w:rsidR="006779A5" w:rsidRPr="006779A5" w:rsidRDefault="006779A5" w:rsidP="0049140E">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usefulness, </w:t>
      </w:r>
    </w:p>
    <w:p w14:paraId="716D83DE" w14:textId="77777777" w:rsidR="006779A5" w:rsidRPr="006779A5" w:rsidRDefault="006779A5" w:rsidP="0049140E">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conversational quality, </w:t>
      </w:r>
    </w:p>
    <w:p w14:paraId="1168BF02" w14:textId="77777777" w:rsidR="006779A5" w:rsidRPr="006779A5" w:rsidRDefault="006779A5" w:rsidP="0049140E">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reasoning clarity, </w:t>
      </w:r>
    </w:p>
    <w:p w14:paraId="7A745DCE" w14:textId="77777777" w:rsidR="006779A5" w:rsidRPr="006779A5" w:rsidRDefault="006779A5" w:rsidP="0049140E">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overall user preference. </w:t>
      </w:r>
    </w:p>
    <w:p w14:paraId="5D3F9CDF"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Neither approach is sufficient independently.</w:t>
      </w:r>
    </w:p>
    <w:p w14:paraId="6C720CB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Organizations should also perform stress testing using representative production workloads rather than isolated benchmark prompts.</w:t>
      </w:r>
    </w:p>
    <w:p w14:paraId="6E5EFCC1"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Operational behavior frequently differs substantially under realistic request distributions.</w:t>
      </w:r>
    </w:p>
    <w:p w14:paraId="4D137984"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6247AA5B">
          <v:rect id="_x0000_i1693" style="width:0;height:1.5pt" o:hralign="center" o:hrstd="t" o:hr="t" fillcolor="#a0a0a0" stroked="f"/>
        </w:pict>
      </w:r>
    </w:p>
    <w:p w14:paraId="7F298B1A" w14:textId="77777777" w:rsidR="006779A5" w:rsidRPr="006779A5" w:rsidRDefault="006779A5" w:rsidP="006779A5">
      <w:pPr>
        <w:pStyle w:val="1"/>
      </w:pPr>
      <w:r w:rsidRPr="006779A5">
        <w:t>4.9.6 Consider Future Evolution</w:t>
      </w:r>
    </w:p>
    <w:p w14:paraId="60422E3C" w14:textId="7790DA1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Model selection is not a one-time procurement activity.</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Foundation models evolve rapidly.</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Inference engines improve.</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Quantization algorithms mature.</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Hardware generations change.</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Licensing terms may be revised.</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New model families emerge.</w:t>
      </w:r>
    </w:p>
    <w:p w14:paraId="75EB39BE" w14:textId="580B3B40"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lastRenderedPageBreak/>
        <w:t>Consequently, engineering teams should avoid architectures tightly coupled to a single checkpoint.</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Several practices improve long-term flexibility.</w:t>
      </w:r>
    </w:p>
    <w:p w14:paraId="5C131EF0"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First, application logic should remain independent from model-specific prompt formats whenever practical.</w:t>
      </w:r>
    </w:p>
    <w:p w14:paraId="6496D33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Second, standardized interfaces should separate inference infrastructure from business logic.</w:t>
      </w:r>
    </w:p>
    <w:p w14:paraId="0931289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Third, evaluation datasets should be retained so replacement models can be compared objectively.</w:t>
      </w:r>
    </w:p>
    <w:p w14:paraId="3DEEF342"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Fourth, deployment pipelines should support multiple model versions simultaneously during migration.</w:t>
      </w:r>
    </w:p>
    <w:p w14:paraId="12F712FB"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Finally, documentation should record the reasons underlying model selection rather than simply recording the chosen model.</w:t>
      </w:r>
    </w:p>
    <w:p w14:paraId="2B9FDF28"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These practices reduce future migration effort as the technology landscape evolves.</w:t>
      </w:r>
    </w:p>
    <w:p w14:paraId="2F40CF4F"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Chapter 20 examines long-term platform evolution, technology refresh cycles, and model replacement strategies in greater detail.</w:t>
      </w:r>
    </w:p>
    <w:p w14:paraId="645DD201"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725F3FDE">
          <v:rect id="_x0000_i1694" style="width:0;height:1.5pt" o:hralign="center" o:hrstd="t" o:hr="t" fillcolor="#a0a0a0" stroked="f"/>
        </w:pict>
      </w:r>
    </w:p>
    <w:p w14:paraId="7E4E5510" w14:textId="77777777" w:rsidR="006779A5" w:rsidRPr="006779A5" w:rsidRDefault="006779A5" w:rsidP="006779A5">
      <w:pPr>
        <w:pStyle w:val="1"/>
      </w:pPr>
      <w:r w:rsidRPr="006779A5">
        <w:t>4.9.7 Common Model Selection Mistakes</w:t>
      </w:r>
    </w:p>
    <w:p w14:paraId="24C32DED" w14:textId="393DAE6E"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Several recurring mistakes appear across organizations adopting open-weight models.</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The most common is selecting models exclusively from public benchmark rankings.</w:t>
      </w:r>
    </w:p>
    <w:p w14:paraId="6EC59BE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Although benchmark performance provides valuable evidence, production success depends equally on infrastructure compatibility, operational characteristics, and application-specific evaluation.</w:t>
      </w:r>
    </w:p>
    <w:p w14:paraId="2DFA358C"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Another common mistake is treating parameter count as a proxy for capability.</w:t>
      </w:r>
    </w:p>
    <w:p w14:paraId="72E50CDB"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As discussed earlier in this chapter, advances in architecture, training methodology, and synthetic data have enabled smaller models to outperform much larger predecessors.</w:t>
      </w:r>
    </w:p>
    <w:p w14:paraId="582B14F5"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Organizations also frequently underestimate operational complexity.</w:t>
      </w:r>
    </w:p>
    <w:p w14:paraId="07CFEE53"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Deploying an extremely large model requiring distributed inference, specialized hardware, and sophisticated scheduling may provide little business value compared with a smaller model operating efficiently on existing infrastructure.</w:t>
      </w:r>
    </w:p>
    <w:p w14:paraId="62D2C54B" w14:textId="1C9CE5EA"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lastRenderedPageBreak/>
        <w:t>Licensing review is another area where engineering teams often delay analysis until late in the project.</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Early review avoids expensive redesign and ensures that deployment strategies remain compatible with business objectives.</w:t>
      </w:r>
    </w:p>
    <w:p w14:paraId="34420480" w14:textId="3B8FF3AC"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Finally, organizations sometimes evaluate models using synthetic benchmark prompts rather than representative production workloads.</w:t>
      </w:r>
      <w:r>
        <w:rPr>
          <w:rFonts w:ascii="Times New Roman" w:eastAsia="Times New Roman" w:hAnsi="Times New Roman" w:cs="Times New Roman"/>
          <w:sz w:val="28"/>
          <w:szCs w:val="28"/>
        </w:rPr>
        <w:t xml:space="preserve"> </w:t>
      </w:r>
      <w:r w:rsidRPr="006779A5">
        <w:rPr>
          <w:rFonts w:ascii="Times New Roman" w:eastAsia="Times New Roman" w:hAnsi="Times New Roman" w:cs="Times New Roman"/>
          <w:sz w:val="28"/>
          <w:szCs w:val="28"/>
        </w:rPr>
        <w:t>This frequently produces optimistic conclusions that fail to translate into real applications.</w:t>
      </w:r>
    </w:p>
    <w:p w14:paraId="63B37D2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Representative evaluation data remains the strongest predictor of production success.</w:t>
      </w:r>
    </w:p>
    <w:p w14:paraId="77D585DA"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4B222D8C">
          <v:rect id="_x0000_i1695" style="width:0;height:1.5pt" o:hralign="center" o:hrstd="t" o:hr="t" fillcolor="#a0a0a0" stroked="f"/>
        </w:pict>
      </w:r>
    </w:p>
    <w:p w14:paraId="557CF4FB" w14:textId="77777777" w:rsidR="006779A5" w:rsidRPr="006779A5" w:rsidRDefault="006779A5" w:rsidP="006779A5">
      <w:pPr>
        <w:rPr>
          <w:rFonts w:ascii="Times New Roman" w:hAnsi="Times New Roman" w:cs="Times New Roman"/>
          <w:b/>
          <w:bCs/>
          <w:sz w:val="28"/>
          <w:szCs w:val="28"/>
        </w:rPr>
      </w:pPr>
      <w:r w:rsidRPr="006779A5">
        <w:rPr>
          <w:rFonts w:ascii="Times New Roman" w:hAnsi="Times New Roman" w:cs="Times New Roman"/>
          <w:b/>
          <w:bCs/>
          <w:sz w:val="28"/>
          <w:szCs w:val="28"/>
        </w:rPr>
        <w:t>Table 4.12. Common Model Selection Anti-Patterns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2297"/>
        <w:gridCol w:w="66"/>
        <w:gridCol w:w="2442"/>
        <w:gridCol w:w="2515"/>
      </w:tblGrid>
      <w:tr w:rsidR="006779A5" w:rsidRPr="006779A5" w14:paraId="3F34A7B2" w14:textId="77777777" w:rsidTr="006779A5">
        <w:trPr>
          <w:tblHeader/>
          <w:tblCellSpacing w:w="15" w:type="dxa"/>
        </w:trPr>
        <w:tc>
          <w:tcPr>
            <w:tcW w:w="0" w:type="auto"/>
            <w:vAlign w:val="center"/>
            <w:hideMark/>
          </w:tcPr>
          <w:p w14:paraId="35CF1388"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Anti-Pattern</w:t>
            </w:r>
          </w:p>
        </w:tc>
        <w:tc>
          <w:tcPr>
            <w:tcW w:w="0" w:type="auto"/>
            <w:vAlign w:val="center"/>
            <w:hideMark/>
          </w:tcPr>
          <w:p w14:paraId="642D13C8"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Why It Occurs</w:t>
            </w:r>
          </w:p>
        </w:tc>
        <w:tc>
          <w:tcPr>
            <w:tcW w:w="0" w:type="auto"/>
          </w:tcPr>
          <w:p w14:paraId="5BDF47A8"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305CD585" w14:textId="50A8194C"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Engineering Consequences</w:t>
            </w:r>
          </w:p>
        </w:tc>
        <w:tc>
          <w:tcPr>
            <w:tcW w:w="0" w:type="auto"/>
            <w:vAlign w:val="center"/>
            <w:hideMark/>
          </w:tcPr>
          <w:p w14:paraId="74781E70" w14:textId="77777777" w:rsidR="006779A5" w:rsidRPr="006779A5" w:rsidRDefault="006779A5" w:rsidP="006779A5">
            <w:pPr>
              <w:spacing w:after="0" w:line="240" w:lineRule="auto"/>
              <w:jc w:val="center"/>
              <w:rPr>
                <w:rFonts w:ascii="Times New Roman" w:eastAsia="Times New Roman" w:hAnsi="Times New Roman" w:cs="Times New Roman"/>
                <w:b/>
                <w:bCs/>
                <w:sz w:val="24"/>
                <w:szCs w:val="24"/>
              </w:rPr>
            </w:pPr>
            <w:r w:rsidRPr="006779A5">
              <w:rPr>
                <w:rFonts w:ascii="Times New Roman" w:eastAsia="Times New Roman" w:hAnsi="Times New Roman" w:cs="Times New Roman"/>
                <w:b/>
                <w:bCs/>
                <w:sz w:val="24"/>
                <w:szCs w:val="24"/>
              </w:rPr>
              <w:t>Recommended Practice</w:t>
            </w:r>
          </w:p>
        </w:tc>
      </w:tr>
      <w:tr w:rsidR="006779A5" w:rsidRPr="006779A5" w14:paraId="34D3EE4E" w14:textId="77777777" w:rsidTr="006779A5">
        <w:trPr>
          <w:tblCellSpacing w:w="15" w:type="dxa"/>
        </w:trPr>
        <w:tc>
          <w:tcPr>
            <w:tcW w:w="0" w:type="auto"/>
            <w:vAlign w:val="center"/>
            <w:hideMark/>
          </w:tcPr>
          <w:p w14:paraId="62123EFD"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Selecting the highest benchmark score automatically</w:t>
            </w:r>
          </w:p>
        </w:tc>
        <w:tc>
          <w:tcPr>
            <w:tcW w:w="0" w:type="auto"/>
            <w:vAlign w:val="center"/>
            <w:hideMark/>
          </w:tcPr>
          <w:p w14:paraId="71075C41"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Benchmark rankings are easy to compare</w:t>
            </w:r>
          </w:p>
        </w:tc>
        <w:tc>
          <w:tcPr>
            <w:tcW w:w="0" w:type="auto"/>
          </w:tcPr>
          <w:p w14:paraId="133C9FEA"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426B1C7B" w14:textId="1FCCEA13"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May produce unnecessary infrastructure cost or operational complexity</w:t>
            </w:r>
          </w:p>
        </w:tc>
        <w:tc>
          <w:tcPr>
            <w:tcW w:w="0" w:type="auto"/>
            <w:vAlign w:val="center"/>
            <w:hideMark/>
          </w:tcPr>
          <w:p w14:paraId="22305FB2"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Balance benchmark evidence with production requirements</w:t>
            </w:r>
          </w:p>
        </w:tc>
      </w:tr>
      <w:tr w:rsidR="006779A5" w:rsidRPr="006779A5" w14:paraId="0A509E65" w14:textId="77777777" w:rsidTr="006779A5">
        <w:trPr>
          <w:tblCellSpacing w:w="15" w:type="dxa"/>
        </w:trPr>
        <w:tc>
          <w:tcPr>
            <w:tcW w:w="0" w:type="auto"/>
            <w:vAlign w:val="center"/>
            <w:hideMark/>
          </w:tcPr>
          <w:p w14:paraId="4169FA7B"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Choosing the largest available model</w:t>
            </w:r>
          </w:p>
        </w:tc>
        <w:tc>
          <w:tcPr>
            <w:tcW w:w="0" w:type="auto"/>
            <w:vAlign w:val="center"/>
            <w:hideMark/>
          </w:tcPr>
          <w:p w14:paraId="19BB19DA"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Larger models appear more capable</w:t>
            </w:r>
          </w:p>
        </w:tc>
        <w:tc>
          <w:tcPr>
            <w:tcW w:w="0" w:type="auto"/>
          </w:tcPr>
          <w:p w14:paraId="1139BE74"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39DB7984" w14:textId="17CF92A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Higher latency, infrastructure cost, and deployment complexity</w:t>
            </w:r>
          </w:p>
        </w:tc>
        <w:tc>
          <w:tcPr>
            <w:tcW w:w="0" w:type="auto"/>
            <w:vAlign w:val="center"/>
            <w:hideMark/>
          </w:tcPr>
          <w:p w14:paraId="33D19512"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Identify the smallest model satisfying business objectives</w:t>
            </w:r>
          </w:p>
        </w:tc>
      </w:tr>
      <w:tr w:rsidR="006779A5" w:rsidRPr="006779A5" w14:paraId="12696E98" w14:textId="77777777" w:rsidTr="006779A5">
        <w:trPr>
          <w:tblCellSpacing w:w="15" w:type="dxa"/>
        </w:trPr>
        <w:tc>
          <w:tcPr>
            <w:tcW w:w="0" w:type="auto"/>
            <w:vAlign w:val="center"/>
            <w:hideMark/>
          </w:tcPr>
          <w:p w14:paraId="51D94DC6"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Ignoring licensing until deployment</w:t>
            </w:r>
          </w:p>
        </w:tc>
        <w:tc>
          <w:tcPr>
            <w:tcW w:w="0" w:type="auto"/>
            <w:vAlign w:val="center"/>
            <w:hideMark/>
          </w:tcPr>
          <w:p w14:paraId="188990E7"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Licensing is viewed as a legal rather than engineering issue</w:t>
            </w:r>
          </w:p>
        </w:tc>
        <w:tc>
          <w:tcPr>
            <w:tcW w:w="0" w:type="auto"/>
          </w:tcPr>
          <w:p w14:paraId="55B26F3C"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7088BDF0" w14:textId="6F4C1AF0"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Potential redesign, compliance risk, delayed deployment</w:t>
            </w:r>
          </w:p>
        </w:tc>
        <w:tc>
          <w:tcPr>
            <w:tcW w:w="0" w:type="auto"/>
            <w:vAlign w:val="center"/>
            <w:hideMark/>
          </w:tcPr>
          <w:p w14:paraId="48EBA017"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Evaluate licensing during initial model selection</w:t>
            </w:r>
          </w:p>
        </w:tc>
      </w:tr>
      <w:tr w:rsidR="006779A5" w:rsidRPr="006779A5" w14:paraId="0B749E32" w14:textId="77777777" w:rsidTr="006779A5">
        <w:trPr>
          <w:tblCellSpacing w:w="15" w:type="dxa"/>
        </w:trPr>
        <w:tc>
          <w:tcPr>
            <w:tcW w:w="0" w:type="auto"/>
            <w:vAlign w:val="center"/>
            <w:hideMark/>
          </w:tcPr>
          <w:p w14:paraId="71C487B2"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Evaluating only synthetic prompts</w:t>
            </w:r>
          </w:p>
        </w:tc>
        <w:tc>
          <w:tcPr>
            <w:tcW w:w="0" w:type="auto"/>
            <w:vAlign w:val="center"/>
            <w:hideMark/>
          </w:tcPr>
          <w:p w14:paraId="1B96A6A3"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Easier than constructing internal datasets</w:t>
            </w:r>
          </w:p>
        </w:tc>
        <w:tc>
          <w:tcPr>
            <w:tcW w:w="0" w:type="auto"/>
          </w:tcPr>
          <w:p w14:paraId="05CB43BC"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7D836F23" w14:textId="396228FD"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Poor prediction of production behavior</w:t>
            </w:r>
          </w:p>
        </w:tc>
        <w:tc>
          <w:tcPr>
            <w:tcW w:w="0" w:type="auto"/>
            <w:vAlign w:val="center"/>
            <w:hideMark/>
          </w:tcPr>
          <w:p w14:paraId="364B8D33"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Build representative organization-specific evaluation datasets</w:t>
            </w:r>
          </w:p>
        </w:tc>
      </w:tr>
      <w:tr w:rsidR="006779A5" w:rsidRPr="006779A5" w14:paraId="28BEEE8A" w14:textId="77777777" w:rsidTr="006779A5">
        <w:trPr>
          <w:tblCellSpacing w:w="15" w:type="dxa"/>
        </w:trPr>
        <w:tc>
          <w:tcPr>
            <w:tcW w:w="0" w:type="auto"/>
            <w:vAlign w:val="center"/>
            <w:hideMark/>
          </w:tcPr>
          <w:p w14:paraId="13E58E47"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Optimizing exclusively for latency</w:t>
            </w:r>
          </w:p>
        </w:tc>
        <w:tc>
          <w:tcPr>
            <w:tcW w:w="0" w:type="auto"/>
            <w:vAlign w:val="center"/>
            <w:hideMark/>
          </w:tcPr>
          <w:p w14:paraId="688FF06A"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Operational metrics dominate evaluation</w:t>
            </w:r>
          </w:p>
        </w:tc>
        <w:tc>
          <w:tcPr>
            <w:tcW w:w="0" w:type="auto"/>
          </w:tcPr>
          <w:p w14:paraId="26318453"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7506FC4E" w14:textId="61F24442"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Reduced response quality and user satisfaction</w:t>
            </w:r>
          </w:p>
        </w:tc>
        <w:tc>
          <w:tcPr>
            <w:tcW w:w="0" w:type="auto"/>
            <w:vAlign w:val="center"/>
            <w:hideMark/>
          </w:tcPr>
          <w:p w14:paraId="280A2876"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Balance latency, quality, and cost</w:t>
            </w:r>
          </w:p>
        </w:tc>
      </w:tr>
      <w:tr w:rsidR="006779A5" w:rsidRPr="006779A5" w14:paraId="40622B3C" w14:textId="77777777" w:rsidTr="006779A5">
        <w:trPr>
          <w:tblCellSpacing w:w="15" w:type="dxa"/>
        </w:trPr>
        <w:tc>
          <w:tcPr>
            <w:tcW w:w="0" w:type="auto"/>
            <w:vAlign w:val="center"/>
            <w:hideMark/>
          </w:tcPr>
          <w:p w14:paraId="3FD1FC66"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Optimizing exclusively for quality</w:t>
            </w:r>
          </w:p>
        </w:tc>
        <w:tc>
          <w:tcPr>
            <w:tcW w:w="0" w:type="auto"/>
            <w:vAlign w:val="center"/>
            <w:hideMark/>
          </w:tcPr>
          <w:p w14:paraId="75CCADD7"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Focus on benchmark leadership</w:t>
            </w:r>
          </w:p>
        </w:tc>
        <w:tc>
          <w:tcPr>
            <w:tcW w:w="0" w:type="auto"/>
          </w:tcPr>
          <w:p w14:paraId="398D61F7"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48361AAC" w14:textId="54AE30A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Excessive infrastructure cost and reduced scalability</w:t>
            </w:r>
          </w:p>
        </w:tc>
        <w:tc>
          <w:tcPr>
            <w:tcW w:w="0" w:type="auto"/>
            <w:vAlign w:val="center"/>
            <w:hideMark/>
          </w:tcPr>
          <w:p w14:paraId="5EAA2534"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Evaluate capability together with operational efficiency</w:t>
            </w:r>
          </w:p>
        </w:tc>
      </w:tr>
      <w:tr w:rsidR="006779A5" w:rsidRPr="006779A5" w14:paraId="6ADE6946" w14:textId="77777777" w:rsidTr="006779A5">
        <w:trPr>
          <w:tblCellSpacing w:w="15" w:type="dxa"/>
        </w:trPr>
        <w:tc>
          <w:tcPr>
            <w:tcW w:w="0" w:type="auto"/>
            <w:vAlign w:val="center"/>
            <w:hideMark/>
          </w:tcPr>
          <w:p w14:paraId="1121737E"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Coupling applications tightly to one model</w:t>
            </w:r>
          </w:p>
        </w:tc>
        <w:tc>
          <w:tcPr>
            <w:tcW w:w="0" w:type="auto"/>
            <w:vAlign w:val="center"/>
            <w:hideMark/>
          </w:tcPr>
          <w:p w14:paraId="4B586251"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Rapid initial implementation</w:t>
            </w:r>
          </w:p>
        </w:tc>
        <w:tc>
          <w:tcPr>
            <w:tcW w:w="0" w:type="auto"/>
          </w:tcPr>
          <w:p w14:paraId="534D1D78" w14:textId="77777777" w:rsidR="006779A5" w:rsidRPr="006779A5" w:rsidRDefault="006779A5" w:rsidP="006779A5">
            <w:pPr>
              <w:spacing w:after="0" w:line="240" w:lineRule="auto"/>
              <w:rPr>
                <w:rFonts w:ascii="Times New Roman" w:eastAsia="Times New Roman" w:hAnsi="Times New Roman" w:cs="Times New Roman"/>
                <w:sz w:val="24"/>
                <w:szCs w:val="24"/>
              </w:rPr>
            </w:pPr>
          </w:p>
        </w:tc>
        <w:tc>
          <w:tcPr>
            <w:tcW w:w="0" w:type="auto"/>
            <w:vAlign w:val="center"/>
            <w:hideMark/>
          </w:tcPr>
          <w:p w14:paraId="18C0AA73" w14:textId="7FF41EC3"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Difficult future migrations and upgrades</w:t>
            </w:r>
          </w:p>
        </w:tc>
        <w:tc>
          <w:tcPr>
            <w:tcW w:w="0" w:type="auto"/>
            <w:vAlign w:val="center"/>
            <w:hideMark/>
          </w:tcPr>
          <w:p w14:paraId="3257BC45" w14:textId="77777777" w:rsidR="006779A5" w:rsidRPr="006779A5" w:rsidRDefault="006779A5" w:rsidP="006779A5">
            <w:pPr>
              <w:spacing w:after="0" w:line="240" w:lineRule="auto"/>
              <w:rPr>
                <w:rFonts w:ascii="Times New Roman" w:eastAsia="Times New Roman" w:hAnsi="Times New Roman" w:cs="Times New Roman"/>
                <w:sz w:val="24"/>
                <w:szCs w:val="24"/>
              </w:rPr>
            </w:pPr>
            <w:r w:rsidRPr="006779A5">
              <w:rPr>
                <w:rFonts w:ascii="Times New Roman" w:eastAsia="Times New Roman" w:hAnsi="Times New Roman" w:cs="Times New Roman"/>
                <w:sz w:val="24"/>
                <w:szCs w:val="24"/>
              </w:rPr>
              <w:t>Abstract model interfaces and maintain repeatable evaluation pipelines</w:t>
            </w:r>
          </w:p>
        </w:tc>
      </w:tr>
    </w:tbl>
    <w:p w14:paraId="717983D5" w14:textId="77777777" w:rsidR="006779A5" w:rsidRPr="006779A5" w:rsidRDefault="006779A5" w:rsidP="006779A5">
      <w:pPr>
        <w:spacing w:after="0"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pict w14:anchorId="793A1E1C">
          <v:rect id="_x0000_i1696" style="width:0;height:1.5pt" o:hralign="center" o:hrstd="t" o:hr="t" fillcolor="#a0a0a0" stroked="f"/>
        </w:pict>
      </w:r>
    </w:p>
    <w:p w14:paraId="5DC387AD" w14:textId="77777777" w:rsidR="006779A5" w:rsidRPr="006779A5" w:rsidRDefault="006779A5" w:rsidP="006779A5">
      <w:pPr>
        <w:pStyle w:val="1"/>
      </w:pPr>
      <w:r w:rsidRPr="006779A5">
        <w:t>4.9.8 A Practical Decision Framework</w:t>
      </w:r>
    </w:p>
    <w:p w14:paraId="3138D715"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Although every organization has unique priorities, most successful model selection processes follow a similar sequence:</w:t>
      </w:r>
    </w:p>
    <w:p w14:paraId="6CA0154C"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Define production requirements before considering candidate models. </w:t>
      </w:r>
    </w:p>
    <w:p w14:paraId="545DE830"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lastRenderedPageBreak/>
        <w:t xml:space="preserve">Eliminate models incompatible with licensing, deployment environment, or hardware constraints. </w:t>
      </w:r>
    </w:p>
    <w:p w14:paraId="31A162B7"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Build a shortlist representing different capability and cost trade-offs. </w:t>
      </w:r>
    </w:p>
    <w:p w14:paraId="1754C1D4"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Evaluate candidates using organization-specific datasets alongside public benchmarks. </w:t>
      </w:r>
    </w:p>
    <w:p w14:paraId="299C9019"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Measure operational characteristics under representative production workloads. </w:t>
      </w:r>
    </w:p>
    <w:p w14:paraId="7650DDC1"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Validate quality through both automated and human evaluation. </w:t>
      </w:r>
    </w:p>
    <w:p w14:paraId="17582AAE"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Document engineering rationale rather than benchmark rankings alone. </w:t>
      </w:r>
    </w:p>
    <w:p w14:paraId="2C6A088A" w14:textId="77777777" w:rsidR="006779A5" w:rsidRPr="006779A5" w:rsidRDefault="006779A5" w:rsidP="0049140E">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 xml:space="preserve">Design deployment architecture to support future model replacement. </w:t>
      </w:r>
    </w:p>
    <w:p w14:paraId="7AD659DD"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This process emphasizes repeatability over one-time optimization.</w:t>
      </w:r>
    </w:p>
    <w:p w14:paraId="0C427B49"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As the open-weight ecosystem continues to evolve, organizations following a structured evaluation methodology can adopt improved models with considerably less effort than teams relying on ad hoc comparisons.</w:t>
      </w:r>
    </w:p>
    <w:p w14:paraId="6D8046B4" w14:textId="77777777" w:rsidR="006779A5" w:rsidRPr="006779A5" w:rsidRDefault="006779A5" w:rsidP="006779A5">
      <w:pPr>
        <w:spacing w:before="100" w:beforeAutospacing="1" w:after="100" w:afterAutospacing="1" w:line="240" w:lineRule="auto"/>
        <w:rPr>
          <w:rFonts w:ascii="Times New Roman" w:eastAsia="Times New Roman" w:hAnsi="Times New Roman" w:cs="Times New Roman"/>
          <w:sz w:val="28"/>
          <w:szCs w:val="28"/>
        </w:rPr>
      </w:pPr>
      <w:r w:rsidRPr="006779A5">
        <w:rPr>
          <w:rFonts w:ascii="Times New Roman" w:eastAsia="Times New Roman" w:hAnsi="Times New Roman" w:cs="Times New Roman"/>
          <w:sz w:val="28"/>
          <w:szCs w:val="28"/>
        </w:rPr>
        <w:t>Ultimately, selecting an open-weight model is not about identifying a universally superior foundation model. It is about identifying the model that best satisfies a particular combination of technical requirements, operational constraints, legal obligations, and business objectives. The most successful AI platforms consistently prioritize evidence, reproducibility, and long-term maintainability over transient benchmark leadership or community enthusiasm. This engineering mindset provides the foundation for the next chapter, which examines how selected models are transformed into production services through inference engines, model serving architectures, scheduling, caching, batching, and high-performance runtime systems.</w:t>
      </w:r>
    </w:p>
    <w:p w14:paraId="703AA136" w14:textId="77777777" w:rsidR="0049140E" w:rsidRPr="0049140E" w:rsidRDefault="0049140E" w:rsidP="0049140E">
      <w:pPr>
        <w:pStyle w:val="1"/>
      </w:pPr>
      <w:r w:rsidRPr="0049140E">
        <w:t>4.10 Chapter Summary</w:t>
      </w:r>
    </w:p>
    <w:p w14:paraId="14477DBF"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Open-weight foundation models have transformed the AI platform landscape by giving organizations direct control over model deployment, infrastructure, and customization. Unlike proprietary API-only services, open-weight models enable enterprises to determine where inference occurs, how models are optimized, which hardware they utilize, and how they evolve throughout their operational lifecycle. This flexibility has made them a foundational component of modern AI platforms, particularly where data sovereignty, cost optimization, regulatory compliance, and infrastructure independence are important engineering considerations.</w:t>
      </w:r>
    </w:p>
    <w:p w14:paraId="15AFB5DF"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 xml:space="preserve">The chapter began by examining the evolution of open-weight models from the early public Transformer releases to the rapid expansion of today's ecosystem. The release of the LLaMA family fundamentally changed industry expectations regarding model accessibility, accelerating research, commercial adoption, and the development of a diverse open-source ecosystem encompassing model training, inference engines, quantization techniques, evaluation frameworks, and </w:t>
      </w:r>
      <w:r w:rsidRPr="0049140E">
        <w:rPr>
          <w:rFonts w:ascii="Times New Roman" w:eastAsia="Times New Roman" w:hAnsi="Times New Roman" w:cs="Times New Roman"/>
          <w:sz w:val="28"/>
          <w:szCs w:val="28"/>
        </w:rPr>
        <w:lastRenderedPageBreak/>
        <w:t>deployment tooling. Since then, model development has diversified across multiple organizations, producing a competitive ecosystem that advances through iterative architectural improvements rather than relying solely on increasing parameter counts.</w:t>
      </w:r>
    </w:p>
    <w:p w14:paraId="10E0E94E"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Model architecture emerged as one of the primary determinants of deployment characteristics. Decoder-only transformers remain the dominant architecture for generative language models because of their scalability and compatibility with autoregressive text generation. At the same time, Mixture-of-Experts architectures have demonstrated that selectively activating subsets of model parameters can substantially increase representational capacity without proportional increases in inference computation. Multimodal architectures have extended foundation models beyond text, enabling unified reasoning across images, audio, video, and structured data, while long-context architectures have expanded the practical limits of retrieval, document analysis, software engineering, and enterprise knowledge applications.</w:t>
      </w:r>
    </w:p>
    <w:p w14:paraId="1F631F25"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Licensing represents a distinguishing characteristic of the open-weight ecosystem. Although model weights may be publicly available, availability alone does not imply open-source licensing under the definitions established by organizations such as the Open Source Initiative. The chapter emphasized the distinction between open-source software licenses, source-available licenses, and open-weight licenses, demonstrating how commercial usage rights, redistribution policies, derivative model restrictions, and acceptable-use requirements influence deployment decisions. Licensing evaluation should therefore be treated as an engineering activity performed alongside technical assessment rather than as a purely legal review conducted immediately before production deployment.</w:t>
      </w:r>
    </w:p>
    <w:p w14:paraId="38AE7EB2"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Benchmark interpretation requires considerably more nuance than simply comparing leaderboard positions. Public benchmarks provide valuable evidence regarding general model capabilities, but they remain approximations of real production workloads. Benchmark saturation, data contamination, prompt sensitivity, implementation differences, and rapidly evolving evaluation methodologies limit the usefulness of individual benchmark scores when selecting production models. Effective engineering practice combines public benchmark evidence with organization-specific evaluation datasets that reflect representative business requirements. The ability to reproduce evaluation results under consistent conditions is generally more valuable than isolated benchmark improvements that cannot be replicated within the target deployment environment.</w:t>
      </w:r>
    </w:p>
    <w:p w14:paraId="193F4B9B"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 xml:space="preserve">The chapter also demonstrated that model capability cannot be evaluated independently from hardware. GPU memory capacity, numerical precision, context length, and deployment topology determine which models are operationally feasible. Advances in quantization have significantly broadened deployment options, allowing models that previously required enterprise accelerator clusters to </w:t>
      </w:r>
      <w:r w:rsidRPr="0049140E">
        <w:rPr>
          <w:rFonts w:ascii="Times New Roman" w:eastAsia="Times New Roman" w:hAnsi="Times New Roman" w:cs="Times New Roman"/>
          <w:sz w:val="28"/>
          <w:szCs w:val="28"/>
        </w:rPr>
        <w:lastRenderedPageBreak/>
        <w:t>operate effectively on workstation GPUs, consumer hardware, and, in some cases, modern multicore CPUs. Hardware selection should therefore be guided by workload characteristics, latency objectives, throughput requirements, and operational cost rather than by theoretical computational capability alone.</w:t>
      </w:r>
    </w:p>
    <w:p w14:paraId="2C444417"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Quantization has become one of the defining technologies enabling practical deployment of open-weight models. By reducing numerical precision while preserving acceptable inference quality, quantization decreases memory consumption, storage requirements, and infrastructure cost without requiring complete model retraining. Contemporary production deployments routinely employ FP16, BF16, INT8, and low-bit quantization formats, together with algorithms such as GPTQ and AWQ, to balance quality against resource utilization. However, quantization remains an engineering trade-off rather than a universally beneficial optimization. Aggressive compression may reduce reasoning performance, structured output consistency, or multilingual capability, making empirical evaluation essential before production deployment.</w:t>
      </w:r>
    </w:p>
    <w:p w14:paraId="51F4E478"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Beyond compression, the chapter explored the principal strategies for adapting foundation models to specialized domains. Continued pretraining, supervised fine-tuning, reinforcement learning, preference optimization, and parameter-efficient approaches such as LoRA and QLoRA provide organizations with multiple pathways for customization. These techniques differ substantially in computational cost, infrastructure requirements, dataset characteristics, and operational complexity. Importantly, model adaptation should not be considered the default solution to every performance limitation. In many production systems, retrieval-augmented generation, prompt engineering, tool integration, and workflow orchestration provide greater improvements with significantly lower maintenance overhead than modifying model weights.</w:t>
      </w:r>
    </w:p>
    <w:p w14:paraId="3AEDBFB0"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The final section synthesized these topics into a structured framework for model selection. Effective model selection begins by defining production requirements rather than comparing models. Candidate models should then be evaluated using consistent criteria encompassing functional capability, licensing, hardware compatibility, operational performance, ecosystem maturity, adaptability, and long-term sustainability. Public benchmarks should inform this process but should never replace organization-specific evaluation datasets or representative workload testing. Likewise, engineering teams should resist optimizing exclusively for benchmark quality, parameter count, latency, or infrastructure cost. Successful deployments balance these competing objectives according to measurable business requirements.</w:t>
      </w:r>
    </w:p>
    <w:p w14:paraId="4DDF9296"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 xml:space="preserve">Several themes introduced throughout this chapter continue to influence later parts of the book. Quantization compatibility, accelerator memory, and architectural characteristics directly affect inference engine selection and serving performance. Adaptation techniques influence deployment pipelines, model registries, and </w:t>
      </w:r>
      <w:r w:rsidRPr="0049140E">
        <w:rPr>
          <w:rFonts w:ascii="Times New Roman" w:eastAsia="Times New Roman" w:hAnsi="Times New Roman" w:cs="Times New Roman"/>
          <w:sz w:val="28"/>
          <w:szCs w:val="28"/>
        </w:rPr>
        <w:lastRenderedPageBreak/>
        <w:t>version management. Benchmark interpretation becomes closely connected with continuous evaluation and regression testing. Licensing decisions influence governance, compliance, and organizational risk management. Model selection therefore represents the intersection of technical architecture, infrastructure engineering, legal constraints, and operational planning rather than an isolated machine learning decision.</w:t>
      </w:r>
    </w:p>
    <w:p w14:paraId="1507618E" w14:textId="77777777" w:rsidR="0049140E" w:rsidRPr="0049140E" w:rsidRDefault="0049140E" w:rsidP="0049140E">
      <w:pPr>
        <w:spacing w:before="100" w:beforeAutospacing="1" w:after="100" w:afterAutospacing="1" w:line="240" w:lineRule="auto"/>
        <w:rPr>
          <w:rFonts w:ascii="Times New Roman" w:eastAsia="Times New Roman" w:hAnsi="Times New Roman" w:cs="Times New Roman"/>
          <w:sz w:val="28"/>
          <w:szCs w:val="28"/>
        </w:rPr>
      </w:pPr>
      <w:r w:rsidRPr="0049140E">
        <w:rPr>
          <w:rFonts w:ascii="Times New Roman" w:eastAsia="Times New Roman" w:hAnsi="Times New Roman" w:cs="Times New Roman"/>
          <w:sz w:val="28"/>
          <w:szCs w:val="28"/>
        </w:rPr>
        <w:t>The following chapter builds upon this foundation by examining how selected models become operational AI services. Rather than focusing on model capabilities, Chapter 5 analyzes the runtime systems responsible for efficient inference, including model serving architectures, scheduling algorithms, batching strategies, key-value cache management, speculative decoding, parallel execution techniques, and modern inference engines. Together, Chapters 4 and 5 establish the relationship between selecting an appropriate model and operating that model efficiently within a production AI platform.</w:t>
      </w:r>
    </w:p>
    <w:p w14:paraId="7A588018" w14:textId="77777777" w:rsidR="00636940" w:rsidRPr="0049140E" w:rsidRDefault="00636940" w:rsidP="00636940">
      <w:pPr>
        <w:spacing w:before="100" w:beforeAutospacing="1" w:after="100" w:afterAutospacing="1" w:line="240" w:lineRule="auto"/>
        <w:rPr>
          <w:rFonts w:ascii="Times New Roman" w:eastAsia="Times New Roman" w:hAnsi="Times New Roman" w:cs="Times New Roman"/>
          <w:sz w:val="36"/>
          <w:szCs w:val="36"/>
        </w:rPr>
      </w:pPr>
    </w:p>
    <w:sectPr w:rsidR="00636940" w:rsidRPr="0049140E" w:rsidSect="00B36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2E37"/>
    <w:multiLevelType w:val="multilevel"/>
    <w:tmpl w:val="67E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0BDB"/>
    <w:multiLevelType w:val="multilevel"/>
    <w:tmpl w:val="E54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10D4"/>
    <w:multiLevelType w:val="multilevel"/>
    <w:tmpl w:val="9C0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2C7"/>
    <w:multiLevelType w:val="multilevel"/>
    <w:tmpl w:val="731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0292"/>
    <w:multiLevelType w:val="multilevel"/>
    <w:tmpl w:val="9D1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425B4"/>
    <w:multiLevelType w:val="multilevel"/>
    <w:tmpl w:val="3A3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74ECB"/>
    <w:multiLevelType w:val="multilevel"/>
    <w:tmpl w:val="0F2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52B3A"/>
    <w:multiLevelType w:val="multilevel"/>
    <w:tmpl w:val="2AC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6065C"/>
    <w:multiLevelType w:val="multilevel"/>
    <w:tmpl w:val="74B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1257C"/>
    <w:multiLevelType w:val="multilevel"/>
    <w:tmpl w:val="A11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77AE4"/>
    <w:multiLevelType w:val="multilevel"/>
    <w:tmpl w:val="A48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0134"/>
    <w:multiLevelType w:val="multilevel"/>
    <w:tmpl w:val="9B3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91D0E"/>
    <w:multiLevelType w:val="multilevel"/>
    <w:tmpl w:val="94E8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93BCC"/>
    <w:multiLevelType w:val="multilevel"/>
    <w:tmpl w:val="71B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920D3"/>
    <w:multiLevelType w:val="multilevel"/>
    <w:tmpl w:val="DE2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20BAA"/>
    <w:multiLevelType w:val="multilevel"/>
    <w:tmpl w:val="796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65177"/>
    <w:multiLevelType w:val="multilevel"/>
    <w:tmpl w:val="333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44B8F"/>
    <w:multiLevelType w:val="multilevel"/>
    <w:tmpl w:val="DF4C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E5442"/>
    <w:multiLevelType w:val="multilevel"/>
    <w:tmpl w:val="3C8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946FE"/>
    <w:multiLevelType w:val="multilevel"/>
    <w:tmpl w:val="8D4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C2054"/>
    <w:multiLevelType w:val="multilevel"/>
    <w:tmpl w:val="DB6A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D38CE"/>
    <w:multiLevelType w:val="multilevel"/>
    <w:tmpl w:val="F3D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C0BEC"/>
    <w:multiLevelType w:val="hybridMultilevel"/>
    <w:tmpl w:val="05EC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718E7"/>
    <w:multiLevelType w:val="multilevel"/>
    <w:tmpl w:val="0068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84008"/>
    <w:multiLevelType w:val="multilevel"/>
    <w:tmpl w:val="6D6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24DAC"/>
    <w:multiLevelType w:val="multilevel"/>
    <w:tmpl w:val="023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F3601"/>
    <w:multiLevelType w:val="multilevel"/>
    <w:tmpl w:val="046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A7278"/>
    <w:multiLevelType w:val="multilevel"/>
    <w:tmpl w:val="6634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A5076"/>
    <w:multiLevelType w:val="multilevel"/>
    <w:tmpl w:val="23D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B0172"/>
    <w:multiLevelType w:val="multilevel"/>
    <w:tmpl w:val="621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52F5"/>
    <w:multiLevelType w:val="multilevel"/>
    <w:tmpl w:val="6D0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82732"/>
    <w:multiLevelType w:val="multilevel"/>
    <w:tmpl w:val="C9A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D29A8"/>
    <w:multiLevelType w:val="multilevel"/>
    <w:tmpl w:val="8172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66351"/>
    <w:multiLevelType w:val="multilevel"/>
    <w:tmpl w:val="B86A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55DDB"/>
    <w:multiLevelType w:val="multilevel"/>
    <w:tmpl w:val="D9E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36CF0"/>
    <w:multiLevelType w:val="multilevel"/>
    <w:tmpl w:val="FF7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13F66"/>
    <w:multiLevelType w:val="multilevel"/>
    <w:tmpl w:val="F290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B2BB5"/>
    <w:multiLevelType w:val="multilevel"/>
    <w:tmpl w:val="D2B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A1348"/>
    <w:multiLevelType w:val="multilevel"/>
    <w:tmpl w:val="D0D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14BA3"/>
    <w:multiLevelType w:val="multilevel"/>
    <w:tmpl w:val="C44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5"/>
  </w:num>
  <w:num w:numId="3">
    <w:abstractNumId w:val="2"/>
  </w:num>
  <w:num w:numId="4">
    <w:abstractNumId w:val="27"/>
  </w:num>
  <w:num w:numId="5">
    <w:abstractNumId w:val="3"/>
  </w:num>
  <w:num w:numId="6">
    <w:abstractNumId w:val="23"/>
  </w:num>
  <w:num w:numId="7">
    <w:abstractNumId w:val="6"/>
  </w:num>
  <w:num w:numId="8">
    <w:abstractNumId w:val="39"/>
  </w:num>
  <w:num w:numId="9">
    <w:abstractNumId w:val="1"/>
  </w:num>
  <w:num w:numId="10">
    <w:abstractNumId w:val="37"/>
  </w:num>
  <w:num w:numId="11">
    <w:abstractNumId w:val="36"/>
  </w:num>
  <w:num w:numId="12">
    <w:abstractNumId w:val="8"/>
  </w:num>
  <w:num w:numId="13">
    <w:abstractNumId w:val="26"/>
  </w:num>
  <w:num w:numId="14">
    <w:abstractNumId w:val="4"/>
  </w:num>
  <w:num w:numId="15">
    <w:abstractNumId w:val="10"/>
  </w:num>
  <w:num w:numId="16">
    <w:abstractNumId w:val="14"/>
  </w:num>
  <w:num w:numId="17">
    <w:abstractNumId w:val="19"/>
  </w:num>
  <w:num w:numId="18">
    <w:abstractNumId w:val="13"/>
  </w:num>
  <w:num w:numId="19">
    <w:abstractNumId w:val="33"/>
  </w:num>
  <w:num w:numId="20">
    <w:abstractNumId w:val="29"/>
  </w:num>
  <w:num w:numId="21">
    <w:abstractNumId w:val="17"/>
  </w:num>
  <w:num w:numId="22">
    <w:abstractNumId w:val="5"/>
  </w:num>
  <w:num w:numId="23">
    <w:abstractNumId w:val="7"/>
  </w:num>
  <w:num w:numId="24">
    <w:abstractNumId w:val="34"/>
  </w:num>
  <w:num w:numId="25">
    <w:abstractNumId w:val="28"/>
  </w:num>
  <w:num w:numId="26">
    <w:abstractNumId w:val="32"/>
  </w:num>
  <w:num w:numId="27">
    <w:abstractNumId w:val="11"/>
  </w:num>
  <w:num w:numId="28">
    <w:abstractNumId w:val="31"/>
  </w:num>
  <w:num w:numId="29">
    <w:abstractNumId w:val="22"/>
  </w:num>
  <w:num w:numId="30">
    <w:abstractNumId w:val="38"/>
  </w:num>
  <w:num w:numId="31">
    <w:abstractNumId w:val="12"/>
  </w:num>
  <w:num w:numId="32">
    <w:abstractNumId w:val="15"/>
  </w:num>
  <w:num w:numId="33">
    <w:abstractNumId w:val="0"/>
  </w:num>
  <w:num w:numId="34">
    <w:abstractNumId w:val="24"/>
  </w:num>
  <w:num w:numId="35">
    <w:abstractNumId w:val="9"/>
  </w:num>
  <w:num w:numId="36">
    <w:abstractNumId w:val="30"/>
  </w:num>
  <w:num w:numId="37">
    <w:abstractNumId w:val="25"/>
  </w:num>
  <w:num w:numId="38">
    <w:abstractNumId w:val="18"/>
  </w:num>
  <w:num w:numId="39">
    <w:abstractNumId w:val="21"/>
  </w:num>
  <w:num w:numId="40">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C3"/>
    <w:rsid w:val="000457CE"/>
    <w:rsid w:val="00090C75"/>
    <w:rsid w:val="00370E1E"/>
    <w:rsid w:val="00384C38"/>
    <w:rsid w:val="0049140E"/>
    <w:rsid w:val="00636940"/>
    <w:rsid w:val="006779A5"/>
    <w:rsid w:val="007E6BC3"/>
    <w:rsid w:val="00A25B6A"/>
    <w:rsid w:val="00AE76D3"/>
    <w:rsid w:val="00B34A05"/>
    <w:rsid w:val="00B36192"/>
    <w:rsid w:val="00B41E15"/>
    <w:rsid w:val="00DC143B"/>
    <w:rsid w:val="00E801C6"/>
    <w:rsid w:val="00EA6155"/>
    <w:rsid w:val="00EC18F3"/>
    <w:rsid w:val="00F530DA"/>
    <w:rsid w:val="00FB15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9A45"/>
  <w15:chartTrackingRefBased/>
  <w15:docId w15:val="{48FAE9B7-C33A-4032-B0E3-1E569D1E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70E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1"/>
    <w:next w:val="a"/>
    <w:link w:val="20"/>
    <w:uiPriority w:val="9"/>
    <w:unhideWhenUsed/>
    <w:qFormat/>
    <w:rsid w:val="00E801C6"/>
    <w:pPr>
      <w:keepNext/>
      <w:keepLines/>
      <w:spacing w:before="40" w:after="0"/>
      <w:outlineLvl w:val="1"/>
    </w:pPr>
    <w:rPr>
      <w:rFonts w:ascii="Calibri Light" w:hAnsi="Calibri Light"/>
      <w:b w:val="0"/>
      <w:color w:val="2F5496"/>
      <w:sz w:val="28"/>
      <w:szCs w:val="26"/>
    </w:rPr>
  </w:style>
  <w:style w:type="paragraph" w:styleId="3">
    <w:name w:val="heading 3"/>
    <w:basedOn w:val="a"/>
    <w:next w:val="a"/>
    <w:link w:val="30"/>
    <w:uiPriority w:val="9"/>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paragraph" w:styleId="4">
    <w:name w:val="heading 4"/>
    <w:basedOn w:val="a"/>
    <w:next w:val="a"/>
    <w:link w:val="40"/>
    <w:uiPriority w:val="9"/>
    <w:semiHidden/>
    <w:unhideWhenUsed/>
    <w:qFormat/>
    <w:rsid w:val="00384C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0E1E"/>
    <w:rPr>
      <w:rFonts w:ascii="Times New Roman" w:eastAsia="Times New Roman" w:hAnsi="Times New Roman" w:cs="Times New Roman"/>
      <w:b/>
      <w:bCs/>
      <w:kern w:val="36"/>
      <w:sz w:val="48"/>
      <w:szCs w:val="48"/>
    </w:rPr>
  </w:style>
  <w:style w:type="paragraph" w:customStyle="1" w:styleId="21">
    <w:name w:val="Заголовок 21"/>
    <w:basedOn w:val="a"/>
    <w:next w:val="a"/>
    <w:uiPriority w:val="9"/>
    <w:semiHidden/>
    <w:unhideWhenUsed/>
    <w:qFormat/>
    <w:rsid w:val="00370E1E"/>
    <w:pPr>
      <w:keepNext/>
      <w:keepLines/>
      <w:spacing w:before="40" w:after="0"/>
      <w:outlineLvl w:val="1"/>
    </w:pPr>
    <w:rPr>
      <w:rFonts w:ascii="Calibri Light" w:eastAsia="Times New Roman" w:hAnsi="Calibri Light" w:cs="Times New Roman"/>
      <w:color w:val="2F5496"/>
      <w:sz w:val="26"/>
      <w:szCs w:val="26"/>
    </w:rPr>
  </w:style>
  <w:style w:type="paragraph" w:customStyle="1" w:styleId="31">
    <w:name w:val="Заголовок 31"/>
    <w:basedOn w:val="a"/>
    <w:next w:val="a"/>
    <w:uiPriority w:val="9"/>
    <w:semiHidden/>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numbering" w:customStyle="1" w:styleId="11">
    <w:name w:val="Нет списка1"/>
    <w:next w:val="a2"/>
    <w:uiPriority w:val="99"/>
    <w:semiHidden/>
    <w:unhideWhenUsed/>
    <w:rsid w:val="00370E1E"/>
  </w:style>
  <w:style w:type="character" w:customStyle="1" w:styleId="20">
    <w:name w:val="Заголовок 2 Знак"/>
    <w:basedOn w:val="a0"/>
    <w:link w:val="2"/>
    <w:uiPriority w:val="9"/>
    <w:rsid w:val="00E801C6"/>
    <w:rPr>
      <w:rFonts w:ascii="Calibri Light" w:eastAsia="Times New Roman" w:hAnsi="Calibri Light" w:cs="Times New Roman"/>
      <w:bCs/>
      <w:color w:val="2F5496"/>
      <w:kern w:val="36"/>
      <w:sz w:val="28"/>
      <w:szCs w:val="26"/>
    </w:rPr>
  </w:style>
  <w:style w:type="character" w:customStyle="1" w:styleId="30">
    <w:name w:val="Заголовок 3 Знак"/>
    <w:basedOn w:val="a0"/>
    <w:link w:val="3"/>
    <w:uiPriority w:val="9"/>
    <w:rsid w:val="00370E1E"/>
    <w:rPr>
      <w:rFonts w:ascii="Calibri Light" w:eastAsia="Times New Roman" w:hAnsi="Calibri Light" w:cs="Times New Roman"/>
      <w:color w:val="1F3763"/>
      <w:sz w:val="24"/>
      <w:szCs w:val="24"/>
    </w:rPr>
  </w:style>
  <w:style w:type="paragraph" w:styleId="a3">
    <w:name w:val="Normal (Web)"/>
    <w:basedOn w:val="a"/>
    <w:uiPriority w:val="99"/>
    <w:semiHidden/>
    <w:unhideWhenUsed/>
    <w:rsid w:val="00370E1E"/>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70E1E"/>
    <w:rPr>
      <w:b/>
      <w:bCs/>
    </w:rPr>
  </w:style>
  <w:style w:type="character" w:styleId="a5">
    <w:name w:val="Emphasis"/>
    <w:basedOn w:val="a0"/>
    <w:uiPriority w:val="20"/>
    <w:qFormat/>
    <w:rsid w:val="00370E1E"/>
    <w:rPr>
      <w:i/>
      <w:iCs/>
    </w:rPr>
  </w:style>
  <w:style w:type="paragraph" w:customStyle="1" w:styleId="12">
    <w:name w:val="Без интервала1"/>
    <w:next w:val="a6"/>
    <w:uiPriority w:val="1"/>
    <w:qFormat/>
    <w:rsid w:val="00370E1E"/>
    <w:pPr>
      <w:spacing w:after="0" w:line="240" w:lineRule="auto"/>
    </w:pPr>
  </w:style>
  <w:style w:type="character" w:customStyle="1" w:styleId="whitespace-normal">
    <w:name w:val="whitespace-normal"/>
    <w:basedOn w:val="a0"/>
    <w:rsid w:val="00370E1E"/>
  </w:style>
  <w:style w:type="character" w:styleId="a7">
    <w:name w:val="Hyperlink"/>
    <w:basedOn w:val="a0"/>
    <w:uiPriority w:val="99"/>
    <w:semiHidden/>
    <w:unhideWhenUsed/>
    <w:rsid w:val="00370E1E"/>
    <w:rPr>
      <w:color w:val="0000FF"/>
      <w:u w:val="single"/>
    </w:rPr>
  </w:style>
  <w:style w:type="character" w:customStyle="1" w:styleId="13">
    <w:name w:val="Просмотренная гиперссылка1"/>
    <w:basedOn w:val="a0"/>
    <w:uiPriority w:val="99"/>
    <w:semiHidden/>
    <w:unhideWhenUsed/>
    <w:rsid w:val="00370E1E"/>
    <w:rPr>
      <w:color w:val="954F72"/>
      <w:u w:val="single"/>
    </w:rPr>
  </w:style>
  <w:style w:type="character" w:customStyle="1" w:styleId="210">
    <w:name w:val="Заголовок 2 Знак1"/>
    <w:basedOn w:val="a0"/>
    <w:uiPriority w:val="9"/>
    <w:semiHidden/>
    <w:rsid w:val="00370E1E"/>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a0"/>
    <w:uiPriority w:val="9"/>
    <w:semiHidden/>
    <w:rsid w:val="00370E1E"/>
    <w:rPr>
      <w:rFonts w:asciiTheme="majorHAnsi" w:eastAsiaTheme="majorEastAsia" w:hAnsiTheme="majorHAnsi" w:cstheme="majorBidi"/>
      <w:color w:val="1F3763" w:themeColor="accent1" w:themeShade="7F"/>
      <w:sz w:val="24"/>
      <w:szCs w:val="24"/>
    </w:rPr>
  </w:style>
  <w:style w:type="paragraph" w:styleId="a6">
    <w:name w:val="No Spacing"/>
    <w:uiPriority w:val="1"/>
    <w:qFormat/>
    <w:rsid w:val="00370E1E"/>
    <w:pPr>
      <w:spacing w:after="0" w:line="240" w:lineRule="auto"/>
    </w:pPr>
  </w:style>
  <w:style w:type="character" w:styleId="a8">
    <w:name w:val="FollowedHyperlink"/>
    <w:basedOn w:val="a0"/>
    <w:uiPriority w:val="99"/>
    <w:semiHidden/>
    <w:unhideWhenUsed/>
    <w:rsid w:val="00370E1E"/>
    <w:rPr>
      <w:color w:val="954F72" w:themeColor="followedHyperlink"/>
      <w:u w:val="single"/>
    </w:rPr>
  </w:style>
  <w:style w:type="character" w:customStyle="1" w:styleId="40">
    <w:name w:val="Заголовок 4 Знак"/>
    <w:basedOn w:val="a0"/>
    <w:link w:val="4"/>
    <w:uiPriority w:val="9"/>
    <w:semiHidden/>
    <w:rsid w:val="00384C38"/>
    <w:rPr>
      <w:rFonts w:asciiTheme="majorHAnsi" w:eastAsiaTheme="majorEastAsia" w:hAnsiTheme="majorHAnsi" w:cstheme="majorBidi"/>
      <w:i/>
      <w:iCs/>
      <w:color w:val="2F5496" w:themeColor="accent1" w:themeShade="BF"/>
    </w:rPr>
  </w:style>
  <w:style w:type="paragraph" w:styleId="a9">
    <w:name w:val="List Paragraph"/>
    <w:basedOn w:val="a"/>
    <w:uiPriority w:val="34"/>
    <w:qFormat/>
    <w:rsid w:val="00636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70438">
      <w:bodyDiv w:val="1"/>
      <w:marLeft w:val="0"/>
      <w:marRight w:val="0"/>
      <w:marTop w:val="0"/>
      <w:marBottom w:val="0"/>
      <w:divBdr>
        <w:top w:val="none" w:sz="0" w:space="0" w:color="auto"/>
        <w:left w:val="none" w:sz="0" w:space="0" w:color="auto"/>
        <w:bottom w:val="none" w:sz="0" w:space="0" w:color="auto"/>
        <w:right w:val="none" w:sz="0" w:space="0" w:color="auto"/>
      </w:divBdr>
      <w:divsChild>
        <w:div w:id="464809488">
          <w:marLeft w:val="0"/>
          <w:marRight w:val="0"/>
          <w:marTop w:val="0"/>
          <w:marBottom w:val="0"/>
          <w:divBdr>
            <w:top w:val="none" w:sz="0" w:space="0" w:color="auto"/>
            <w:left w:val="none" w:sz="0" w:space="0" w:color="auto"/>
            <w:bottom w:val="none" w:sz="0" w:space="0" w:color="auto"/>
            <w:right w:val="none" w:sz="0" w:space="0" w:color="auto"/>
          </w:divBdr>
          <w:divsChild>
            <w:div w:id="17515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79785">
      <w:bodyDiv w:val="1"/>
      <w:marLeft w:val="0"/>
      <w:marRight w:val="0"/>
      <w:marTop w:val="0"/>
      <w:marBottom w:val="0"/>
      <w:divBdr>
        <w:top w:val="none" w:sz="0" w:space="0" w:color="auto"/>
        <w:left w:val="none" w:sz="0" w:space="0" w:color="auto"/>
        <w:bottom w:val="none" w:sz="0" w:space="0" w:color="auto"/>
        <w:right w:val="none" w:sz="0" w:space="0" w:color="auto"/>
      </w:divBdr>
      <w:divsChild>
        <w:div w:id="1733504107">
          <w:marLeft w:val="0"/>
          <w:marRight w:val="0"/>
          <w:marTop w:val="0"/>
          <w:marBottom w:val="0"/>
          <w:divBdr>
            <w:top w:val="none" w:sz="0" w:space="0" w:color="auto"/>
            <w:left w:val="none" w:sz="0" w:space="0" w:color="auto"/>
            <w:bottom w:val="none" w:sz="0" w:space="0" w:color="auto"/>
            <w:right w:val="none" w:sz="0" w:space="0" w:color="auto"/>
          </w:divBdr>
          <w:divsChild>
            <w:div w:id="122926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8066">
      <w:bodyDiv w:val="1"/>
      <w:marLeft w:val="0"/>
      <w:marRight w:val="0"/>
      <w:marTop w:val="0"/>
      <w:marBottom w:val="0"/>
      <w:divBdr>
        <w:top w:val="none" w:sz="0" w:space="0" w:color="auto"/>
        <w:left w:val="none" w:sz="0" w:space="0" w:color="auto"/>
        <w:bottom w:val="none" w:sz="0" w:space="0" w:color="auto"/>
        <w:right w:val="none" w:sz="0" w:space="0" w:color="auto"/>
      </w:divBdr>
      <w:divsChild>
        <w:div w:id="1408723102">
          <w:marLeft w:val="0"/>
          <w:marRight w:val="0"/>
          <w:marTop w:val="0"/>
          <w:marBottom w:val="0"/>
          <w:divBdr>
            <w:top w:val="none" w:sz="0" w:space="0" w:color="auto"/>
            <w:left w:val="none" w:sz="0" w:space="0" w:color="auto"/>
            <w:bottom w:val="none" w:sz="0" w:space="0" w:color="auto"/>
            <w:right w:val="none" w:sz="0" w:space="0" w:color="auto"/>
          </w:divBdr>
          <w:divsChild>
            <w:div w:id="10388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4336">
      <w:bodyDiv w:val="1"/>
      <w:marLeft w:val="0"/>
      <w:marRight w:val="0"/>
      <w:marTop w:val="0"/>
      <w:marBottom w:val="0"/>
      <w:divBdr>
        <w:top w:val="none" w:sz="0" w:space="0" w:color="auto"/>
        <w:left w:val="none" w:sz="0" w:space="0" w:color="auto"/>
        <w:bottom w:val="none" w:sz="0" w:space="0" w:color="auto"/>
        <w:right w:val="none" w:sz="0" w:space="0" w:color="auto"/>
      </w:divBdr>
      <w:divsChild>
        <w:div w:id="975070055">
          <w:marLeft w:val="0"/>
          <w:marRight w:val="0"/>
          <w:marTop w:val="0"/>
          <w:marBottom w:val="0"/>
          <w:divBdr>
            <w:top w:val="none" w:sz="0" w:space="0" w:color="auto"/>
            <w:left w:val="none" w:sz="0" w:space="0" w:color="auto"/>
            <w:bottom w:val="none" w:sz="0" w:space="0" w:color="auto"/>
            <w:right w:val="none" w:sz="0" w:space="0" w:color="auto"/>
          </w:divBdr>
          <w:divsChild>
            <w:div w:id="4651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9889">
      <w:bodyDiv w:val="1"/>
      <w:marLeft w:val="0"/>
      <w:marRight w:val="0"/>
      <w:marTop w:val="0"/>
      <w:marBottom w:val="0"/>
      <w:divBdr>
        <w:top w:val="none" w:sz="0" w:space="0" w:color="auto"/>
        <w:left w:val="none" w:sz="0" w:space="0" w:color="auto"/>
        <w:bottom w:val="none" w:sz="0" w:space="0" w:color="auto"/>
        <w:right w:val="none" w:sz="0" w:space="0" w:color="auto"/>
      </w:divBdr>
      <w:divsChild>
        <w:div w:id="2017344107">
          <w:marLeft w:val="0"/>
          <w:marRight w:val="0"/>
          <w:marTop w:val="0"/>
          <w:marBottom w:val="0"/>
          <w:divBdr>
            <w:top w:val="none" w:sz="0" w:space="0" w:color="auto"/>
            <w:left w:val="none" w:sz="0" w:space="0" w:color="auto"/>
            <w:bottom w:val="none" w:sz="0" w:space="0" w:color="auto"/>
            <w:right w:val="none" w:sz="0" w:space="0" w:color="auto"/>
          </w:divBdr>
          <w:divsChild>
            <w:div w:id="18588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1327">
      <w:bodyDiv w:val="1"/>
      <w:marLeft w:val="0"/>
      <w:marRight w:val="0"/>
      <w:marTop w:val="0"/>
      <w:marBottom w:val="0"/>
      <w:divBdr>
        <w:top w:val="none" w:sz="0" w:space="0" w:color="auto"/>
        <w:left w:val="none" w:sz="0" w:space="0" w:color="auto"/>
        <w:bottom w:val="none" w:sz="0" w:space="0" w:color="auto"/>
        <w:right w:val="none" w:sz="0" w:space="0" w:color="auto"/>
      </w:divBdr>
      <w:divsChild>
        <w:div w:id="1425805091">
          <w:marLeft w:val="0"/>
          <w:marRight w:val="0"/>
          <w:marTop w:val="0"/>
          <w:marBottom w:val="0"/>
          <w:divBdr>
            <w:top w:val="none" w:sz="0" w:space="0" w:color="auto"/>
            <w:left w:val="none" w:sz="0" w:space="0" w:color="auto"/>
            <w:bottom w:val="none" w:sz="0" w:space="0" w:color="auto"/>
            <w:right w:val="none" w:sz="0" w:space="0" w:color="auto"/>
          </w:divBdr>
          <w:divsChild>
            <w:div w:id="1338654850">
              <w:marLeft w:val="0"/>
              <w:marRight w:val="0"/>
              <w:marTop w:val="0"/>
              <w:marBottom w:val="0"/>
              <w:divBdr>
                <w:top w:val="none" w:sz="0" w:space="0" w:color="auto"/>
                <w:left w:val="none" w:sz="0" w:space="0" w:color="auto"/>
                <w:bottom w:val="none" w:sz="0" w:space="0" w:color="auto"/>
                <w:right w:val="none" w:sz="0" w:space="0" w:color="auto"/>
              </w:divBdr>
              <w:divsChild>
                <w:div w:id="1596279008">
                  <w:marLeft w:val="0"/>
                  <w:marRight w:val="0"/>
                  <w:marTop w:val="0"/>
                  <w:marBottom w:val="0"/>
                  <w:divBdr>
                    <w:top w:val="none" w:sz="0" w:space="0" w:color="auto"/>
                    <w:left w:val="none" w:sz="0" w:space="0" w:color="auto"/>
                    <w:bottom w:val="none" w:sz="0" w:space="0" w:color="auto"/>
                    <w:right w:val="none" w:sz="0" w:space="0" w:color="auto"/>
                  </w:divBdr>
                  <w:divsChild>
                    <w:div w:id="875898258">
                      <w:marLeft w:val="0"/>
                      <w:marRight w:val="0"/>
                      <w:marTop w:val="0"/>
                      <w:marBottom w:val="0"/>
                      <w:divBdr>
                        <w:top w:val="none" w:sz="0" w:space="0" w:color="auto"/>
                        <w:left w:val="none" w:sz="0" w:space="0" w:color="auto"/>
                        <w:bottom w:val="none" w:sz="0" w:space="0" w:color="auto"/>
                        <w:right w:val="none" w:sz="0" w:space="0" w:color="auto"/>
                      </w:divBdr>
                      <w:divsChild>
                        <w:div w:id="1307591299">
                          <w:marLeft w:val="0"/>
                          <w:marRight w:val="0"/>
                          <w:marTop w:val="0"/>
                          <w:marBottom w:val="0"/>
                          <w:divBdr>
                            <w:top w:val="none" w:sz="0" w:space="0" w:color="auto"/>
                            <w:left w:val="none" w:sz="0" w:space="0" w:color="auto"/>
                            <w:bottom w:val="none" w:sz="0" w:space="0" w:color="auto"/>
                            <w:right w:val="none" w:sz="0" w:space="0" w:color="auto"/>
                          </w:divBdr>
                          <w:divsChild>
                            <w:div w:id="573197119">
                              <w:marLeft w:val="0"/>
                              <w:marRight w:val="0"/>
                              <w:marTop w:val="0"/>
                              <w:marBottom w:val="0"/>
                              <w:divBdr>
                                <w:top w:val="none" w:sz="0" w:space="0" w:color="auto"/>
                                <w:left w:val="none" w:sz="0" w:space="0" w:color="auto"/>
                                <w:bottom w:val="none" w:sz="0" w:space="0" w:color="auto"/>
                                <w:right w:val="none" w:sz="0" w:space="0" w:color="auto"/>
                              </w:divBdr>
                              <w:divsChild>
                                <w:div w:id="821851739">
                                  <w:marLeft w:val="0"/>
                                  <w:marRight w:val="0"/>
                                  <w:marTop w:val="0"/>
                                  <w:marBottom w:val="0"/>
                                  <w:divBdr>
                                    <w:top w:val="none" w:sz="0" w:space="0" w:color="auto"/>
                                    <w:left w:val="none" w:sz="0" w:space="0" w:color="auto"/>
                                    <w:bottom w:val="none" w:sz="0" w:space="0" w:color="auto"/>
                                    <w:right w:val="none" w:sz="0" w:space="0" w:color="auto"/>
                                  </w:divBdr>
                                  <w:divsChild>
                                    <w:div w:id="1232156010">
                                      <w:marLeft w:val="0"/>
                                      <w:marRight w:val="0"/>
                                      <w:marTop w:val="0"/>
                                      <w:marBottom w:val="0"/>
                                      <w:divBdr>
                                        <w:top w:val="none" w:sz="0" w:space="0" w:color="auto"/>
                                        <w:left w:val="none" w:sz="0" w:space="0" w:color="auto"/>
                                        <w:bottom w:val="none" w:sz="0" w:space="0" w:color="auto"/>
                                        <w:right w:val="none" w:sz="0" w:space="0" w:color="auto"/>
                                      </w:divBdr>
                                      <w:divsChild>
                                        <w:div w:id="474033358">
                                          <w:marLeft w:val="0"/>
                                          <w:marRight w:val="0"/>
                                          <w:marTop w:val="0"/>
                                          <w:marBottom w:val="0"/>
                                          <w:divBdr>
                                            <w:top w:val="none" w:sz="0" w:space="0" w:color="auto"/>
                                            <w:left w:val="none" w:sz="0" w:space="0" w:color="auto"/>
                                            <w:bottom w:val="none" w:sz="0" w:space="0" w:color="auto"/>
                                            <w:right w:val="none" w:sz="0" w:space="0" w:color="auto"/>
                                          </w:divBdr>
                                          <w:divsChild>
                                            <w:div w:id="1448816894">
                                              <w:marLeft w:val="0"/>
                                              <w:marRight w:val="0"/>
                                              <w:marTop w:val="0"/>
                                              <w:marBottom w:val="0"/>
                                              <w:divBdr>
                                                <w:top w:val="none" w:sz="0" w:space="0" w:color="auto"/>
                                                <w:left w:val="none" w:sz="0" w:space="0" w:color="auto"/>
                                                <w:bottom w:val="none" w:sz="0" w:space="0" w:color="auto"/>
                                                <w:right w:val="none" w:sz="0" w:space="0" w:color="auto"/>
                                              </w:divBdr>
                                            </w:div>
                                          </w:divsChild>
                                        </w:div>
                                        <w:div w:id="142159383">
                                          <w:marLeft w:val="0"/>
                                          <w:marRight w:val="0"/>
                                          <w:marTop w:val="0"/>
                                          <w:marBottom w:val="0"/>
                                          <w:divBdr>
                                            <w:top w:val="none" w:sz="0" w:space="0" w:color="auto"/>
                                            <w:left w:val="none" w:sz="0" w:space="0" w:color="auto"/>
                                            <w:bottom w:val="none" w:sz="0" w:space="0" w:color="auto"/>
                                            <w:right w:val="none" w:sz="0" w:space="0" w:color="auto"/>
                                          </w:divBdr>
                                          <w:divsChild>
                                            <w:div w:id="10971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6059459">
      <w:bodyDiv w:val="1"/>
      <w:marLeft w:val="0"/>
      <w:marRight w:val="0"/>
      <w:marTop w:val="0"/>
      <w:marBottom w:val="0"/>
      <w:divBdr>
        <w:top w:val="none" w:sz="0" w:space="0" w:color="auto"/>
        <w:left w:val="none" w:sz="0" w:space="0" w:color="auto"/>
        <w:bottom w:val="none" w:sz="0" w:space="0" w:color="auto"/>
        <w:right w:val="none" w:sz="0" w:space="0" w:color="auto"/>
      </w:divBdr>
      <w:divsChild>
        <w:div w:id="1720784092">
          <w:marLeft w:val="0"/>
          <w:marRight w:val="0"/>
          <w:marTop w:val="0"/>
          <w:marBottom w:val="0"/>
          <w:divBdr>
            <w:top w:val="none" w:sz="0" w:space="0" w:color="auto"/>
            <w:left w:val="none" w:sz="0" w:space="0" w:color="auto"/>
            <w:bottom w:val="none" w:sz="0" w:space="0" w:color="auto"/>
            <w:right w:val="none" w:sz="0" w:space="0" w:color="auto"/>
          </w:divBdr>
          <w:divsChild>
            <w:div w:id="1014914664">
              <w:marLeft w:val="0"/>
              <w:marRight w:val="0"/>
              <w:marTop w:val="0"/>
              <w:marBottom w:val="0"/>
              <w:divBdr>
                <w:top w:val="none" w:sz="0" w:space="0" w:color="auto"/>
                <w:left w:val="none" w:sz="0" w:space="0" w:color="auto"/>
                <w:bottom w:val="none" w:sz="0" w:space="0" w:color="auto"/>
                <w:right w:val="none" w:sz="0" w:space="0" w:color="auto"/>
              </w:divBdr>
              <w:divsChild>
                <w:div w:id="258027495">
                  <w:marLeft w:val="0"/>
                  <w:marRight w:val="0"/>
                  <w:marTop w:val="0"/>
                  <w:marBottom w:val="0"/>
                  <w:divBdr>
                    <w:top w:val="none" w:sz="0" w:space="0" w:color="auto"/>
                    <w:left w:val="none" w:sz="0" w:space="0" w:color="auto"/>
                    <w:bottom w:val="none" w:sz="0" w:space="0" w:color="auto"/>
                    <w:right w:val="none" w:sz="0" w:space="0" w:color="auto"/>
                  </w:divBdr>
                  <w:divsChild>
                    <w:div w:id="1190220576">
                      <w:marLeft w:val="0"/>
                      <w:marRight w:val="0"/>
                      <w:marTop w:val="0"/>
                      <w:marBottom w:val="0"/>
                      <w:divBdr>
                        <w:top w:val="none" w:sz="0" w:space="0" w:color="auto"/>
                        <w:left w:val="none" w:sz="0" w:space="0" w:color="auto"/>
                        <w:bottom w:val="none" w:sz="0" w:space="0" w:color="auto"/>
                        <w:right w:val="none" w:sz="0" w:space="0" w:color="auto"/>
                      </w:divBdr>
                      <w:divsChild>
                        <w:div w:id="306664719">
                          <w:marLeft w:val="0"/>
                          <w:marRight w:val="0"/>
                          <w:marTop w:val="0"/>
                          <w:marBottom w:val="0"/>
                          <w:divBdr>
                            <w:top w:val="none" w:sz="0" w:space="0" w:color="auto"/>
                            <w:left w:val="none" w:sz="0" w:space="0" w:color="auto"/>
                            <w:bottom w:val="none" w:sz="0" w:space="0" w:color="auto"/>
                            <w:right w:val="none" w:sz="0" w:space="0" w:color="auto"/>
                          </w:divBdr>
                          <w:divsChild>
                            <w:div w:id="1746680793">
                              <w:marLeft w:val="0"/>
                              <w:marRight w:val="0"/>
                              <w:marTop w:val="0"/>
                              <w:marBottom w:val="0"/>
                              <w:divBdr>
                                <w:top w:val="none" w:sz="0" w:space="0" w:color="auto"/>
                                <w:left w:val="none" w:sz="0" w:space="0" w:color="auto"/>
                                <w:bottom w:val="none" w:sz="0" w:space="0" w:color="auto"/>
                                <w:right w:val="none" w:sz="0" w:space="0" w:color="auto"/>
                              </w:divBdr>
                              <w:divsChild>
                                <w:div w:id="1515657107">
                                  <w:marLeft w:val="0"/>
                                  <w:marRight w:val="0"/>
                                  <w:marTop w:val="0"/>
                                  <w:marBottom w:val="0"/>
                                  <w:divBdr>
                                    <w:top w:val="none" w:sz="0" w:space="0" w:color="auto"/>
                                    <w:left w:val="none" w:sz="0" w:space="0" w:color="auto"/>
                                    <w:bottom w:val="none" w:sz="0" w:space="0" w:color="auto"/>
                                    <w:right w:val="none" w:sz="0" w:space="0" w:color="auto"/>
                                  </w:divBdr>
                                  <w:divsChild>
                                    <w:div w:id="862089159">
                                      <w:marLeft w:val="0"/>
                                      <w:marRight w:val="0"/>
                                      <w:marTop w:val="0"/>
                                      <w:marBottom w:val="0"/>
                                      <w:divBdr>
                                        <w:top w:val="none" w:sz="0" w:space="0" w:color="auto"/>
                                        <w:left w:val="none" w:sz="0" w:space="0" w:color="auto"/>
                                        <w:bottom w:val="none" w:sz="0" w:space="0" w:color="auto"/>
                                        <w:right w:val="none" w:sz="0" w:space="0" w:color="auto"/>
                                      </w:divBdr>
                                      <w:divsChild>
                                        <w:div w:id="189338951">
                                          <w:marLeft w:val="0"/>
                                          <w:marRight w:val="0"/>
                                          <w:marTop w:val="0"/>
                                          <w:marBottom w:val="0"/>
                                          <w:divBdr>
                                            <w:top w:val="none" w:sz="0" w:space="0" w:color="auto"/>
                                            <w:left w:val="none" w:sz="0" w:space="0" w:color="auto"/>
                                            <w:bottom w:val="none" w:sz="0" w:space="0" w:color="auto"/>
                                            <w:right w:val="none" w:sz="0" w:space="0" w:color="auto"/>
                                          </w:divBdr>
                                          <w:divsChild>
                                            <w:div w:id="129203970">
                                              <w:marLeft w:val="0"/>
                                              <w:marRight w:val="0"/>
                                              <w:marTop w:val="0"/>
                                              <w:marBottom w:val="0"/>
                                              <w:divBdr>
                                                <w:top w:val="none" w:sz="0" w:space="0" w:color="auto"/>
                                                <w:left w:val="none" w:sz="0" w:space="0" w:color="auto"/>
                                                <w:bottom w:val="none" w:sz="0" w:space="0" w:color="auto"/>
                                                <w:right w:val="none" w:sz="0" w:space="0" w:color="auto"/>
                                              </w:divBdr>
                                            </w:div>
                                          </w:divsChild>
                                        </w:div>
                                        <w:div w:id="1544170946">
                                          <w:marLeft w:val="0"/>
                                          <w:marRight w:val="0"/>
                                          <w:marTop w:val="0"/>
                                          <w:marBottom w:val="0"/>
                                          <w:divBdr>
                                            <w:top w:val="none" w:sz="0" w:space="0" w:color="auto"/>
                                            <w:left w:val="none" w:sz="0" w:space="0" w:color="auto"/>
                                            <w:bottom w:val="none" w:sz="0" w:space="0" w:color="auto"/>
                                            <w:right w:val="none" w:sz="0" w:space="0" w:color="auto"/>
                                          </w:divBdr>
                                          <w:divsChild>
                                            <w:div w:id="12991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7214351">
      <w:bodyDiv w:val="1"/>
      <w:marLeft w:val="0"/>
      <w:marRight w:val="0"/>
      <w:marTop w:val="0"/>
      <w:marBottom w:val="0"/>
      <w:divBdr>
        <w:top w:val="none" w:sz="0" w:space="0" w:color="auto"/>
        <w:left w:val="none" w:sz="0" w:space="0" w:color="auto"/>
        <w:bottom w:val="none" w:sz="0" w:space="0" w:color="auto"/>
        <w:right w:val="none" w:sz="0" w:space="0" w:color="auto"/>
      </w:divBdr>
      <w:divsChild>
        <w:div w:id="516817635">
          <w:marLeft w:val="0"/>
          <w:marRight w:val="0"/>
          <w:marTop w:val="0"/>
          <w:marBottom w:val="0"/>
          <w:divBdr>
            <w:top w:val="none" w:sz="0" w:space="0" w:color="auto"/>
            <w:left w:val="none" w:sz="0" w:space="0" w:color="auto"/>
            <w:bottom w:val="none" w:sz="0" w:space="0" w:color="auto"/>
            <w:right w:val="none" w:sz="0" w:space="0" w:color="auto"/>
          </w:divBdr>
          <w:divsChild>
            <w:div w:id="1957519981">
              <w:marLeft w:val="0"/>
              <w:marRight w:val="0"/>
              <w:marTop w:val="0"/>
              <w:marBottom w:val="0"/>
              <w:divBdr>
                <w:top w:val="none" w:sz="0" w:space="0" w:color="auto"/>
                <w:left w:val="none" w:sz="0" w:space="0" w:color="auto"/>
                <w:bottom w:val="none" w:sz="0" w:space="0" w:color="auto"/>
                <w:right w:val="none" w:sz="0" w:space="0" w:color="auto"/>
              </w:divBdr>
              <w:divsChild>
                <w:div w:id="165679962">
                  <w:marLeft w:val="0"/>
                  <w:marRight w:val="0"/>
                  <w:marTop w:val="0"/>
                  <w:marBottom w:val="0"/>
                  <w:divBdr>
                    <w:top w:val="none" w:sz="0" w:space="0" w:color="auto"/>
                    <w:left w:val="none" w:sz="0" w:space="0" w:color="auto"/>
                    <w:bottom w:val="none" w:sz="0" w:space="0" w:color="auto"/>
                    <w:right w:val="none" w:sz="0" w:space="0" w:color="auto"/>
                  </w:divBdr>
                  <w:divsChild>
                    <w:div w:id="1173764317">
                      <w:marLeft w:val="0"/>
                      <w:marRight w:val="0"/>
                      <w:marTop w:val="0"/>
                      <w:marBottom w:val="0"/>
                      <w:divBdr>
                        <w:top w:val="none" w:sz="0" w:space="0" w:color="auto"/>
                        <w:left w:val="none" w:sz="0" w:space="0" w:color="auto"/>
                        <w:bottom w:val="none" w:sz="0" w:space="0" w:color="auto"/>
                        <w:right w:val="none" w:sz="0" w:space="0" w:color="auto"/>
                      </w:divBdr>
                      <w:divsChild>
                        <w:div w:id="800614539">
                          <w:marLeft w:val="0"/>
                          <w:marRight w:val="0"/>
                          <w:marTop w:val="0"/>
                          <w:marBottom w:val="0"/>
                          <w:divBdr>
                            <w:top w:val="none" w:sz="0" w:space="0" w:color="auto"/>
                            <w:left w:val="none" w:sz="0" w:space="0" w:color="auto"/>
                            <w:bottom w:val="none" w:sz="0" w:space="0" w:color="auto"/>
                            <w:right w:val="none" w:sz="0" w:space="0" w:color="auto"/>
                          </w:divBdr>
                          <w:divsChild>
                            <w:div w:id="1827091544">
                              <w:marLeft w:val="0"/>
                              <w:marRight w:val="0"/>
                              <w:marTop w:val="0"/>
                              <w:marBottom w:val="0"/>
                              <w:divBdr>
                                <w:top w:val="none" w:sz="0" w:space="0" w:color="auto"/>
                                <w:left w:val="none" w:sz="0" w:space="0" w:color="auto"/>
                                <w:bottom w:val="none" w:sz="0" w:space="0" w:color="auto"/>
                                <w:right w:val="none" w:sz="0" w:space="0" w:color="auto"/>
                              </w:divBdr>
                              <w:divsChild>
                                <w:div w:id="1361206508">
                                  <w:marLeft w:val="0"/>
                                  <w:marRight w:val="0"/>
                                  <w:marTop w:val="0"/>
                                  <w:marBottom w:val="0"/>
                                  <w:divBdr>
                                    <w:top w:val="none" w:sz="0" w:space="0" w:color="auto"/>
                                    <w:left w:val="none" w:sz="0" w:space="0" w:color="auto"/>
                                    <w:bottom w:val="none" w:sz="0" w:space="0" w:color="auto"/>
                                    <w:right w:val="none" w:sz="0" w:space="0" w:color="auto"/>
                                  </w:divBdr>
                                  <w:divsChild>
                                    <w:div w:id="1131367685">
                                      <w:marLeft w:val="0"/>
                                      <w:marRight w:val="0"/>
                                      <w:marTop w:val="0"/>
                                      <w:marBottom w:val="0"/>
                                      <w:divBdr>
                                        <w:top w:val="none" w:sz="0" w:space="0" w:color="auto"/>
                                        <w:left w:val="none" w:sz="0" w:space="0" w:color="auto"/>
                                        <w:bottom w:val="none" w:sz="0" w:space="0" w:color="auto"/>
                                        <w:right w:val="none" w:sz="0" w:space="0" w:color="auto"/>
                                      </w:divBdr>
                                      <w:divsChild>
                                        <w:div w:id="1728381801">
                                          <w:marLeft w:val="0"/>
                                          <w:marRight w:val="0"/>
                                          <w:marTop w:val="0"/>
                                          <w:marBottom w:val="0"/>
                                          <w:divBdr>
                                            <w:top w:val="none" w:sz="0" w:space="0" w:color="auto"/>
                                            <w:left w:val="none" w:sz="0" w:space="0" w:color="auto"/>
                                            <w:bottom w:val="none" w:sz="0" w:space="0" w:color="auto"/>
                                            <w:right w:val="none" w:sz="0" w:space="0" w:color="auto"/>
                                          </w:divBdr>
                                          <w:divsChild>
                                            <w:div w:id="11412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5827989">
      <w:bodyDiv w:val="1"/>
      <w:marLeft w:val="0"/>
      <w:marRight w:val="0"/>
      <w:marTop w:val="0"/>
      <w:marBottom w:val="0"/>
      <w:divBdr>
        <w:top w:val="none" w:sz="0" w:space="0" w:color="auto"/>
        <w:left w:val="none" w:sz="0" w:space="0" w:color="auto"/>
        <w:bottom w:val="none" w:sz="0" w:space="0" w:color="auto"/>
        <w:right w:val="none" w:sz="0" w:space="0" w:color="auto"/>
      </w:divBdr>
      <w:divsChild>
        <w:div w:id="765346826">
          <w:marLeft w:val="0"/>
          <w:marRight w:val="0"/>
          <w:marTop w:val="0"/>
          <w:marBottom w:val="0"/>
          <w:divBdr>
            <w:top w:val="none" w:sz="0" w:space="0" w:color="auto"/>
            <w:left w:val="none" w:sz="0" w:space="0" w:color="auto"/>
            <w:bottom w:val="none" w:sz="0" w:space="0" w:color="auto"/>
            <w:right w:val="none" w:sz="0" w:space="0" w:color="auto"/>
          </w:divBdr>
          <w:divsChild>
            <w:div w:id="4963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306">
      <w:bodyDiv w:val="1"/>
      <w:marLeft w:val="0"/>
      <w:marRight w:val="0"/>
      <w:marTop w:val="0"/>
      <w:marBottom w:val="0"/>
      <w:divBdr>
        <w:top w:val="none" w:sz="0" w:space="0" w:color="auto"/>
        <w:left w:val="none" w:sz="0" w:space="0" w:color="auto"/>
        <w:bottom w:val="none" w:sz="0" w:space="0" w:color="auto"/>
        <w:right w:val="none" w:sz="0" w:space="0" w:color="auto"/>
      </w:divBdr>
      <w:divsChild>
        <w:div w:id="1375957659">
          <w:marLeft w:val="0"/>
          <w:marRight w:val="0"/>
          <w:marTop w:val="0"/>
          <w:marBottom w:val="0"/>
          <w:divBdr>
            <w:top w:val="none" w:sz="0" w:space="0" w:color="auto"/>
            <w:left w:val="none" w:sz="0" w:space="0" w:color="auto"/>
            <w:bottom w:val="none" w:sz="0" w:space="0" w:color="auto"/>
            <w:right w:val="none" w:sz="0" w:space="0" w:color="auto"/>
          </w:divBdr>
          <w:divsChild>
            <w:div w:id="1150711815">
              <w:marLeft w:val="0"/>
              <w:marRight w:val="0"/>
              <w:marTop w:val="0"/>
              <w:marBottom w:val="0"/>
              <w:divBdr>
                <w:top w:val="none" w:sz="0" w:space="0" w:color="auto"/>
                <w:left w:val="none" w:sz="0" w:space="0" w:color="auto"/>
                <w:bottom w:val="none" w:sz="0" w:space="0" w:color="auto"/>
                <w:right w:val="none" w:sz="0" w:space="0" w:color="auto"/>
              </w:divBdr>
              <w:divsChild>
                <w:div w:id="76678560">
                  <w:marLeft w:val="0"/>
                  <w:marRight w:val="0"/>
                  <w:marTop w:val="0"/>
                  <w:marBottom w:val="0"/>
                  <w:divBdr>
                    <w:top w:val="none" w:sz="0" w:space="0" w:color="auto"/>
                    <w:left w:val="none" w:sz="0" w:space="0" w:color="auto"/>
                    <w:bottom w:val="none" w:sz="0" w:space="0" w:color="auto"/>
                    <w:right w:val="none" w:sz="0" w:space="0" w:color="auto"/>
                  </w:divBdr>
                  <w:divsChild>
                    <w:div w:id="485126746">
                      <w:marLeft w:val="0"/>
                      <w:marRight w:val="0"/>
                      <w:marTop w:val="0"/>
                      <w:marBottom w:val="0"/>
                      <w:divBdr>
                        <w:top w:val="none" w:sz="0" w:space="0" w:color="auto"/>
                        <w:left w:val="none" w:sz="0" w:space="0" w:color="auto"/>
                        <w:bottom w:val="none" w:sz="0" w:space="0" w:color="auto"/>
                        <w:right w:val="none" w:sz="0" w:space="0" w:color="auto"/>
                      </w:divBdr>
                      <w:divsChild>
                        <w:div w:id="620190717">
                          <w:marLeft w:val="0"/>
                          <w:marRight w:val="0"/>
                          <w:marTop w:val="0"/>
                          <w:marBottom w:val="0"/>
                          <w:divBdr>
                            <w:top w:val="none" w:sz="0" w:space="0" w:color="auto"/>
                            <w:left w:val="none" w:sz="0" w:space="0" w:color="auto"/>
                            <w:bottom w:val="none" w:sz="0" w:space="0" w:color="auto"/>
                            <w:right w:val="none" w:sz="0" w:space="0" w:color="auto"/>
                          </w:divBdr>
                          <w:divsChild>
                            <w:div w:id="2093119801">
                              <w:marLeft w:val="0"/>
                              <w:marRight w:val="0"/>
                              <w:marTop w:val="0"/>
                              <w:marBottom w:val="0"/>
                              <w:divBdr>
                                <w:top w:val="none" w:sz="0" w:space="0" w:color="auto"/>
                                <w:left w:val="none" w:sz="0" w:space="0" w:color="auto"/>
                                <w:bottom w:val="none" w:sz="0" w:space="0" w:color="auto"/>
                                <w:right w:val="none" w:sz="0" w:space="0" w:color="auto"/>
                              </w:divBdr>
                              <w:divsChild>
                                <w:div w:id="289898184">
                                  <w:marLeft w:val="0"/>
                                  <w:marRight w:val="0"/>
                                  <w:marTop w:val="0"/>
                                  <w:marBottom w:val="0"/>
                                  <w:divBdr>
                                    <w:top w:val="none" w:sz="0" w:space="0" w:color="auto"/>
                                    <w:left w:val="none" w:sz="0" w:space="0" w:color="auto"/>
                                    <w:bottom w:val="none" w:sz="0" w:space="0" w:color="auto"/>
                                    <w:right w:val="none" w:sz="0" w:space="0" w:color="auto"/>
                                  </w:divBdr>
                                  <w:divsChild>
                                    <w:div w:id="1531914757">
                                      <w:marLeft w:val="0"/>
                                      <w:marRight w:val="0"/>
                                      <w:marTop w:val="0"/>
                                      <w:marBottom w:val="0"/>
                                      <w:divBdr>
                                        <w:top w:val="none" w:sz="0" w:space="0" w:color="auto"/>
                                        <w:left w:val="none" w:sz="0" w:space="0" w:color="auto"/>
                                        <w:bottom w:val="none" w:sz="0" w:space="0" w:color="auto"/>
                                        <w:right w:val="none" w:sz="0" w:space="0" w:color="auto"/>
                                      </w:divBdr>
                                      <w:divsChild>
                                        <w:div w:id="1022824436">
                                          <w:marLeft w:val="0"/>
                                          <w:marRight w:val="0"/>
                                          <w:marTop w:val="0"/>
                                          <w:marBottom w:val="0"/>
                                          <w:divBdr>
                                            <w:top w:val="none" w:sz="0" w:space="0" w:color="auto"/>
                                            <w:left w:val="none" w:sz="0" w:space="0" w:color="auto"/>
                                            <w:bottom w:val="none" w:sz="0" w:space="0" w:color="auto"/>
                                            <w:right w:val="none" w:sz="0" w:space="0" w:color="auto"/>
                                          </w:divBdr>
                                          <w:divsChild>
                                            <w:div w:id="18866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2695788">
      <w:bodyDiv w:val="1"/>
      <w:marLeft w:val="0"/>
      <w:marRight w:val="0"/>
      <w:marTop w:val="0"/>
      <w:marBottom w:val="0"/>
      <w:divBdr>
        <w:top w:val="none" w:sz="0" w:space="0" w:color="auto"/>
        <w:left w:val="none" w:sz="0" w:space="0" w:color="auto"/>
        <w:bottom w:val="none" w:sz="0" w:space="0" w:color="auto"/>
        <w:right w:val="none" w:sz="0" w:space="0" w:color="auto"/>
      </w:divBdr>
      <w:divsChild>
        <w:div w:id="557518721">
          <w:marLeft w:val="0"/>
          <w:marRight w:val="0"/>
          <w:marTop w:val="0"/>
          <w:marBottom w:val="0"/>
          <w:divBdr>
            <w:top w:val="none" w:sz="0" w:space="0" w:color="auto"/>
            <w:left w:val="none" w:sz="0" w:space="0" w:color="auto"/>
            <w:bottom w:val="none" w:sz="0" w:space="0" w:color="auto"/>
            <w:right w:val="none" w:sz="0" w:space="0" w:color="auto"/>
          </w:divBdr>
          <w:divsChild>
            <w:div w:id="2128884233">
              <w:marLeft w:val="0"/>
              <w:marRight w:val="0"/>
              <w:marTop w:val="0"/>
              <w:marBottom w:val="0"/>
              <w:divBdr>
                <w:top w:val="none" w:sz="0" w:space="0" w:color="auto"/>
                <w:left w:val="none" w:sz="0" w:space="0" w:color="auto"/>
                <w:bottom w:val="none" w:sz="0" w:space="0" w:color="auto"/>
                <w:right w:val="none" w:sz="0" w:space="0" w:color="auto"/>
              </w:divBdr>
              <w:divsChild>
                <w:div w:id="1502816993">
                  <w:marLeft w:val="0"/>
                  <w:marRight w:val="0"/>
                  <w:marTop w:val="0"/>
                  <w:marBottom w:val="0"/>
                  <w:divBdr>
                    <w:top w:val="none" w:sz="0" w:space="0" w:color="auto"/>
                    <w:left w:val="none" w:sz="0" w:space="0" w:color="auto"/>
                    <w:bottom w:val="none" w:sz="0" w:space="0" w:color="auto"/>
                    <w:right w:val="none" w:sz="0" w:space="0" w:color="auto"/>
                  </w:divBdr>
                  <w:divsChild>
                    <w:div w:id="1733502961">
                      <w:marLeft w:val="0"/>
                      <w:marRight w:val="0"/>
                      <w:marTop w:val="0"/>
                      <w:marBottom w:val="0"/>
                      <w:divBdr>
                        <w:top w:val="none" w:sz="0" w:space="0" w:color="auto"/>
                        <w:left w:val="none" w:sz="0" w:space="0" w:color="auto"/>
                        <w:bottom w:val="none" w:sz="0" w:space="0" w:color="auto"/>
                        <w:right w:val="none" w:sz="0" w:space="0" w:color="auto"/>
                      </w:divBdr>
                      <w:divsChild>
                        <w:div w:id="1048921009">
                          <w:marLeft w:val="0"/>
                          <w:marRight w:val="0"/>
                          <w:marTop w:val="0"/>
                          <w:marBottom w:val="0"/>
                          <w:divBdr>
                            <w:top w:val="none" w:sz="0" w:space="0" w:color="auto"/>
                            <w:left w:val="none" w:sz="0" w:space="0" w:color="auto"/>
                            <w:bottom w:val="none" w:sz="0" w:space="0" w:color="auto"/>
                            <w:right w:val="none" w:sz="0" w:space="0" w:color="auto"/>
                          </w:divBdr>
                          <w:divsChild>
                            <w:div w:id="1793867585">
                              <w:marLeft w:val="0"/>
                              <w:marRight w:val="0"/>
                              <w:marTop w:val="0"/>
                              <w:marBottom w:val="0"/>
                              <w:divBdr>
                                <w:top w:val="none" w:sz="0" w:space="0" w:color="auto"/>
                                <w:left w:val="none" w:sz="0" w:space="0" w:color="auto"/>
                                <w:bottom w:val="none" w:sz="0" w:space="0" w:color="auto"/>
                                <w:right w:val="none" w:sz="0" w:space="0" w:color="auto"/>
                              </w:divBdr>
                              <w:divsChild>
                                <w:div w:id="1887907809">
                                  <w:marLeft w:val="0"/>
                                  <w:marRight w:val="0"/>
                                  <w:marTop w:val="0"/>
                                  <w:marBottom w:val="0"/>
                                  <w:divBdr>
                                    <w:top w:val="none" w:sz="0" w:space="0" w:color="auto"/>
                                    <w:left w:val="none" w:sz="0" w:space="0" w:color="auto"/>
                                    <w:bottom w:val="none" w:sz="0" w:space="0" w:color="auto"/>
                                    <w:right w:val="none" w:sz="0" w:space="0" w:color="auto"/>
                                  </w:divBdr>
                                  <w:divsChild>
                                    <w:div w:id="38552654">
                                      <w:marLeft w:val="0"/>
                                      <w:marRight w:val="0"/>
                                      <w:marTop w:val="0"/>
                                      <w:marBottom w:val="0"/>
                                      <w:divBdr>
                                        <w:top w:val="none" w:sz="0" w:space="0" w:color="auto"/>
                                        <w:left w:val="none" w:sz="0" w:space="0" w:color="auto"/>
                                        <w:bottom w:val="none" w:sz="0" w:space="0" w:color="auto"/>
                                        <w:right w:val="none" w:sz="0" w:space="0" w:color="auto"/>
                                      </w:divBdr>
                                      <w:divsChild>
                                        <w:div w:id="1270504968">
                                          <w:marLeft w:val="0"/>
                                          <w:marRight w:val="0"/>
                                          <w:marTop w:val="0"/>
                                          <w:marBottom w:val="0"/>
                                          <w:divBdr>
                                            <w:top w:val="none" w:sz="0" w:space="0" w:color="auto"/>
                                            <w:left w:val="none" w:sz="0" w:space="0" w:color="auto"/>
                                            <w:bottom w:val="none" w:sz="0" w:space="0" w:color="auto"/>
                                            <w:right w:val="none" w:sz="0" w:space="0" w:color="auto"/>
                                          </w:divBdr>
                                          <w:divsChild>
                                            <w:div w:id="16868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717608">
      <w:bodyDiv w:val="1"/>
      <w:marLeft w:val="0"/>
      <w:marRight w:val="0"/>
      <w:marTop w:val="0"/>
      <w:marBottom w:val="0"/>
      <w:divBdr>
        <w:top w:val="none" w:sz="0" w:space="0" w:color="auto"/>
        <w:left w:val="none" w:sz="0" w:space="0" w:color="auto"/>
        <w:bottom w:val="none" w:sz="0" w:space="0" w:color="auto"/>
        <w:right w:val="none" w:sz="0" w:space="0" w:color="auto"/>
      </w:divBdr>
      <w:divsChild>
        <w:div w:id="1451975462">
          <w:marLeft w:val="0"/>
          <w:marRight w:val="0"/>
          <w:marTop w:val="0"/>
          <w:marBottom w:val="0"/>
          <w:divBdr>
            <w:top w:val="none" w:sz="0" w:space="0" w:color="auto"/>
            <w:left w:val="none" w:sz="0" w:space="0" w:color="auto"/>
            <w:bottom w:val="none" w:sz="0" w:space="0" w:color="auto"/>
            <w:right w:val="none" w:sz="0" w:space="0" w:color="auto"/>
          </w:divBdr>
          <w:divsChild>
            <w:div w:id="686760461">
              <w:marLeft w:val="0"/>
              <w:marRight w:val="0"/>
              <w:marTop w:val="0"/>
              <w:marBottom w:val="0"/>
              <w:divBdr>
                <w:top w:val="none" w:sz="0" w:space="0" w:color="auto"/>
                <w:left w:val="none" w:sz="0" w:space="0" w:color="auto"/>
                <w:bottom w:val="none" w:sz="0" w:space="0" w:color="auto"/>
                <w:right w:val="none" w:sz="0" w:space="0" w:color="auto"/>
              </w:divBdr>
              <w:divsChild>
                <w:div w:id="1504781672">
                  <w:marLeft w:val="0"/>
                  <w:marRight w:val="0"/>
                  <w:marTop w:val="0"/>
                  <w:marBottom w:val="0"/>
                  <w:divBdr>
                    <w:top w:val="none" w:sz="0" w:space="0" w:color="auto"/>
                    <w:left w:val="none" w:sz="0" w:space="0" w:color="auto"/>
                    <w:bottom w:val="none" w:sz="0" w:space="0" w:color="auto"/>
                    <w:right w:val="none" w:sz="0" w:space="0" w:color="auto"/>
                  </w:divBdr>
                  <w:divsChild>
                    <w:div w:id="1470785012">
                      <w:marLeft w:val="0"/>
                      <w:marRight w:val="0"/>
                      <w:marTop w:val="0"/>
                      <w:marBottom w:val="0"/>
                      <w:divBdr>
                        <w:top w:val="none" w:sz="0" w:space="0" w:color="auto"/>
                        <w:left w:val="none" w:sz="0" w:space="0" w:color="auto"/>
                        <w:bottom w:val="none" w:sz="0" w:space="0" w:color="auto"/>
                        <w:right w:val="none" w:sz="0" w:space="0" w:color="auto"/>
                      </w:divBdr>
                      <w:divsChild>
                        <w:div w:id="1586917610">
                          <w:marLeft w:val="0"/>
                          <w:marRight w:val="0"/>
                          <w:marTop w:val="0"/>
                          <w:marBottom w:val="0"/>
                          <w:divBdr>
                            <w:top w:val="none" w:sz="0" w:space="0" w:color="auto"/>
                            <w:left w:val="none" w:sz="0" w:space="0" w:color="auto"/>
                            <w:bottom w:val="none" w:sz="0" w:space="0" w:color="auto"/>
                            <w:right w:val="none" w:sz="0" w:space="0" w:color="auto"/>
                          </w:divBdr>
                          <w:divsChild>
                            <w:div w:id="1803158527">
                              <w:marLeft w:val="0"/>
                              <w:marRight w:val="0"/>
                              <w:marTop w:val="0"/>
                              <w:marBottom w:val="0"/>
                              <w:divBdr>
                                <w:top w:val="none" w:sz="0" w:space="0" w:color="auto"/>
                                <w:left w:val="none" w:sz="0" w:space="0" w:color="auto"/>
                                <w:bottom w:val="none" w:sz="0" w:space="0" w:color="auto"/>
                                <w:right w:val="none" w:sz="0" w:space="0" w:color="auto"/>
                              </w:divBdr>
                              <w:divsChild>
                                <w:div w:id="1648165207">
                                  <w:marLeft w:val="0"/>
                                  <w:marRight w:val="0"/>
                                  <w:marTop w:val="0"/>
                                  <w:marBottom w:val="0"/>
                                  <w:divBdr>
                                    <w:top w:val="none" w:sz="0" w:space="0" w:color="auto"/>
                                    <w:left w:val="none" w:sz="0" w:space="0" w:color="auto"/>
                                    <w:bottom w:val="none" w:sz="0" w:space="0" w:color="auto"/>
                                    <w:right w:val="none" w:sz="0" w:space="0" w:color="auto"/>
                                  </w:divBdr>
                                  <w:divsChild>
                                    <w:div w:id="539434762">
                                      <w:marLeft w:val="0"/>
                                      <w:marRight w:val="0"/>
                                      <w:marTop w:val="0"/>
                                      <w:marBottom w:val="0"/>
                                      <w:divBdr>
                                        <w:top w:val="none" w:sz="0" w:space="0" w:color="auto"/>
                                        <w:left w:val="none" w:sz="0" w:space="0" w:color="auto"/>
                                        <w:bottom w:val="none" w:sz="0" w:space="0" w:color="auto"/>
                                        <w:right w:val="none" w:sz="0" w:space="0" w:color="auto"/>
                                      </w:divBdr>
                                      <w:divsChild>
                                        <w:div w:id="1744722414">
                                          <w:marLeft w:val="0"/>
                                          <w:marRight w:val="0"/>
                                          <w:marTop w:val="0"/>
                                          <w:marBottom w:val="0"/>
                                          <w:divBdr>
                                            <w:top w:val="none" w:sz="0" w:space="0" w:color="auto"/>
                                            <w:left w:val="none" w:sz="0" w:space="0" w:color="auto"/>
                                            <w:bottom w:val="none" w:sz="0" w:space="0" w:color="auto"/>
                                            <w:right w:val="none" w:sz="0" w:space="0" w:color="auto"/>
                                          </w:divBdr>
                                          <w:divsChild>
                                            <w:div w:id="2901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5285974">
      <w:bodyDiv w:val="1"/>
      <w:marLeft w:val="0"/>
      <w:marRight w:val="0"/>
      <w:marTop w:val="0"/>
      <w:marBottom w:val="0"/>
      <w:divBdr>
        <w:top w:val="none" w:sz="0" w:space="0" w:color="auto"/>
        <w:left w:val="none" w:sz="0" w:space="0" w:color="auto"/>
        <w:bottom w:val="none" w:sz="0" w:space="0" w:color="auto"/>
        <w:right w:val="none" w:sz="0" w:space="0" w:color="auto"/>
      </w:divBdr>
      <w:divsChild>
        <w:div w:id="282468369">
          <w:marLeft w:val="0"/>
          <w:marRight w:val="0"/>
          <w:marTop w:val="0"/>
          <w:marBottom w:val="0"/>
          <w:divBdr>
            <w:top w:val="none" w:sz="0" w:space="0" w:color="auto"/>
            <w:left w:val="none" w:sz="0" w:space="0" w:color="auto"/>
            <w:bottom w:val="none" w:sz="0" w:space="0" w:color="auto"/>
            <w:right w:val="none" w:sz="0" w:space="0" w:color="auto"/>
          </w:divBdr>
          <w:divsChild>
            <w:div w:id="19413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1061">
      <w:bodyDiv w:val="1"/>
      <w:marLeft w:val="0"/>
      <w:marRight w:val="0"/>
      <w:marTop w:val="0"/>
      <w:marBottom w:val="0"/>
      <w:divBdr>
        <w:top w:val="none" w:sz="0" w:space="0" w:color="auto"/>
        <w:left w:val="none" w:sz="0" w:space="0" w:color="auto"/>
        <w:bottom w:val="none" w:sz="0" w:space="0" w:color="auto"/>
        <w:right w:val="none" w:sz="0" w:space="0" w:color="auto"/>
      </w:divBdr>
    </w:div>
    <w:div w:id="1520196560">
      <w:bodyDiv w:val="1"/>
      <w:marLeft w:val="0"/>
      <w:marRight w:val="0"/>
      <w:marTop w:val="0"/>
      <w:marBottom w:val="0"/>
      <w:divBdr>
        <w:top w:val="none" w:sz="0" w:space="0" w:color="auto"/>
        <w:left w:val="none" w:sz="0" w:space="0" w:color="auto"/>
        <w:bottom w:val="none" w:sz="0" w:space="0" w:color="auto"/>
        <w:right w:val="none" w:sz="0" w:space="0" w:color="auto"/>
      </w:divBdr>
      <w:divsChild>
        <w:div w:id="406997853">
          <w:marLeft w:val="0"/>
          <w:marRight w:val="0"/>
          <w:marTop w:val="0"/>
          <w:marBottom w:val="0"/>
          <w:divBdr>
            <w:top w:val="none" w:sz="0" w:space="0" w:color="auto"/>
            <w:left w:val="none" w:sz="0" w:space="0" w:color="auto"/>
            <w:bottom w:val="none" w:sz="0" w:space="0" w:color="auto"/>
            <w:right w:val="none" w:sz="0" w:space="0" w:color="auto"/>
          </w:divBdr>
          <w:divsChild>
            <w:div w:id="20840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80476">
      <w:bodyDiv w:val="1"/>
      <w:marLeft w:val="0"/>
      <w:marRight w:val="0"/>
      <w:marTop w:val="0"/>
      <w:marBottom w:val="0"/>
      <w:divBdr>
        <w:top w:val="none" w:sz="0" w:space="0" w:color="auto"/>
        <w:left w:val="none" w:sz="0" w:space="0" w:color="auto"/>
        <w:bottom w:val="none" w:sz="0" w:space="0" w:color="auto"/>
        <w:right w:val="none" w:sz="0" w:space="0" w:color="auto"/>
      </w:divBdr>
      <w:divsChild>
        <w:div w:id="1045367671">
          <w:marLeft w:val="0"/>
          <w:marRight w:val="0"/>
          <w:marTop w:val="0"/>
          <w:marBottom w:val="0"/>
          <w:divBdr>
            <w:top w:val="none" w:sz="0" w:space="0" w:color="auto"/>
            <w:left w:val="none" w:sz="0" w:space="0" w:color="auto"/>
            <w:bottom w:val="none" w:sz="0" w:space="0" w:color="auto"/>
            <w:right w:val="none" w:sz="0" w:space="0" w:color="auto"/>
          </w:divBdr>
          <w:divsChild>
            <w:div w:id="12206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6223">
      <w:bodyDiv w:val="1"/>
      <w:marLeft w:val="0"/>
      <w:marRight w:val="0"/>
      <w:marTop w:val="0"/>
      <w:marBottom w:val="0"/>
      <w:divBdr>
        <w:top w:val="none" w:sz="0" w:space="0" w:color="auto"/>
        <w:left w:val="none" w:sz="0" w:space="0" w:color="auto"/>
        <w:bottom w:val="none" w:sz="0" w:space="0" w:color="auto"/>
        <w:right w:val="none" w:sz="0" w:space="0" w:color="auto"/>
      </w:divBdr>
      <w:divsChild>
        <w:div w:id="1678383005">
          <w:marLeft w:val="0"/>
          <w:marRight w:val="0"/>
          <w:marTop w:val="0"/>
          <w:marBottom w:val="0"/>
          <w:divBdr>
            <w:top w:val="none" w:sz="0" w:space="0" w:color="auto"/>
            <w:left w:val="none" w:sz="0" w:space="0" w:color="auto"/>
            <w:bottom w:val="none" w:sz="0" w:space="0" w:color="auto"/>
            <w:right w:val="none" w:sz="0" w:space="0" w:color="auto"/>
          </w:divBdr>
          <w:divsChild>
            <w:div w:id="805853920">
              <w:marLeft w:val="0"/>
              <w:marRight w:val="0"/>
              <w:marTop w:val="0"/>
              <w:marBottom w:val="0"/>
              <w:divBdr>
                <w:top w:val="none" w:sz="0" w:space="0" w:color="auto"/>
                <w:left w:val="none" w:sz="0" w:space="0" w:color="auto"/>
                <w:bottom w:val="none" w:sz="0" w:space="0" w:color="auto"/>
                <w:right w:val="none" w:sz="0" w:space="0" w:color="auto"/>
              </w:divBdr>
              <w:divsChild>
                <w:div w:id="62534344">
                  <w:marLeft w:val="0"/>
                  <w:marRight w:val="0"/>
                  <w:marTop w:val="0"/>
                  <w:marBottom w:val="0"/>
                  <w:divBdr>
                    <w:top w:val="none" w:sz="0" w:space="0" w:color="auto"/>
                    <w:left w:val="none" w:sz="0" w:space="0" w:color="auto"/>
                    <w:bottom w:val="none" w:sz="0" w:space="0" w:color="auto"/>
                    <w:right w:val="none" w:sz="0" w:space="0" w:color="auto"/>
                  </w:divBdr>
                  <w:divsChild>
                    <w:div w:id="1535999125">
                      <w:marLeft w:val="0"/>
                      <w:marRight w:val="0"/>
                      <w:marTop w:val="0"/>
                      <w:marBottom w:val="0"/>
                      <w:divBdr>
                        <w:top w:val="none" w:sz="0" w:space="0" w:color="auto"/>
                        <w:left w:val="none" w:sz="0" w:space="0" w:color="auto"/>
                        <w:bottom w:val="none" w:sz="0" w:space="0" w:color="auto"/>
                        <w:right w:val="none" w:sz="0" w:space="0" w:color="auto"/>
                      </w:divBdr>
                      <w:divsChild>
                        <w:div w:id="2143766432">
                          <w:marLeft w:val="0"/>
                          <w:marRight w:val="0"/>
                          <w:marTop w:val="0"/>
                          <w:marBottom w:val="0"/>
                          <w:divBdr>
                            <w:top w:val="none" w:sz="0" w:space="0" w:color="auto"/>
                            <w:left w:val="none" w:sz="0" w:space="0" w:color="auto"/>
                            <w:bottom w:val="none" w:sz="0" w:space="0" w:color="auto"/>
                            <w:right w:val="none" w:sz="0" w:space="0" w:color="auto"/>
                          </w:divBdr>
                          <w:divsChild>
                            <w:div w:id="1244029575">
                              <w:marLeft w:val="0"/>
                              <w:marRight w:val="0"/>
                              <w:marTop w:val="0"/>
                              <w:marBottom w:val="0"/>
                              <w:divBdr>
                                <w:top w:val="none" w:sz="0" w:space="0" w:color="auto"/>
                                <w:left w:val="none" w:sz="0" w:space="0" w:color="auto"/>
                                <w:bottom w:val="none" w:sz="0" w:space="0" w:color="auto"/>
                                <w:right w:val="none" w:sz="0" w:space="0" w:color="auto"/>
                              </w:divBdr>
                              <w:divsChild>
                                <w:div w:id="1185510216">
                                  <w:marLeft w:val="0"/>
                                  <w:marRight w:val="0"/>
                                  <w:marTop w:val="0"/>
                                  <w:marBottom w:val="0"/>
                                  <w:divBdr>
                                    <w:top w:val="none" w:sz="0" w:space="0" w:color="auto"/>
                                    <w:left w:val="none" w:sz="0" w:space="0" w:color="auto"/>
                                    <w:bottom w:val="none" w:sz="0" w:space="0" w:color="auto"/>
                                    <w:right w:val="none" w:sz="0" w:space="0" w:color="auto"/>
                                  </w:divBdr>
                                  <w:divsChild>
                                    <w:div w:id="1111389210">
                                      <w:marLeft w:val="0"/>
                                      <w:marRight w:val="0"/>
                                      <w:marTop w:val="0"/>
                                      <w:marBottom w:val="0"/>
                                      <w:divBdr>
                                        <w:top w:val="none" w:sz="0" w:space="0" w:color="auto"/>
                                        <w:left w:val="none" w:sz="0" w:space="0" w:color="auto"/>
                                        <w:bottom w:val="none" w:sz="0" w:space="0" w:color="auto"/>
                                        <w:right w:val="none" w:sz="0" w:space="0" w:color="auto"/>
                                      </w:divBdr>
                                      <w:divsChild>
                                        <w:div w:id="2110809567">
                                          <w:marLeft w:val="0"/>
                                          <w:marRight w:val="0"/>
                                          <w:marTop w:val="0"/>
                                          <w:marBottom w:val="0"/>
                                          <w:divBdr>
                                            <w:top w:val="none" w:sz="0" w:space="0" w:color="auto"/>
                                            <w:left w:val="none" w:sz="0" w:space="0" w:color="auto"/>
                                            <w:bottom w:val="none" w:sz="0" w:space="0" w:color="auto"/>
                                            <w:right w:val="none" w:sz="0" w:space="0" w:color="auto"/>
                                          </w:divBdr>
                                          <w:divsChild>
                                            <w:div w:id="8798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453609">
      <w:bodyDiv w:val="1"/>
      <w:marLeft w:val="0"/>
      <w:marRight w:val="0"/>
      <w:marTop w:val="0"/>
      <w:marBottom w:val="0"/>
      <w:divBdr>
        <w:top w:val="none" w:sz="0" w:space="0" w:color="auto"/>
        <w:left w:val="none" w:sz="0" w:space="0" w:color="auto"/>
        <w:bottom w:val="none" w:sz="0" w:space="0" w:color="auto"/>
        <w:right w:val="none" w:sz="0" w:space="0" w:color="auto"/>
      </w:divBdr>
      <w:divsChild>
        <w:div w:id="872763700">
          <w:marLeft w:val="0"/>
          <w:marRight w:val="0"/>
          <w:marTop w:val="0"/>
          <w:marBottom w:val="0"/>
          <w:divBdr>
            <w:top w:val="none" w:sz="0" w:space="0" w:color="auto"/>
            <w:left w:val="none" w:sz="0" w:space="0" w:color="auto"/>
            <w:bottom w:val="none" w:sz="0" w:space="0" w:color="auto"/>
            <w:right w:val="none" w:sz="0" w:space="0" w:color="auto"/>
          </w:divBdr>
          <w:divsChild>
            <w:div w:id="1726295742">
              <w:marLeft w:val="0"/>
              <w:marRight w:val="0"/>
              <w:marTop w:val="0"/>
              <w:marBottom w:val="0"/>
              <w:divBdr>
                <w:top w:val="none" w:sz="0" w:space="0" w:color="auto"/>
                <w:left w:val="none" w:sz="0" w:space="0" w:color="auto"/>
                <w:bottom w:val="none" w:sz="0" w:space="0" w:color="auto"/>
                <w:right w:val="none" w:sz="0" w:space="0" w:color="auto"/>
              </w:divBdr>
              <w:divsChild>
                <w:div w:id="1104492417">
                  <w:marLeft w:val="0"/>
                  <w:marRight w:val="0"/>
                  <w:marTop w:val="0"/>
                  <w:marBottom w:val="0"/>
                  <w:divBdr>
                    <w:top w:val="none" w:sz="0" w:space="0" w:color="auto"/>
                    <w:left w:val="none" w:sz="0" w:space="0" w:color="auto"/>
                    <w:bottom w:val="none" w:sz="0" w:space="0" w:color="auto"/>
                    <w:right w:val="none" w:sz="0" w:space="0" w:color="auto"/>
                  </w:divBdr>
                  <w:divsChild>
                    <w:div w:id="2077360700">
                      <w:marLeft w:val="0"/>
                      <w:marRight w:val="0"/>
                      <w:marTop w:val="0"/>
                      <w:marBottom w:val="0"/>
                      <w:divBdr>
                        <w:top w:val="none" w:sz="0" w:space="0" w:color="auto"/>
                        <w:left w:val="none" w:sz="0" w:space="0" w:color="auto"/>
                        <w:bottom w:val="none" w:sz="0" w:space="0" w:color="auto"/>
                        <w:right w:val="none" w:sz="0" w:space="0" w:color="auto"/>
                      </w:divBdr>
                      <w:divsChild>
                        <w:div w:id="830679333">
                          <w:marLeft w:val="0"/>
                          <w:marRight w:val="0"/>
                          <w:marTop w:val="0"/>
                          <w:marBottom w:val="0"/>
                          <w:divBdr>
                            <w:top w:val="none" w:sz="0" w:space="0" w:color="auto"/>
                            <w:left w:val="none" w:sz="0" w:space="0" w:color="auto"/>
                            <w:bottom w:val="none" w:sz="0" w:space="0" w:color="auto"/>
                            <w:right w:val="none" w:sz="0" w:space="0" w:color="auto"/>
                          </w:divBdr>
                          <w:divsChild>
                            <w:div w:id="273707728">
                              <w:marLeft w:val="0"/>
                              <w:marRight w:val="0"/>
                              <w:marTop w:val="0"/>
                              <w:marBottom w:val="0"/>
                              <w:divBdr>
                                <w:top w:val="none" w:sz="0" w:space="0" w:color="auto"/>
                                <w:left w:val="none" w:sz="0" w:space="0" w:color="auto"/>
                                <w:bottom w:val="none" w:sz="0" w:space="0" w:color="auto"/>
                                <w:right w:val="none" w:sz="0" w:space="0" w:color="auto"/>
                              </w:divBdr>
                              <w:divsChild>
                                <w:div w:id="1099450984">
                                  <w:marLeft w:val="0"/>
                                  <w:marRight w:val="0"/>
                                  <w:marTop w:val="0"/>
                                  <w:marBottom w:val="0"/>
                                  <w:divBdr>
                                    <w:top w:val="none" w:sz="0" w:space="0" w:color="auto"/>
                                    <w:left w:val="none" w:sz="0" w:space="0" w:color="auto"/>
                                    <w:bottom w:val="none" w:sz="0" w:space="0" w:color="auto"/>
                                    <w:right w:val="none" w:sz="0" w:space="0" w:color="auto"/>
                                  </w:divBdr>
                                  <w:divsChild>
                                    <w:div w:id="1828089632">
                                      <w:marLeft w:val="0"/>
                                      <w:marRight w:val="0"/>
                                      <w:marTop w:val="0"/>
                                      <w:marBottom w:val="0"/>
                                      <w:divBdr>
                                        <w:top w:val="none" w:sz="0" w:space="0" w:color="auto"/>
                                        <w:left w:val="none" w:sz="0" w:space="0" w:color="auto"/>
                                        <w:bottom w:val="none" w:sz="0" w:space="0" w:color="auto"/>
                                        <w:right w:val="none" w:sz="0" w:space="0" w:color="auto"/>
                                      </w:divBdr>
                                      <w:divsChild>
                                        <w:div w:id="1683120481">
                                          <w:marLeft w:val="0"/>
                                          <w:marRight w:val="0"/>
                                          <w:marTop w:val="0"/>
                                          <w:marBottom w:val="0"/>
                                          <w:divBdr>
                                            <w:top w:val="none" w:sz="0" w:space="0" w:color="auto"/>
                                            <w:left w:val="none" w:sz="0" w:space="0" w:color="auto"/>
                                            <w:bottom w:val="none" w:sz="0" w:space="0" w:color="auto"/>
                                            <w:right w:val="none" w:sz="0" w:space="0" w:color="auto"/>
                                          </w:divBdr>
                                          <w:divsChild>
                                            <w:div w:id="36826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576486">
      <w:bodyDiv w:val="1"/>
      <w:marLeft w:val="0"/>
      <w:marRight w:val="0"/>
      <w:marTop w:val="0"/>
      <w:marBottom w:val="0"/>
      <w:divBdr>
        <w:top w:val="none" w:sz="0" w:space="0" w:color="auto"/>
        <w:left w:val="none" w:sz="0" w:space="0" w:color="auto"/>
        <w:bottom w:val="none" w:sz="0" w:space="0" w:color="auto"/>
        <w:right w:val="none" w:sz="0" w:space="0" w:color="auto"/>
      </w:divBdr>
      <w:divsChild>
        <w:div w:id="832262589">
          <w:marLeft w:val="0"/>
          <w:marRight w:val="0"/>
          <w:marTop w:val="0"/>
          <w:marBottom w:val="0"/>
          <w:divBdr>
            <w:top w:val="none" w:sz="0" w:space="0" w:color="auto"/>
            <w:left w:val="none" w:sz="0" w:space="0" w:color="auto"/>
            <w:bottom w:val="none" w:sz="0" w:space="0" w:color="auto"/>
            <w:right w:val="none" w:sz="0" w:space="0" w:color="auto"/>
          </w:divBdr>
          <w:divsChild>
            <w:div w:id="11520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59045">
      <w:bodyDiv w:val="1"/>
      <w:marLeft w:val="0"/>
      <w:marRight w:val="0"/>
      <w:marTop w:val="0"/>
      <w:marBottom w:val="0"/>
      <w:divBdr>
        <w:top w:val="none" w:sz="0" w:space="0" w:color="auto"/>
        <w:left w:val="none" w:sz="0" w:space="0" w:color="auto"/>
        <w:bottom w:val="none" w:sz="0" w:space="0" w:color="auto"/>
        <w:right w:val="none" w:sz="0" w:space="0" w:color="auto"/>
      </w:divBdr>
      <w:divsChild>
        <w:div w:id="2112123999">
          <w:marLeft w:val="0"/>
          <w:marRight w:val="0"/>
          <w:marTop w:val="0"/>
          <w:marBottom w:val="0"/>
          <w:divBdr>
            <w:top w:val="none" w:sz="0" w:space="0" w:color="auto"/>
            <w:left w:val="none" w:sz="0" w:space="0" w:color="auto"/>
            <w:bottom w:val="none" w:sz="0" w:space="0" w:color="auto"/>
            <w:right w:val="none" w:sz="0" w:space="0" w:color="auto"/>
          </w:divBdr>
          <w:divsChild>
            <w:div w:id="584000397">
              <w:marLeft w:val="0"/>
              <w:marRight w:val="0"/>
              <w:marTop w:val="0"/>
              <w:marBottom w:val="0"/>
              <w:divBdr>
                <w:top w:val="none" w:sz="0" w:space="0" w:color="auto"/>
                <w:left w:val="none" w:sz="0" w:space="0" w:color="auto"/>
                <w:bottom w:val="none" w:sz="0" w:space="0" w:color="auto"/>
                <w:right w:val="none" w:sz="0" w:space="0" w:color="auto"/>
              </w:divBdr>
            </w:div>
          </w:divsChild>
        </w:div>
        <w:div w:id="380515299">
          <w:marLeft w:val="0"/>
          <w:marRight w:val="0"/>
          <w:marTop w:val="0"/>
          <w:marBottom w:val="0"/>
          <w:divBdr>
            <w:top w:val="none" w:sz="0" w:space="0" w:color="auto"/>
            <w:left w:val="none" w:sz="0" w:space="0" w:color="auto"/>
            <w:bottom w:val="none" w:sz="0" w:space="0" w:color="auto"/>
            <w:right w:val="none" w:sz="0" w:space="0" w:color="auto"/>
          </w:divBdr>
          <w:divsChild>
            <w:div w:id="1212616182">
              <w:marLeft w:val="0"/>
              <w:marRight w:val="0"/>
              <w:marTop w:val="0"/>
              <w:marBottom w:val="0"/>
              <w:divBdr>
                <w:top w:val="none" w:sz="0" w:space="0" w:color="auto"/>
                <w:left w:val="none" w:sz="0" w:space="0" w:color="auto"/>
                <w:bottom w:val="none" w:sz="0" w:space="0" w:color="auto"/>
                <w:right w:val="none" w:sz="0" w:space="0" w:color="auto"/>
              </w:divBdr>
            </w:div>
          </w:divsChild>
        </w:div>
        <w:div w:id="1250382300">
          <w:marLeft w:val="0"/>
          <w:marRight w:val="0"/>
          <w:marTop w:val="0"/>
          <w:marBottom w:val="0"/>
          <w:divBdr>
            <w:top w:val="none" w:sz="0" w:space="0" w:color="auto"/>
            <w:left w:val="none" w:sz="0" w:space="0" w:color="auto"/>
            <w:bottom w:val="none" w:sz="0" w:space="0" w:color="auto"/>
            <w:right w:val="none" w:sz="0" w:space="0" w:color="auto"/>
          </w:divBdr>
          <w:divsChild>
            <w:div w:id="15143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2828">
      <w:bodyDiv w:val="1"/>
      <w:marLeft w:val="0"/>
      <w:marRight w:val="0"/>
      <w:marTop w:val="0"/>
      <w:marBottom w:val="0"/>
      <w:divBdr>
        <w:top w:val="none" w:sz="0" w:space="0" w:color="auto"/>
        <w:left w:val="none" w:sz="0" w:space="0" w:color="auto"/>
        <w:bottom w:val="none" w:sz="0" w:space="0" w:color="auto"/>
        <w:right w:val="none" w:sz="0" w:space="0" w:color="auto"/>
      </w:divBdr>
      <w:divsChild>
        <w:div w:id="186065103">
          <w:marLeft w:val="0"/>
          <w:marRight w:val="0"/>
          <w:marTop w:val="0"/>
          <w:marBottom w:val="0"/>
          <w:divBdr>
            <w:top w:val="none" w:sz="0" w:space="0" w:color="auto"/>
            <w:left w:val="none" w:sz="0" w:space="0" w:color="auto"/>
            <w:bottom w:val="none" w:sz="0" w:space="0" w:color="auto"/>
            <w:right w:val="none" w:sz="0" w:space="0" w:color="auto"/>
          </w:divBdr>
          <w:divsChild>
            <w:div w:id="1738867355">
              <w:marLeft w:val="0"/>
              <w:marRight w:val="0"/>
              <w:marTop w:val="0"/>
              <w:marBottom w:val="0"/>
              <w:divBdr>
                <w:top w:val="none" w:sz="0" w:space="0" w:color="auto"/>
                <w:left w:val="none" w:sz="0" w:space="0" w:color="auto"/>
                <w:bottom w:val="none" w:sz="0" w:space="0" w:color="auto"/>
                <w:right w:val="none" w:sz="0" w:space="0" w:color="auto"/>
              </w:divBdr>
            </w:div>
          </w:divsChild>
        </w:div>
        <w:div w:id="2016495821">
          <w:marLeft w:val="0"/>
          <w:marRight w:val="0"/>
          <w:marTop w:val="0"/>
          <w:marBottom w:val="0"/>
          <w:divBdr>
            <w:top w:val="none" w:sz="0" w:space="0" w:color="auto"/>
            <w:left w:val="none" w:sz="0" w:space="0" w:color="auto"/>
            <w:bottom w:val="none" w:sz="0" w:space="0" w:color="auto"/>
            <w:right w:val="none" w:sz="0" w:space="0" w:color="auto"/>
          </w:divBdr>
          <w:divsChild>
            <w:div w:id="1994215469">
              <w:marLeft w:val="0"/>
              <w:marRight w:val="0"/>
              <w:marTop w:val="0"/>
              <w:marBottom w:val="0"/>
              <w:divBdr>
                <w:top w:val="none" w:sz="0" w:space="0" w:color="auto"/>
                <w:left w:val="none" w:sz="0" w:space="0" w:color="auto"/>
                <w:bottom w:val="none" w:sz="0" w:space="0" w:color="auto"/>
                <w:right w:val="none" w:sz="0" w:space="0" w:color="auto"/>
              </w:divBdr>
            </w:div>
          </w:divsChild>
        </w:div>
        <w:div w:id="792476235">
          <w:marLeft w:val="0"/>
          <w:marRight w:val="0"/>
          <w:marTop w:val="0"/>
          <w:marBottom w:val="0"/>
          <w:divBdr>
            <w:top w:val="none" w:sz="0" w:space="0" w:color="auto"/>
            <w:left w:val="none" w:sz="0" w:space="0" w:color="auto"/>
            <w:bottom w:val="none" w:sz="0" w:space="0" w:color="auto"/>
            <w:right w:val="none" w:sz="0" w:space="0" w:color="auto"/>
          </w:divBdr>
          <w:divsChild>
            <w:div w:id="8407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91</Pages>
  <Words>25715</Words>
  <Characters>146576</Characters>
  <Application>Microsoft Office Word</Application>
  <DocSecurity>0</DocSecurity>
  <Lines>1221</Lines>
  <Paragraphs>343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Богдан</dc:creator>
  <cp:keywords/>
  <dc:description/>
  <cp:lastModifiedBy>Шевцов Богдан</cp:lastModifiedBy>
  <cp:revision>14</cp:revision>
  <dcterms:created xsi:type="dcterms:W3CDTF">2026-08-07T16:30:00Z</dcterms:created>
  <dcterms:modified xsi:type="dcterms:W3CDTF">2026-08-07T18:09:00Z</dcterms:modified>
</cp:coreProperties>
</file>