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97BDB" w14:textId="77777777" w:rsidR="004D6FFD" w:rsidRPr="004D6FFD" w:rsidRDefault="004D6FFD" w:rsidP="004D6FFD">
      <w:r w:rsidRPr="004D6FFD">
        <w:rPr>
          <w:b/>
          <w:bCs/>
        </w:rPr>
        <w:t>Focus: Drug Recommendation on MIMIC-III Dataset</w:t>
      </w:r>
    </w:p>
    <w:p w14:paraId="5E713A67" w14:textId="77777777" w:rsidR="004D6FFD" w:rsidRPr="004D6FFD" w:rsidRDefault="004D6FFD" w:rsidP="004D6FFD">
      <w:pPr>
        <w:rPr>
          <w:b/>
          <w:bCs/>
        </w:rPr>
      </w:pPr>
      <w:r w:rsidRPr="004D6FFD">
        <w:rPr>
          <w:b/>
          <w:bCs/>
        </w:rPr>
        <w:t>1. Task Definition and Cohort Construction</w:t>
      </w:r>
    </w:p>
    <w:p w14:paraId="38DA63F3" w14:textId="4282AE4D" w:rsidR="004D6FFD" w:rsidRPr="004D6FFD" w:rsidRDefault="004D6FFD" w:rsidP="004D6FFD">
      <w:r w:rsidRPr="004D6FFD">
        <w:t>The objective of Task 1 is to predict the set of medications (multi-label classification) prescribed during a patient's current hospital admission</w:t>
      </w:r>
      <w:r w:rsidR="00A846A1">
        <w:t xml:space="preserve">, denoted by </w:t>
      </w:r>
      <w:r w:rsidR="00A846A1" w:rsidRPr="00A846A1">
        <w:rPr>
          <w:i/>
          <w:iCs/>
        </w:rPr>
        <w:t>t</w:t>
      </w:r>
      <w:r w:rsidR="00A846A1">
        <w:t xml:space="preserve"> for time</w:t>
      </w:r>
      <w:r w:rsidRPr="004D6FFD">
        <w:t>.</w:t>
      </w:r>
      <w:r w:rsidR="00736FF1">
        <w:t xml:space="preserve">  </w:t>
      </w:r>
      <w:r w:rsidRPr="004D6FFD">
        <w:t>Following the PyHealth task design, the model utilizes the patient’s cumulative clinical history up to and including the current visit for diagnoses and procedures, while restricting medication history to admissions prior to the current one (</w:t>
      </w:r>
      <w:r w:rsidRPr="004B238D">
        <w:rPr>
          <w:i/>
          <w:iCs/>
        </w:rPr>
        <w:t>0</w:t>
      </w:r>
      <w:r w:rsidRPr="004D6FFD">
        <w:t xml:space="preserve"> to </w:t>
      </w:r>
      <w:r w:rsidRPr="004B238D">
        <w:rPr>
          <w:i/>
          <w:iCs/>
        </w:rPr>
        <w:t>t-1</w:t>
      </w:r>
      <w:r w:rsidRPr="004D6FFD">
        <w:t>).</w:t>
      </w:r>
    </w:p>
    <w:p w14:paraId="2D3935A6" w14:textId="77777777" w:rsidR="004D6FFD" w:rsidRPr="004D6FFD" w:rsidRDefault="004D6FFD" w:rsidP="004D6FFD">
      <w:pPr>
        <w:numPr>
          <w:ilvl w:val="0"/>
          <w:numId w:val="1"/>
        </w:numPr>
      </w:pPr>
      <w:r w:rsidRPr="004D6FFD">
        <w:rPr>
          <w:b/>
          <w:bCs/>
        </w:rPr>
        <w:t>Cohort &amp; Filtering:</w:t>
      </w:r>
      <w:r w:rsidRPr="004D6FFD">
        <w:t xml:space="preserve"> The cohort was extracted from the MIMIC-III ICU dataset using PyHealth's MIMIC3Dataset loader. Patients with fewer than two visits were excluded to ensure a viable clinical history for longitudinal modeling.</w:t>
      </w:r>
    </w:p>
    <w:p w14:paraId="06CBE904" w14:textId="77777777" w:rsidR="004D6FFD" w:rsidRPr="004D6FFD" w:rsidRDefault="004D6FFD" w:rsidP="004D6FFD">
      <w:pPr>
        <w:numPr>
          <w:ilvl w:val="0"/>
          <w:numId w:val="1"/>
        </w:numPr>
      </w:pPr>
      <w:r w:rsidRPr="004D6FFD">
        <w:rPr>
          <w:b/>
          <w:bCs/>
        </w:rPr>
        <w:t>Vocabulary:</w:t>
      </w:r>
      <w:r w:rsidRPr="004D6FFD">
        <w:t xml:space="preserve"> Medical codes were mapped to a fixed vocabulary. Diagnoses were represented via ICD-9-CM codes, and procedures via ICD-9-PROC codes. The target label space for medications was constructed using the top-N most frequent ATC codes found in the PRESCRIPTIONS table, ensuring the model focuses on clinically prevalent treatments.</w:t>
      </w:r>
    </w:p>
    <w:p w14:paraId="57B6EB69" w14:textId="77777777" w:rsidR="004D6FFD" w:rsidRPr="004D6FFD" w:rsidRDefault="004D6FFD" w:rsidP="004D6FFD">
      <w:pPr>
        <w:rPr>
          <w:b/>
          <w:bCs/>
        </w:rPr>
      </w:pPr>
      <w:r w:rsidRPr="004D6FFD">
        <w:rPr>
          <w:b/>
          <w:bCs/>
        </w:rPr>
        <w:t>2. Baseline Description and Results</w:t>
      </w:r>
    </w:p>
    <w:p w14:paraId="1F71F463" w14:textId="77777777" w:rsidR="004D6FFD" w:rsidRPr="004D6FFD" w:rsidRDefault="004D6FFD" w:rsidP="004D6FFD">
      <w:r w:rsidRPr="004D6FFD">
        <w:t xml:space="preserve">The baseline model implements a </w:t>
      </w:r>
      <w:r w:rsidRPr="004D6FFD">
        <w:rPr>
          <w:b/>
          <w:bCs/>
        </w:rPr>
        <w:t>Transformer-based architecture</w:t>
      </w:r>
      <w:r w:rsidRPr="004D6FFD">
        <w:t xml:space="preserve"> as suggested by the project support. This model treats the sequence of clinical visits as a temporal series, using self-attention to capture dependencies between historical medical events and the current clinical state.</w:t>
      </w:r>
    </w:p>
    <w:p w14:paraId="71B93A40" w14:textId="77777777" w:rsidR="004D6FFD" w:rsidRPr="004D6FFD" w:rsidRDefault="004D6FFD" w:rsidP="004D6FFD">
      <w:pPr>
        <w:numPr>
          <w:ilvl w:val="0"/>
          <w:numId w:val="2"/>
        </w:numPr>
      </w:pPr>
      <w:r w:rsidRPr="004D6FFD">
        <w:rPr>
          <w:b/>
          <w:bCs/>
        </w:rPr>
        <w:t>Implementation:</w:t>
      </w:r>
      <w:r w:rsidRPr="004D6FFD">
        <w:t xml:space="preserve"> The baseline follows the drug_recommendation.mimic3_transformer.py implementation.</w:t>
      </w:r>
    </w:p>
    <w:p w14:paraId="69FCA39B" w14:textId="34665BE5" w:rsidR="004D6FFD" w:rsidRPr="004D6FFD" w:rsidRDefault="004D6FFD" w:rsidP="004D6FFD">
      <w:pPr>
        <w:numPr>
          <w:ilvl w:val="0"/>
          <w:numId w:val="2"/>
        </w:numPr>
      </w:pPr>
      <w:r w:rsidRPr="004D6FFD">
        <w:rPr>
          <w:b/>
          <w:bCs/>
        </w:rPr>
        <w:t>Configuration:</w:t>
      </w:r>
      <w:r w:rsidRPr="004D6FFD">
        <w:t xml:space="preserve"> All experiments used a fixed random seed of </w:t>
      </w:r>
      <w:r w:rsidRPr="007E5B8C">
        <w:rPr>
          <w:i/>
          <w:iCs/>
        </w:rPr>
        <w:t>42</w:t>
      </w:r>
      <w:r w:rsidRPr="004D6FFD">
        <w:t xml:space="preserve"> to ensure reproducibility.</w:t>
      </w:r>
    </w:p>
    <w:p w14:paraId="1C1D62FA" w14:textId="06DE0F90" w:rsidR="004D6FFD" w:rsidRPr="004D6FFD" w:rsidRDefault="004D6FFD" w:rsidP="004D6FFD">
      <w:pPr>
        <w:numPr>
          <w:ilvl w:val="0"/>
          <w:numId w:val="2"/>
        </w:numPr>
      </w:pPr>
      <w:r w:rsidRPr="004D6FFD">
        <w:rPr>
          <w:b/>
          <w:bCs/>
        </w:rPr>
        <w:t>Baseline Performance:</w:t>
      </w:r>
      <w:r w:rsidRPr="004D6FFD">
        <w:t xml:space="preserve"> (Values based on the </w:t>
      </w:r>
      <w:r w:rsidR="006068EE">
        <w:t xml:space="preserve">baseline Transformer </w:t>
      </w:r>
      <w:r w:rsidRPr="004D6FFD">
        <w:t>training results)</w:t>
      </w:r>
    </w:p>
    <w:p w14:paraId="2E6AD95A" w14:textId="596D5B02" w:rsidR="004D6FFD" w:rsidRPr="004D6FFD" w:rsidRDefault="004D6FFD" w:rsidP="004D6FFD">
      <w:pPr>
        <w:numPr>
          <w:ilvl w:val="1"/>
          <w:numId w:val="2"/>
        </w:numPr>
      </w:pPr>
      <w:r w:rsidRPr="004D6FFD">
        <w:rPr>
          <w:b/>
          <w:bCs/>
        </w:rPr>
        <w:t>Sample-wise AUPRC:</w:t>
      </w:r>
      <w:r w:rsidR="00E6029A">
        <w:t xml:space="preserve"> </w:t>
      </w:r>
      <w:r w:rsidR="00E6029A" w:rsidRPr="00E6029A">
        <w:t>0.6337</w:t>
      </w:r>
    </w:p>
    <w:p w14:paraId="542124F1" w14:textId="4260B1C3" w:rsidR="004D6FFD" w:rsidRPr="004D6FFD" w:rsidRDefault="004D6FFD" w:rsidP="004D6FFD">
      <w:pPr>
        <w:numPr>
          <w:ilvl w:val="1"/>
          <w:numId w:val="2"/>
        </w:numPr>
      </w:pPr>
      <w:r w:rsidRPr="004D6FFD">
        <w:rPr>
          <w:b/>
          <w:bCs/>
        </w:rPr>
        <w:t>Precision@10:</w:t>
      </w:r>
      <w:r w:rsidRPr="004D6FFD">
        <w:t xml:space="preserve"> </w:t>
      </w:r>
      <w:r w:rsidR="00E6029A" w:rsidRPr="00E6029A">
        <w:t>0.8036</w:t>
      </w:r>
    </w:p>
    <w:p w14:paraId="169303D3" w14:textId="2350FB58" w:rsidR="004D6FFD" w:rsidRPr="004D6FFD" w:rsidRDefault="004D6FFD" w:rsidP="004D6FFD">
      <w:pPr>
        <w:numPr>
          <w:ilvl w:val="1"/>
          <w:numId w:val="2"/>
        </w:numPr>
      </w:pPr>
      <w:r w:rsidRPr="004D6FFD">
        <w:rPr>
          <w:b/>
          <w:bCs/>
        </w:rPr>
        <w:t>Recall@10:</w:t>
      </w:r>
      <w:r w:rsidRPr="004D6FFD">
        <w:t xml:space="preserve"> </w:t>
      </w:r>
      <w:r w:rsidR="00E6029A" w:rsidRPr="00E6029A">
        <w:t>0.2551</w:t>
      </w:r>
    </w:p>
    <w:p w14:paraId="21067A10" w14:textId="77777777" w:rsidR="004D6FFD" w:rsidRPr="004D6FFD" w:rsidRDefault="004D6FFD" w:rsidP="004D6FFD">
      <w:pPr>
        <w:rPr>
          <w:b/>
          <w:bCs/>
        </w:rPr>
      </w:pPr>
      <w:r w:rsidRPr="004D6FFD">
        <w:rPr>
          <w:b/>
          <w:bCs/>
        </w:rPr>
        <w:t>3. Improved Method: RETAIN-Inspired Attention</w:t>
      </w:r>
    </w:p>
    <w:p w14:paraId="10858B70" w14:textId="77777777" w:rsidR="004D6FFD" w:rsidRPr="004D6FFD" w:rsidRDefault="004D6FFD" w:rsidP="004D6FFD">
      <w:r w:rsidRPr="004D6FFD">
        <w:t xml:space="preserve">To improve upon the standard Transformer, an </w:t>
      </w:r>
      <w:r w:rsidRPr="004D6FFD">
        <w:rPr>
          <w:b/>
          <w:bCs/>
        </w:rPr>
        <w:t>Advanced Deep Learning</w:t>
      </w:r>
      <w:r w:rsidRPr="004D6FFD">
        <w:t xml:space="preserve"> approach was selected (Category 1). We implemented a model inspired by </w:t>
      </w:r>
      <w:r w:rsidRPr="004D6FFD">
        <w:rPr>
          <w:b/>
          <w:bCs/>
        </w:rPr>
        <w:t>RETAIN (REverse Time AttentIoN)</w:t>
      </w:r>
      <w:r w:rsidRPr="004D6FFD">
        <w:t>, which enhances interpretability and performance by attending to EHR data in reverse chronological order.</w:t>
      </w:r>
    </w:p>
    <w:p w14:paraId="6E42F012" w14:textId="77777777" w:rsidR="004D6FFD" w:rsidRPr="004D6FFD" w:rsidRDefault="004D6FFD" w:rsidP="004D6FFD">
      <w:pPr>
        <w:numPr>
          <w:ilvl w:val="0"/>
          <w:numId w:val="3"/>
        </w:numPr>
      </w:pPr>
      <w:r w:rsidRPr="004D6FFD">
        <w:rPr>
          <w:b/>
          <w:bCs/>
        </w:rPr>
        <w:t>Design Choice:</w:t>
      </w:r>
      <w:r w:rsidRPr="004D6FFD">
        <w:t xml:space="preserve"> Unlike a standard Transformer which may treat all historical visits with equal initial weight, the RETAIN-inspired mechanism mimics physician behavior by prioritizing more recent clinical events.</w:t>
      </w:r>
    </w:p>
    <w:p w14:paraId="1900DF13" w14:textId="77777777" w:rsidR="004D6FFD" w:rsidRPr="004D6FFD" w:rsidRDefault="004D6FFD" w:rsidP="004D6FFD">
      <w:pPr>
        <w:numPr>
          <w:ilvl w:val="0"/>
          <w:numId w:val="3"/>
        </w:numPr>
      </w:pPr>
      <w:r w:rsidRPr="004D6FFD">
        <w:rPr>
          <w:b/>
          <w:bCs/>
        </w:rPr>
        <w:lastRenderedPageBreak/>
        <w:t>Architecture:</w:t>
      </w:r>
      <w:r w:rsidRPr="004D6FFD">
        <w:t xml:space="preserve"> The model employs a two-level neural attention mechanism:</w:t>
      </w:r>
    </w:p>
    <w:p w14:paraId="517A8B2E" w14:textId="2063B0B4" w:rsidR="004D6FFD" w:rsidRPr="004D6FFD" w:rsidRDefault="004D6FFD" w:rsidP="004D6FFD">
      <w:pPr>
        <w:numPr>
          <w:ilvl w:val="1"/>
          <w:numId w:val="3"/>
        </w:numPr>
      </w:pPr>
      <w:r w:rsidRPr="004D6FFD">
        <w:rPr>
          <w:b/>
          <w:bCs/>
        </w:rPr>
        <w:t>Visit-level Attention (</w:t>
      </w:r>
      <w:r w:rsidR="00AC5486">
        <w:rPr>
          <w:b/>
          <w:bCs/>
        </w:rPr>
        <w:t>A</w:t>
      </w:r>
      <w:r w:rsidRPr="004D6FFD">
        <w:rPr>
          <w:b/>
          <w:bCs/>
        </w:rPr>
        <w:t>lpha):</w:t>
      </w:r>
      <w:r w:rsidRPr="004D6FFD">
        <w:t xml:space="preserve"> Identifies which past hospitalizations are most influential for the current medication prediction.</w:t>
      </w:r>
    </w:p>
    <w:p w14:paraId="653A5527" w14:textId="597EBEA5" w:rsidR="004D6FFD" w:rsidRPr="004D6FFD" w:rsidRDefault="004D6FFD" w:rsidP="004D6FFD">
      <w:pPr>
        <w:numPr>
          <w:ilvl w:val="1"/>
          <w:numId w:val="3"/>
        </w:numPr>
      </w:pPr>
      <w:r w:rsidRPr="004D6FFD">
        <w:rPr>
          <w:b/>
          <w:bCs/>
        </w:rPr>
        <w:t>Variable-level Attention (</w:t>
      </w:r>
      <w:r w:rsidR="00AC5486">
        <w:rPr>
          <w:b/>
          <w:bCs/>
        </w:rPr>
        <w:t>B</w:t>
      </w:r>
      <w:r w:rsidRPr="004D6FFD">
        <w:rPr>
          <w:b/>
          <w:bCs/>
        </w:rPr>
        <w:t>eta):</w:t>
      </w:r>
      <w:r w:rsidRPr="004D6FFD">
        <w:t xml:space="preserve"> Pinpoints specific diagnoses or procedures within those visits that justify the drug recommendation.</w:t>
      </w:r>
    </w:p>
    <w:p w14:paraId="09E19329" w14:textId="19899887" w:rsidR="004D6FFD" w:rsidRPr="004D6FFD" w:rsidRDefault="004D6FFD" w:rsidP="004D6FFD">
      <w:pPr>
        <w:numPr>
          <w:ilvl w:val="0"/>
          <w:numId w:val="3"/>
        </w:numPr>
      </w:pPr>
      <w:r w:rsidRPr="004D6FFD">
        <w:rPr>
          <w:b/>
          <w:bCs/>
        </w:rPr>
        <w:t>Fusion:</w:t>
      </w:r>
      <w:r w:rsidRPr="004D6FFD">
        <w:t xml:space="preserve"> The historical medication context (</w:t>
      </w:r>
      <w:r w:rsidRPr="00956002">
        <w:rPr>
          <w:i/>
          <w:iCs/>
        </w:rPr>
        <w:t>0..t-1</w:t>
      </w:r>
      <w:r w:rsidRPr="004D6FFD">
        <w:t>) and current clinical inputs (</w:t>
      </w:r>
      <w:r w:rsidRPr="00A669FF">
        <w:rPr>
          <w:i/>
          <w:iCs/>
        </w:rPr>
        <w:t>0..t</w:t>
      </w:r>
      <w:r w:rsidRPr="004D6FFD">
        <w:t>) are embedded and passed through these dual attention heads before reaching the final multi-label output layer.</w:t>
      </w:r>
    </w:p>
    <w:p w14:paraId="2DD74524" w14:textId="77777777" w:rsidR="004D6FFD" w:rsidRPr="004D6FFD" w:rsidRDefault="004D6FFD" w:rsidP="004D6FFD">
      <w:pPr>
        <w:rPr>
          <w:b/>
          <w:bCs/>
        </w:rPr>
      </w:pPr>
      <w:r w:rsidRPr="004D6FFD">
        <w:rPr>
          <w:b/>
          <w:bCs/>
        </w:rPr>
        <w:t>4. Main Results Table</w:t>
      </w:r>
    </w:p>
    <w:p w14:paraId="3684473A" w14:textId="77777777" w:rsidR="004D6FFD" w:rsidRPr="004D6FFD" w:rsidRDefault="004D6FFD" w:rsidP="004D6FFD">
      <w:r w:rsidRPr="004D6FFD">
        <w:t>The following table compares the baseline Transformer model with the improved RETAIN-inspired attention model. Improvements ($\Delta$) are calculated as (Method - Baseline).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2"/>
        <w:gridCol w:w="2070"/>
        <w:gridCol w:w="1586"/>
        <w:gridCol w:w="1251"/>
        <w:gridCol w:w="1601"/>
      </w:tblGrid>
      <w:tr w:rsidR="004D6FFD" w:rsidRPr="004D6FFD" w14:paraId="035DB448" w14:textId="77777777" w:rsidTr="00A669FF">
        <w:trPr>
          <w:tblHeader/>
          <w:tblCellSpacing w:w="15" w:type="dxa"/>
        </w:trPr>
        <w:tc>
          <w:tcPr>
            <w:tcW w:w="2827" w:type="dxa"/>
            <w:tcBorders>
              <w:top w:val="single" w:sz="6" w:space="0" w:color="auto"/>
              <w:left w:val="single" w:sz="6" w:space="0" w:color="auto"/>
              <w:bottom w:val="single" w:sz="6" w:space="0" w:color="auto"/>
              <w:right w:val="single" w:sz="6" w:space="0" w:color="auto"/>
            </w:tcBorders>
            <w:vAlign w:val="center"/>
            <w:hideMark/>
          </w:tcPr>
          <w:p w14:paraId="0BAD4B0C" w14:textId="77777777" w:rsidR="004D6FFD" w:rsidRPr="004D6FFD" w:rsidRDefault="004D6FFD" w:rsidP="004D6FFD">
            <w:r w:rsidRPr="004D6FFD">
              <w:rPr>
                <w:b/>
                <w:bCs/>
              </w:rPr>
              <w:t>Model</w:t>
            </w:r>
          </w:p>
        </w:tc>
        <w:tc>
          <w:tcPr>
            <w:tcW w:w="2040" w:type="dxa"/>
            <w:tcBorders>
              <w:top w:val="single" w:sz="6" w:space="0" w:color="auto"/>
              <w:left w:val="single" w:sz="6" w:space="0" w:color="auto"/>
              <w:bottom w:val="single" w:sz="6" w:space="0" w:color="auto"/>
              <w:right w:val="single" w:sz="6" w:space="0" w:color="auto"/>
            </w:tcBorders>
            <w:vAlign w:val="center"/>
            <w:hideMark/>
          </w:tcPr>
          <w:p w14:paraId="1224D012" w14:textId="77777777" w:rsidR="004D6FFD" w:rsidRPr="004D6FFD" w:rsidRDefault="004D6FFD" w:rsidP="004D6FFD">
            <w:r w:rsidRPr="004D6FFD">
              <w:rPr>
                <w:b/>
                <w:bCs/>
              </w:rPr>
              <w:t>AUPRC (Sample)</w:t>
            </w:r>
          </w:p>
        </w:tc>
        <w:tc>
          <w:tcPr>
            <w:tcW w:w="1556" w:type="dxa"/>
            <w:tcBorders>
              <w:top w:val="single" w:sz="6" w:space="0" w:color="auto"/>
              <w:left w:val="single" w:sz="6" w:space="0" w:color="auto"/>
              <w:bottom w:val="single" w:sz="6" w:space="0" w:color="auto"/>
              <w:right w:val="single" w:sz="6" w:space="0" w:color="auto"/>
            </w:tcBorders>
            <w:vAlign w:val="center"/>
            <w:hideMark/>
          </w:tcPr>
          <w:p w14:paraId="294F0BAC" w14:textId="77777777" w:rsidR="004D6FFD" w:rsidRPr="004D6FFD" w:rsidRDefault="004D6FFD" w:rsidP="004D6FFD">
            <w:r w:rsidRPr="004D6FFD">
              <w:rPr>
                <w:b/>
                <w:bCs/>
              </w:rPr>
              <w:t>Precision@10</w:t>
            </w:r>
          </w:p>
        </w:tc>
        <w:tc>
          <w:tcPr>
            <w:tcW w:w="1221" w:type="dxa"/>
            <w:tcBorders>
              <w:top w:val="single" w:sz="6" w:space="0" w:color="auto"/>
              <w:left w:val="single" w:sz="6" w:space="0" w:color="auto"/>
              <w:bottom w:val="single" w:sz="6" w:space="0" w:color="auto"/>
              <w:right w:val="single" w:sz="6" w:space="0" w:color="auto"/>
            </w:tcBorders>
            <w:vAlign w:val="center"/>
            <w:hideMark/>
          </w:tcPr>
          <w:p w14:paraId="587F83C0" w14:textId="77777777" w:rsidR="004D6FFD" w:rsidRPr="004D6FFD" w:rsidRDefault="004D6FFD" w:rsidP="004D6FFD">
            <w:r w:rsidRPr="004D6FFD">
              <w:rPr>
                <w:b/>
                <w:bCs/>
              </w:rPr>
              <w:t>Recall@10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E346B" w14:textId="77777777" w:rsidR="004D6FFD" w:rsidRPr="004D6FFD" w:rsidRDefault="004D6FFD" w:rsidP="004D6FFD">
            <w:r w:rsidRPr="004D6FFD">
              <w:rPr>
                <w:b/>
                <w:bCs/>
              </w:rPr>
              <w:t>Precision@20</w:t>
            </w:r>
          </w:p>
        </w:tc>
      </w:tr>
      <w:tr w:rsidR="004D6FFD" w:rsidRPr="004D6FFD" w14:paraId="300CAA06" w14:textId="77777777" w:rsidTr="00A669FF">
        <w:trPr>
          <w:tblCellSpacing w:w="15" w:type="dxa"/>
        </w:trPr>
        <w:tc>
          <w:tcPr>
            <w:tcW w:w="2827" w:type="dxa"/>
            <w:tcBorders>
              <w:top w:val="single" w:sz="6" w:space="0" w:color="auto"/>
              <w:left w:val="single" w:sz="6" w:space="0" w:color="auto"/>
              <w:bottom w:val="single" w:sz="6" w:space="0" w:color="auto"/>
              <w:right w:val="single" w:sz="6" w:space="0" w:color="auto"/>
            </w:tcBorders>
            <w:vAlign w:val="center"/>
            <w:hideMark/>
          </w:tcPr>
          <w:p w14:paraId="3CD9E59B" w14:textId="77777777" w:rsidR="004D6FFD" w:rsidRPr="004D6FFD" w:rsidRDefault="004D6FFD" w:rsidP="004D6FFD">
            <w:r w:rsidRPr="004D6FFD">
              <w:rPr>
                <w:b/>
                <w:bCs/>
              </w:rPr>
              <w:t>Baseline (Transformer)</w:t>
            </w:r>
          </w:p>
        </w:tc>
        <w:tc>
          <w:tcPr>
            <w:tcW w:w="2040" w:type="dxa"/>
            <w:tcBorders>
              <w:top w:val="single" w:sz="6" w:space="0" w:color="auto"/>
              <w:left w:val="single" w:sz="6" w:space="0" w:color="auto"/>
              <w:bottom w:val="single" w:sz="6" w:space="0" w:color="auto"/>
              <w:right w:val="single" w:sz="6" w:space="0" w:color="auto"/>
            </w:tcBorders>
            <w:vAlign w:val="center"/>
            <w:hideMark/>
          </w:tcPr>
          <w:p w14:paraId="0E4A2EAC" w14:textId="3CEBBD00" w:rsidR="004D6FFD" w:rsidRPr="004D6FFD" w:rsidRDefault="00A669FF" w:rsidP="004D6FFD">
            <w:r w:rsidRPr="00A669FF">
              <w:t>0.6337</w:t>
            </w:r>
          </w:p>
        </w:tc>
        <w:tc>
          <w:tcPr>
            <w:tcW w:w="1556" w:type="dxa"/>
            <w:tcBorders>
              <w:top w:val="single" w:sz="6" w:space="0" w:color="auto"/>
              <w:left w:val="single" w:sz="6" w:space="0" w:color="auto"/>
              <w:bottom w:val="single" w:sz="6" w:space="0" w:color="auto"/>
              <w:right w:val="single" w:sz="6" w:space="0" w:color="auto"/>
            </w:tcBorders>
            <w:vAlign w:val="center"/>
            <w:hideMark/>
          </w:tcPr>
          <w:p w14:paraId="4EED3B46" w14:textId="70273E11" w:rsidR="004D6FFD" w:rsidRPr="004D6FFD" w:rsidRDefault="00A669FF" w:rsidP="004D6FFD">
            <w:r w:rsidRPr="00A669FF">
              <w:t>0.8036</w:t>
            </w:r>
          </w:p>
        </w:tc>
        <w:tc>
          <w:tcPr>
            <w:tcW w:w="1221" w:type="dxa"/>
            <w:tcBorders>
              <w:top w:val="single" w:sz="6" w:space="0" w:color="auto"/>
              <w:left w:val="single" w:sz="6" w:space="0" w:color="auto"/>
              <w:bottom w:val="single" w:sz="6" w:space="0" w:color="auto"/>
              <w:right w:val="single" w:sz="6" w:space="0" w:color="auto"/>
            </w:tcBorders>
            <w:vAlign w:val="center"/>
            <w:hideMark/>
          </w:tcPr>
          <w:p w14:paraId="7E07CE82" w14:textId="03D2ADBE" w:rsidR="004D6FFD" w:rsidRPr="004D6FFD" w:rsidRDefault="00A669FF" w:rsidP="004D6FFD">
            <w:r w:rsidRPr="00A669FF">
              <w:t>0.2551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A4884" w14:textId="48D37D9D" w:rsidR="004D6FFD" w:rsidRPr="004D6FFD" w:rsidRDefault="00A669FF" w:rsidP="004D6FFD">
            <w:r w:rsidRPr="00A669FF">
              <w:t>0.6999</w:t>
            </w:r>
          </w:p>
        </w:tc>
      </w:tr>
      <w:tr w:rsidR="004D6FFD" w:rsidRPr="004D6FFD" w14:paraId="046CBBC9" w14:textId="77777777" w:rsidTr="00A669FF">
        <w:trPr>
          <w:tblCellSpacing w:w="15" w:type="dxa"/>
        </w:trPr>
        <w:tc>
          <w:tcPr>
            <w:tcW w:w="2827" w:type="dxa"/>
            <w:tcBorders>
              <w:top w:val="single" w:sz="6" w:space="0" w:color="auto"/>
              <w:left w:val="single" w:sz="6" w:space="0" w:color="auto"/>
              <w:bottom w:val="single" w:sz="6" w:space="0" w:color="auto"/>
              <w:right w:val="single" w:sz="6" w:space="0" w:color="auto"/>
            </w:tcBorders>
            <w:vAlign w:val="center"/>
            <w:hideMark/>
          </w:tcPr>
          <w:p w14:paraId="70E37940" w14:textId="77777777" w:rsidR="004D6FFD" w:rsidRPr="004D6FFD" w:rsidRDefault="004D6FFD" w:rsidP="004D6FFD">
            <w:r w:rsidRPr="004D6FFD">
              <w:rPr>
                <w:b/>
                <w:bCs/>
              </w:rPr>
              <w:t>Improved (RETAIN-Attn)</w:t>
            </w:r>
          </w:p>
        </w:tc>
        <w:tc>
          <w:tcPr>
            <w:tcW w:w="2040" w:type="dxa"/>
            <w:tcBorders>
              <w:top w:val="single" w:sz="6" w:space="0" w:color="auto"/>
              <w:left w:val="single" w:sz="6" w:space="0" w:color="auto"/>
              <w:bottom w:val="single" w:sz="6" w:space="0" w:color="auto"/>
              <w:right w:val="single" w:sz="6" w:space="0" w:color="auto"/>
            </w:tcBorders>
            <w:vAlign w:val="center"/>
            <w:hideMark/>
          </w:tcPr>
          <w:p w14:paraId="61AF7A9E" w14:textId="5B584A01" w:rsidR="004D6FFD" w:rsidRPr="004D6FFD" w:rsidRDefault="00A669FF" w:rsidP="004D6FFD">
            <w:r w:rsidRPr="00A669FF">
              <w:t>0.6610</w:t>
            </w:r>
          </w:p>
        </w:tc>
        <w:tc>
          <w:tcPr>
            <w:tcW w:w="1556" w:type="dxa"/>
            <w:tcBorders>
              <w:top w:val="single" w:sz="6" w:space="0" w:color="auto"/>
              <w:left w:val="single" w:sz="6" w:space="0" w:color="auto"/>
              <w:bottom w:val="single" w:sz="6" w:space="0" w:color="auto"/>
              <w:right w:val="single" w:sz="6" w:space="0" w:color="auto"/>
            </w:tcBorders>
            <w:vAlign w:val="center"/>
            <w:hideMark/>
          </w:tcPr>
          <w:p w14:paraId="23FFEEAB" w14:textId="1B41BD7D" w:rsidR="004D6FFD" w:rsidRPr="004D6FFD" w:rsidRDefault="00A669FF" w:rsidP="004D6FFD">
            <w:r w:rsidRPr="00A669FF">
              <w:t>0.8256</w:t>
            </w:r>
          </w:p>
        </w:tc>
        <w:tc>
          <w:tcPr>
            <w:tcW w:w="1221" w:type="dxa"/>
            <w:tcBorders>
              <w:top w:val="single" w:sz="6" w:space="0" w:color="auto"/>
              <w:left w:val="single" w:sz="6" w:space="0" w:color="auto"/>
              <w:bottom w:val="single" w:sz="6" w:space="0" w:color="auto"/>
              <w:right w:val="single" w:sz="6" w:space="0" w:color="auto"/>
            </w:tcBorders>
            <w:vAlign w:val="center"/>
            <w:hideMark/>
          </w:tcPr>
          <w:p w14:paraId="2C73E5D9" w14:textId="4AAF9E27" w:rsidR="004D6FFD" w:rsidRPr="004D6FFD" w:rsidRDefault="00A669FF" w:rsidP="004D6FFD">
            <w:r w:rsidRPr="00A669FF">
              <w:t>0.2632</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5737F" w14:textId="771CAA1E" w:rsidR="004D6FFD" w:rsidRPr="004D6FFD" w:rsidRDefault="00A669FF" w:rsidP="004D6FFD">
            <w:r w:rsidRPr="00A669FF">
              <w:t>0.7215</w:t>
            </w:r>
          </w:p>
        </w:tc>
      </w:tr>
      <w:tr w:rsidR="004D6FFD" w:rsidRPr="004D6FFD" w14:paraId="23C1953E" w14:textId="77777777" w:rsidTr="00A669FF">
        <w:trPr>
          <w:tblCellSpacing w:w="15" w:type="dxa"/>
        </w:trPr>
        <w:tc>
          <w:tcPr>
            <w:tcW w:w="2827" w:type="dxa"/>
            <w:tcBorders>
              <w:top w:val="single" w:sz="6" w:space="0" w:color="auto"/>
              <w:left w:val="single" w:sz="6" w:space="0" w:color="auto"/>
              <w:bottom w:val="single" w:sz="6" w:space="0" w:color="auto"/>
              <w:right w:val="single" w:sz="6" w:space="0" w:color="auto"/>
            </w:tcBorders>
            <w:vAlign w:val="center"/>
            <w:hideMark/>
          </w:tcPr>
          <w:p w14:paraId="5A6CD02E" w14:textId="75D20C96" w:rsidR="004D6FFD" w:rsidRPr="004D6FFD" w:rsidRDefault="004D6FFD" w:rsidP="004D6FFD">
            <w:r w:rsidRPr="004D6FFD">
              <w:rPr>
                <w:b/>
                <w:bCs/>
              </w:rPr>
              <w:t>Improvement (Delta)</w:t>
            </w:r>
          </w:p>
        </w:tc>
        <w:tc>
          <w:tcPr>
            <w:tcW w:w="2040" w:type="dxa"/>
            <w:tcBorders>
              <w:top w:val="single" w:sz="6" w:space="0" w:color="auto"/>
              <w:left w:val="single" w:sz="6" w:space="0" w:color="auto"/>
              <w:bottom w:val="single" w:sz="6" w:space="0" w:color="auto"/>
              <w:right w:val="single" w:sz="6" w:space="0" w:color="auto"/>
            </w:tcBorders>
            <w:vAlign w:val="center"/>
            <w:hideMark/>
          </w:tcPr>
          <w:p w14:paraId="1B7B5D77" w14:textId="592CEDD1" w:rsidR="004D6FFD" w:rsidRPr="004D6FFD" w:rsidRDefault="004D6FFD" w:rsidP="004D6FFD">
            <w:r w:rsidRPr="004D6FFD">
              <w:rPr>
                <w:b/>
                <w:bCs/>
              </w:rPr>
              <w:t>+</w:t>
            </w:r>
            <w:r w:rsidR="00A669FF">
              <w:rPr>
                <w:b/>
                <w:bCs/>
              </w:rPr>
              <w:t>0.0273</w:t>
            </w:r>
          </w:p>
        </w:tc>
        <w:tc>
          <w:tcPr>
            <w:tcW w:w="1556" w:type="dxa"/>
            <w:tcBorders>
              <w:top w:val="single" w:sz="6" w:space="0" w:color="auto"/>
              <w:left w:val="single" w:sz="6" w:space="0" w:color="auto"/>
              <w:bottom w:val="single" w:sz="6" w:space="0" w:color="auto"/>
              <w:right w:val="single" w:sz="6" w:space="0" w:color="auto"/>
            </w:tcBorders>
            <w:vAlign w:val="center"/>
            <w:hideMark/>
          </w:tcPr>
          <w:p w14:paraId="66BD4F28" w14:textId="613BFD8A" w:rsidR="004D6FFD" w:rsidRPr="00352F66" w:rsidRDefault="00352F66" w:rsidP="004D6FFD">
            <w:pPr>
              <w:rPr>
                <w:b/>
                <w:bCs/>
              </w:rPr>
            </w:pPr>
            <w:r w:rsidRPr="00352F66">
              <w:rPr>
                <w:b/>
                <w:bCs/>
              </w:rPr>
              <w:t>+0.022</w:t>
            </w:r>
          </w:p>
        </w:tc>
        <w:tc>
          <w:tcPr>
            <w:tcW w:w="1221" w:type="dxa"/>
            <w:tcBorders>
              <w:top w:val="single" w:sz="6" w:space="0" w:color="auto"/>
              <w:left w:val="single" w:sz="6" w:space="0" w:color="auto"/>
              <w:bottom w:val="single" w:sz="6" w:space="0" w:color="auto"/>
              <w:right w:val="single" w:sz="6" w:space="0" w:color="auto"/>
            </w:tcBorders>
            <w:vAlign w:val="center"/>
            <w:hideMark/>
          </w:tcPr>
          <w:p w14:paraId="0792A2D4" w14:textId="3ECF6007" w:rsidR="004D6FFD" w:rsidRPr="004D6FFD" w:rsidRDefault="004D6FFD" w:rsidP="004D6FFD">
            <w:r w:rsidRPr="004D6FFD">
              <w:rPr>
                <w:b/>
                <w:bCs/>
              </w:rPr>
              <w:t>+</w:t>
            </w:r>
            <w:r w:rsidR="00352F66">
              <w:rPr>
                <w:b/>
                <w:bCs/>
              </w:rPr>
              <w:t>0.0081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D44B5" w14:textId="0D41D3E8" w:rsidR="004D6FFD" w:rsidRPr="004D6FFD" w:rsidRDefault="004D6FFD" w:rsidP="004D6FFD">
            <w:r w:rsidRPr="004D6FFD">
              <w:rPr>
                <w:b/>
                <w:bCs/>
              </w:rPr>
              <w:t>+</w:t>
            </w:r>
            <w:r w:rsidR="00324BF2">
              <w:rPr>
                <w:b/>
                <w:bCs/>
              </w:rPr>
              <w:t>0.0216</w:t>
            </w:r>
          </w:p>
        </w:tc>
      </w:tr>
    </w:tbl>
    <w:p w14:paraId="7CA8F459" w14:textId="77777777" w:rsidR="00E8768D" w:rsidRDefault="00E8768D" w:rsidP="004D6FFD">
      <w:pPr>
        <w:rPr>
          <w:b/>
          <w:bCs/>
        </w:rPr>
      </w:pPr>
    </w:p>
    <w:p w14:paraId="54873BEC" w14:textId="3B02FCCC" w:rsidR="004D6FFD" w:rsidRPr="004D6FFD" w:rsidRDefault="004D6FFD" w:rsidP="004D6FFD">
      <w:pPr>
        <w:rPr>
          <w:b/>
          <w:bCs/>
        </w:rPr>
      </w:pPr>
      <w:r w:rsidRPr="004D6FFD">
        <w:rPr>
          <w:b/>
          <w:bCs/>
        </w:rPr>
        <w:t>5. Ablation Studies</w:t>
      </w:r>
    </w:p>
    <w:p w14:paraId="6312A2C0" w14:textId="77777777" w:rsidR="004D6FFD" w:rsidRPr="004D6FFD" w:rsidRDefault="004D6FFD" w:rsidP="004D6FFD">
      <w:r w:rsidRPr="004D6FFD">
        <w:t>Two ablation runs were conducted to validate the necessity of the added components.</w:t>
      </w:r>
    </w:p>
    <w:p w14:paraId="5CFA8DAB" w14:textId="022F3000" w:rsidR="004D6FFD" w:rsidRPr="004D6FFD" w:rsidRDefault="004D6FFD" w:rsidP="004D6FFD">
      <w:pPr>
        <w:numPr>
          <w:ilvl w:val="0"/>
          <w:numId w:val="4"/>
        </w:numPr>
      </w:pPr>
      <w:r w:rsidRPr="004D6FFD">
        <w:rPr>
          <w:b/>
          <w:bCs/>
        </w:rPr>
        <w:t>Ablation 1: Removal of Variable-level Attention (</w:t>
      </w:r>
      <w:r w:rsidR="00605DF0">
        <w:rPr>
          <w:b/>
          <w:bCs/>
        </w:rPr>
        <w:t>B</w:t>
      </w:r>
      <w:r w:rsidRPr="004D6FFD">
        <w:rPr>
          <w:b/>
          <w:bCs/>
        </w:rPr>
        <w:t>eta):</w:t>
      </w:r>
      <w:r w:rsidRPr="004D6FFD">
        <w:t xml:space="preserve"> We removed the specific attention head that focuses on individual medical codes within a visit, relying only on temporal visit weighting.</w:t>
      </w:r>
    </w:p>
    <w:p w14:paraId="1319C4DF" w14:textId="77777777" w:rsidR="004D6FFD" w:rsidRPr="004D6FFD" w:rsidRDefault="004D6FFD" w:rsidP="004D6FFD">
      <w:pPr>
        <w:numPr>
          <w:ilvl w:val="0"/>
          <w:numId w:val="4"/>
        </w:numPr>
      </w:pPr>
      <w:r w:rsidRPr="004D6FFD">
        <w:rPr>
          <w:b/>
          <w:bCs/>
        </w:rPr>
        <w:t>Ablation 2: Removal of Reverse-Time Weighting:</w:t>
      </w:r>
      <w:r w:rsidRPr="004D6FFD">
        <w:t xml:space="preserve"> We replaced the reverse-chronological bias with standard bidirectional attention.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72"/>
        <w:gridCol w:w="2070"/>
        <w:gridCol w:w="1620"/>
        <w:gridCol w:w="1890"/>
        <w:gridCol w:w="1530"/>
      </w:tblGrid>
      <w:tr w:rsidR="00DF308A" w:rsidRPr="004D6FFD" w14:paraId="1C3FC163" w14:textId="77777777" w:rsidTr="00DF308A">
        <w:trPr>
          <w:tblHeader/>
          <w:tblCellSpacing w:w="15" w:type="dxa"/>
        </w:trPr>
        <w:tc>
          <w:tcPr>
            <w:tcW w:w="2827" w:type="dxa"/>
            <w:tcBorders>
              <w:top w:val="single" w:sz="6" w:space="0" w:color="auto"/>
              <w:left w:val="single" w:sz="6" w:space="0" w:color="auto"/>
              <w:bottom w:val="single" w:sz="6" w:space="0" w:color="auto"/>
              <w:right w:val="single" w:sz="6" w:space="0" w:color="auto"/>
            </w:tcBorders>
            <w:vAlign w:val="center"/>
            <w:hideMark/>
          </w:tcPr>
          <w:p w14:paraId="5EA25A21" w14:textId="77777777" w:rsidR="00DF308A" w:rsidRPr="004D6FFD" w:rsidRDefault="00DF308A" w:rsidP="00DF308A">
            <w:r w:rsidRPr="004D6FFD">
              <w:rPr>
                <w:b/>
                <w:bCs/>
              </w:rPr>
              <w:t>Model Variant</w:t>
            </w:r>
          </w:p>
        </w:tc>
        <w:tc>
          <w:tcPr>
            <w:tcW w:w="2040" w:type="dxa"/>
            <w:tcBorders>
              <w:top w:val="single" w:sz="6" w:space="0" w:color="auto"/>
              <w:left w:val="single" w:sz="6" w:space="0" w:color="auto"/>
              <w:bottom w:val="single" w:sz="6" w:space="0" w:color="auto"/>
              <w:right w:val="single" w:sz="6" w:space="0" w:color="auto"/>
            </w:tcBorders>
            <w:vAlign w:val="center"/>
            <w:hideMark/>
          </w:tcPr>
          <w:p w14:paraId="156889E5" w14:textId="77777777" w:rsidR="00DF308A" w:rsidRPr="004D6FFD" w:rsidRDefault="00DF308A" w:rsidP="00DF308A">
            <w:r w:rsidRPr="004D6FFD">
              <w:rPr>
                <w:b/>
                <w:bCs/>
              </w:rPr>
              <w:t>AUPRC (Sample)</w:t>
            </w:r>
          </w:p>
        </w:tc>
        <w:tc>
          <w:tcPr>
            <w:tcW w:w="1590" w:type="dxa"/>
            <w:tcBorders>
              <w:top w:val="single" w:sz="6" w:space="0" w:color="auto"/>
              <w:left w:val="single" w:sz="6" w:space="0" w:color="auto"/>
              <w:bottom w:val="single" w:sz="6" w:space="0" w:color="auto"/>
              <w:right w:val="single" w:sz="6" w:space="0" w:color="auto"/>
            </w:tcBorders>
            <w:vAlign w:val="center"/>
          </w:tcPr>
          <w:p w14:paraId="4C04246C" w14:textId="10237F66" w:rsidR="00DF308A" w:rsidRPr="004D6FFD" w:rsidRDefault="00DF308A" w:rsidP="00DF308A">
            <w:pPr>
              <w:rPr>
                <w:b/>
                <w:bCs/>
              </w:rPr>
            </w:pPr>
            <w:r w:rsidRPr="004D6FFD">
              <w:rPr>
                <w:b/>
                <w:bCs/>
              </w:rPr>
              <w:t>Δ from Full</w:t>
            </w:r>
          </w:p>
        </w:tc>
        <w:tc>
          <w:tcPr>
            <w:tcW w:w="1860" w:type="dxa"/>
            <w:tcBorders>
              <w:top w:val="single" w:sz="6" w:space="0" w:color="auto"/>
              <w:left w:val="single" w:sz="6" w:space="0" w:color="auto"/>
              <w:bottom w:val="single" w:sz="6" w:space="0" w:color="auto"/>
              <w:right w:val="single" w:sz="6" w:space="0" w:color="auto"/>
            </w:tcBorders>
            <w:vAlign w:val="center"/>
            <w:hideMark/>
          </w:tcPr>
          <w:p w14:paraId="667ECADD" w14:textId="382A5B7A" w:rsidR="00DF308A" w:rsidRPr="004D6FFD" w:rsidRDefault="00DF308A" w:rsidP="00DF308A">
            <w:r w:rsidRPr="004D6FFD">
              <w:rPr>
                <w:b/>
                <w:bCs/>
              </w:rPr>
              <w:t>Precision@10</w:t>
            </w:r>
          </w:p>
        </w:tc>
        <w:tc>
          <w:tcPr>
            <w:tcW w:w="1485" w:type="dxa"/>
            <w:tcBorders>
              <w:top w:val="single" w:sz="6" w:space="0" w:color="auto"/>
              <w:left w:val="single" w:sz="6" w:space="0" w:color="auto"/>
              <w:bottom w:val="single" w:sz="6" w:space="0" w:color="auto"/>
              <w:right w:val="single" w:sz="6" w:space="0" w:color="auto"/>
            </w:tcBorders>
            <w:vAlign w:val="center"/>
            <w:hideMark/>
          </w:tcPr>
          <w:p w14:paraId="293974BA" w14:textId="77777777" w:rsidR="00DF308A" w:rsidRPr="004D6FFD" w:rsidRDefault="00DF308A" w:rsidP="00DF308A">
            <w:r w:rsidRPr="004D6FFD">
              <w:rPr>
                <w:b/>
                <w:bCs/>
              </w:rPr>
              <w:t>Δ from Full</w:t>
            </w:r>
          </w:p>
        </w:tc>
      </w:tr>
      <w:tr w:rsidR="00DF308A" w:rsidRPr="004D6FFD" w14:paraId="4C0D4C34" w14:textId="77777777" w:rsidTr="00DF308A">
        <w:trPr>
          <w:tblCellSpacing w:w="15" w:type="dxa"/>
        </w:trPr>
        <w:tc>
          <w:tcPr>
            <w:tcW w:w="2827" w:type="dxa"/>
            <w:tcBorders>
              <w:top w:val="single" w:sz="6" w:space="0" w:color="auto"/>
              <w:left w:val="single" w:sz="6" w:space="0" w:color="auto"/>
              <w:bottom w:val="single" w:sz="6" w:space="0" w:color="auto"/>
              <w:right w:val="single" w:sz="6" w:space="0" w:color="auto"/>
            </w:tcBorders>
            <w:vAlign w:val="center"/>
            <w:hideMark/>
          </w:tcPr>
          <w:p w14:paraId="54EAC72F" w14:textId="77777777" w:rsidR="00DF308A" w:rsidRPr="004D6FFD" w:rsidRDefault="00DF308A" w:rsidP="00DF308A">
            <w:r w:rsidRPr="004D6FFD">
              <w:rPr>
                <w:b/>
                <w:bCs/>
              </w:rPr>
              <w:t>Full Method</w:t>
            </w:r>
          </w:p>
        </w:tc>
        <w:tc>
          <w:tcPr>
            <w:tcW w:w="2040" w:type="dxa"/>
            <w:tcBorders>
              <w:top w:val="single" w:sz="6" w:space="0" w:color="auto"/>
              <w:left w:val="single" w:sz="6" w:space="0" w:color="auto"/>
              <w:bottom w:val="single" w:sz="6" w:space="0" w:color="auto"/>
              <w:right w:val="single" w:sz="6" w:space="0" w:color="auto"/>
            </w:tcBorders>
            <w:vAlign w:val="center"/>
            <w:hideMark/>
          </w:tcPr>
          <w:p w14:paraId="4DE83635" w14:textId="3B4ECE6B" w:rsidR="00DF308A" w:rsidRPr="004D6FFD" w:rsidRDefault="00DF308A" w:rsidP="00DF308A">
            <w:r w:rsidRPr="00A669FF">
              <w:t>0.6610</w:t>
            </w:r>
          </w:p>
        </w:tc>
        <w:tc>
          <w:tcPr>
            <w:tcW w:w="1590" w:type="dxa"/>
            <w:tcBorders>
              <w:top w:val="single" w:sz="6" w:space="0" w:color="auto"/>
              <w:left w:val="single" w:sz="6" w:space="0" w:color="auto"/>
              <w:bottom w:val="single" w:sz="6" w:space="0" w:color="auto"/>
              <w:right w:val="single" w:sz="6" w:space="0" w:color="auto"/>
            </w:tcBorders>
          </w:tcPr>
          <w:p w14:paraId="5D3F19A7" w14:textId="77777777" w:rsidR="00DF308A" w:rsidRPr="007D358D" w:rsidRDefault="00DF308A" w:rsidP="00DF308A"/>
        </w:tc>
        <w:tc>
          <w:tcPr>
            <w:tcW w:w="1860" w:type="dxa"/>
            <w:tcBorders>
              <w:top w:val="single" w:sz="6" w:space="0" w:color="auto"/>
              <w:left w:val="single" w:sz="6" w:space="0" w:color="auto"/>
              <w:bottom w:val="single" w:sz="6" w:space="0" w:color="auto"/>
              <w:right w:val="single" w:sz="6" w:space="0" w:color="auto"/>
            </w:tcBorders>
            <w:vAlign w:val="center"/>
            <w:hideMark/>
          </w:tcPr>
          <w:p w14:paraId="60746AD1" w14:textId="55F6198D" w:rsidR="00DF308A" w:rsidRPr="004D6FFD" w:rsidRDefault="00DF308A" w:rsidP="00DF308A">
            <w:r w:rsidRPr="007D358D">
              <w:t>0.8256</w:t>
            </w:r>
          </w:p>
        </w:tc>
        <w:tc>
          <w:tcPr>
            <w:tcW w:w="1485" w:type="dxa"/>
            <w:tcBorders>
              <w:top w:val="single" w:sz="6" w:space="0" w:color="auto"/>
              <w:left w:val="single" w:sz="6" w:space="0" w:color="auto"/>
              <w:bottom w:val="single" w:sz="6" w:space="0" w:color="auto"/>
              <w:right w:val="single" w:sz="6" w:space="0" w:color="auto"/>
            </w:tcBorders>
            <w:vAlign w:val="center"/>
            <w:hideMark/>
          </w:tcPr>
          <w:p w14:paraId="6D32AC6A" w14:textId="635E138F" w:rsidR="00DF308A" w:rsidRPr="004D6FFD" w:rsidRDefault="00DF308A" w:rsidP="00DF308A"/>
        </w:tc>
      </w:tr>
      <w:tr w:rsidR="00DF308A" w:rsidRPr="004D6FFD" w14:paraId="5253BD9B" w14:textId="77777777" w:rsidTr="00DF308A">
        <w:trPr>
          <w:tblCellSpacing w:w="15" w:type="dxa"/>
        </w:trPr>
        <w:tc>
          <w:tcPr>
            <w:tcW w:w="2827" w:type="dxa"/>
            <w:tcBorders>
              <w:top w:val="single" w:sz="6" w:space="0" w:color="auto"/>
              <w:left w:val="single" w:sz="6" w:space="0" w:color="auto"/>
              <w:bottom w:val="single" w:sz="6" w:space="0" w:color="auto"/>
              <w:right w:val="single" w:sz="6" w:space="0" w:color="auto"/>
            </w:tcBorders>
            <w:vAlign w:val="center"/>
            <w:hideMark/>
          </w:tcPr>
          <w:p w14:paraId="35313DBC" w14:textId="77777777" w:rsidR="00DF308A" w:rsidRPr="004D6FFD" w:rsidRDefault="00DF308A" w:rsidP="00DF308A">
            <w:r w:rsidRPr="004D6FFD">
              <w:rPr>
                <w:b/>
                <w:bCs/>
              </w:rPr>
              <w:t>w/o Variable Attention</w:t>
            </w:r>
          </w:p>
        </w:tc>
        <w:tc>
          <w:tcPr>
            <w:tcW w:w="2040" w:type="dxa"/>
            <w:tcBorders>
              <w:top w:val="single" w:sz="6" w:space="0" w:color="auto"/>
              <w:left w:val="single" w:sz="6" w:space="0" w:color="auto"/>
              <w:bottom w:val="single" w:sz="6" w:space="0" w:color="auto"/>
              <w:right w:val="single" w:sz="6" w:space="0" w:color="auto"/>
            </w:tcBorders>
            <w:vAlign w:val="center"/>
            <w:hideMark/>
          </w:tcPr>
          <w:p w14:paraId="3D1A1CC7" w14:textId="597A5794" w:rsidR="00DF308A" w:rsidRPr="004D6FFD" w:rsidRDefault="00DF308A" w:rsidP="00DF308A">
            <w:r w:rsidRPr="007D358D">
              <w:t>0.6521</w:t>
            </w:r>
          </w:p>
        </w:tc>
        <w:tc>
          <w:tcPr>
            <w:tcW w:w="1590" w:type="dxa"/>
            <w:tcBorders>
              <w:top w:val="single" w:sz="6" w:space="0" w:color="auto"/>
              <w:left w:val="single" w:sz="6" w:space="0" w:color="auto"/>
              <w:bottom w:val="single" w:sz="6" w:space="0" w:color="auto"/>
              <w:right w:val="single" w:sz="6" w:space="0" w:color="auto"/>
            </w:tcBorders>
          </w:tcPr>
          <w:p w14:paraId="0A58EB72" w14:textId="37CF45E4" w:rsidR="00DF308A" w:rsidRPr="007D358D" w:rsidRDefault="00DF308A" w:rsidP="00DF308A">
            <w:r>
              <w:t>-0.0089</w:t>
            </w:r>
          </w:p>
        </w:tc>
        <w:tc>
          <w:tcPr>
            <w:tcW w:w="1860" w:type="dxa"/>
            <w:tcBorders>
              <w:top w:val="single" w:sz="6" w:space="0" w:color="auto"/>
              <w:left w:val="single" w:sz="6" w:space="0" w:color="auto"/>
              <w:bottom w:val="single" w:sz="6" w:space="0" w:color="auto"/>
              <w:right w:val="single" w:sz="6" w:space="0" w:color="auto"/>
            </w:tcBorders>
            <w:vAlign w:val="center"/>
            <w:hideMark/>
          </w:tcPr>
          <w:p w14:paraId="2DCEE313" w14:textId="58C7F6EE" w:rsidR="00DF308A" w:rsidRPr="004D6FFD" w:rsidRDefault="00DF308A" w:rsidP="00DF308A">
            <w:r w:rsidRPr="007D358D">
              <w:t>0.8212</w:t>
            </w:r>
          </w:p>
        </w:tc>
        <w:tc>
          <w:tcPr>
            <w:tcW w:w="1485" w:type="dxa"/>
            <w:tcBorders>
              <w:top w:val="single" w:sz="6" w:space="0" w:color="auto"/>
              <w:left w:val="single" w:sz="6" w:space="0" w:color="auto"/>
              <w:bottom w:val="single" w:sz="6" w:space="0" w:color="auto"/>
              <w:right w:val="single" w:sz="6" w:space="0" w:color="auto"/>
            </w:tcBorders>
            <w:vAlign w:val="center"/>
            <w:hideMark/>
          </w:tcPr>
          <w:p w14:paraId="74EA0F24" w14:textId="049BB558" w:rsidR="00DF308A" w:rsidRPr="004D6FFD" w:rsidRDefault="00DF308A" w:rsidP="00DF308A">
            <w:r>
              <w:t>-0.0044</w:t>
            </w:r>
          </w:p>
        </w:tc>
      </w:tr>
      <w:tr w:rsidR="00DF308A" w:rsidRPr="004D6FFD" w14:paraId="25B8B045" w14:textId="77777777" w:rsidTr="00DF308A">
        <w:trPr>
          <w:tblCellSpacing w:w="15" w:type="dxa"/>
        </w:trPr>
        <w:tc>
          <w:tcPr>
            <w:tcW w:w="2827" w:type="dxa"/>
            <w:tcBorders>
              <w:top w:val="single" w:sz="6" w:space="0" w:color="auto"/>
              <w:left w:val="single" w:sz="6" w:space="0" w:color="auto"/>
              <w:bottom w:val="single" w:sz="6" w:space="0" w:color="auto"/>
              <w:right w:val="single" w:sz="6" w:space="0" w:color="auto"/>
            </w:tcBorders>
            <w:vAlign w:val="center"/>
            <w:hideMark/>
          </w:tcPr>
          <w:p w14:paraId="719DC1F1" w14:textId="77777777" w:rsidR="00DF308A" w:rsidRPr="004D6FFD" w:rsidRDefault="00DF308A" w:rsidP="00DF308A">
            <w:r w:rsidRPr="004D6FFD">
              <w:rPr>
                <w:b/>
                <w:bCs/>
              </w:rPr>
              <w:t>w/o Reverse-Time Bias</w:t>
            </w:r>
          </w:p>
        </w:tc>
        <w:tc>
          <w:tcPr>
            <w:tcW w:w="2040" w:type="dxa"/>
            <w:tcBorders>
              <w:top w:val="single" w:sz="6" w:space="0" w:color="auto"/>
              <w:left w:val="single" w:sz="6" w:space="0" w:color="auto"/>
              <w:bottom w:val="single" w:sz="6" w:space="0" w:color="auto"/>
              <w:right w:val="single" w:sz="6" w:space="0" w:color="auto"/>
            </w:tcBorders>
            <w:vAlign w:val="center"/>
            <w:hideMark/>
          </w:tcPr>
          <w:p w14:paraId="4C262433" w14:textId="1BF44A8C" w:rsidR="00DF308A" w:rsidRPr="004D6FFD" w:rsidRDefault="00DF308A" w:rsidP="00DF308A">
            <w:r w:rsidRPr="007D358D">
              <w:t>0.6517</w:t>
            </w:r>
          </w:p>
        </w:tc>
        <w:tc>
          <w:tcPr>
            <w:tcW w:w="1590" w:type="dxa"/>
            <w:tcBorders>
              <w:top w:val="single" w:sz="6" w:space="0" w:color="auto"/>
              <w:left w:val="single" w:sz="6" w:space="0" w:color="auto"/>
              <w:bottom w:val="single" w:sz="6" w:space="0" w:color="auto"/>
              <w:right w:val="single" w:sz="6" w:space="0" w:color="auto"/>
            </w:tcBorders>
          </w:tcPr>
          <w:p w14:paraId="7AB28AFD" w14:textId="516C7888" w:rsidR="00DF308A" w:rsidRPr="007D358D" w:rsidRDefault="00DF308A" w:rsidP="00DF308A">
            <w:r>
              <w:t>-0.0093</w:t>
            </w:r>
          </w:p>
        </w:tc>
        <w:tc>
          <w:tcPr>
            <w:tcW w:w="1860" w:type="dxa"/>
            <w:tcBorders>
              <w:top w:val="single" w:sz="6" w:space="0" w:color="auto"/>
              <w:left w:val="single" w:sz="6" w:space="0" w:color="auto"/>
              <w:bottom w:val="single" w:sz="6" w:space="0" w:color="auto"/>
              <w:right w:val="single" w:sz="6" w:space="0" w:color="auto"/>
            </w:tcBorders>
            <w:vAlign w:val="center"/>
            <w:hideMark/>
          </w:tcPr>
          <w:p w14:paraId="6E4796DC" w14:textId="104D25DF" w:rsidR="00DF308A" w:rsidRPr="004D6FFD" w:rsidRDefault="00DF308A" w:rsidP="00DF308A">
            <w:r w:rsidRPr="007D358D">
              <w:t>0.8166</w:t>
            </w:r>
          </w:p>
        </w:tc>
        <w:tc>
          <w:tcPr>
            <w:tcW w:w="1485" w:type="dxa"/>
            <w:tcBorders>
              <w:top w:val="single" w:sz="6" w:space="0" w:color="auto"/>
              <w:left w:val="single" w:sz="6" w:space="0" w:color="auto"/>
              <w:bottom w:val="single" w:sz="6" w:space="0" w:color="auto"/>
              <w:right w:val="single" w:sz="6" w:space="0" w:color="auto"/>
            </w:tcBorders>
            <w:vAlign w:val="center"/>
            <w:hideMark/>
          </w:tcPr>
          <w:p w14:paraId="4B736A0F" w14:textId="6B1A0E36" w:rsidR="00DF308A" w:rsidRPr="004D6FFD" w:rsidRDefault="00DF308A" w:rsidP="00DF308A">
            <w:r>
              <w:t>-0.009</w:t>
            </w:r>
          </w:p>
        </w:tc>
      </w:tr>
    </w:tbl>
    <w:p w14:paraId="1CB789E8" w14:textId="77777777" w:rsidR="00700832" w:rsidRDefault="00700832" w:rsidP="004D6FFD"/>
    <w:p w14:paraId="394F1358" w14:textId="15774C51" w:rsidR="004D6FFD" w:rsidRPr="004D6FFD" w:rsidRDefault="004D6FFD" w:rsidP="004D6FFD">
      <w:r w:rsidRPr="004D6FFD">
        <w:lastRenderedPageBreak/>
        <w:t xml:space="preserve">The results indicate that the </w:t>
      </w:r>
      <w:r w:rsidRPr="004D6FFD">
        <w:rPr>
          <w:b/>
          <w:bCs/>
        </w:rPr>
        <w:t>Variable-level Attention</w:t>
      </w:r>
      <w:r w:rsidRPr="004D6FFD">
        <w:t xml:space="preserve"> is critical for identifying specific comorbidities that trigger particular prescriptions, while the reverse-time bias ensures the model does not "over-learn" from distant, potentially resolved medical history.</w:t>
      </w:r>
    </w:p>
    <w:p w14:paraId="29A5ED5D" w14:textId="77777777" w:rsidR="004D6FFD" w:rsidRPr="004D6FFD" w:rsidRDefault="004D6FFD" w:rsidP="004D6FFD">
      <w:pPr>
        <w:rPr>
          <w:b/>
          <w:bCs/>
        </w:rPr>
      </w:pPr>
      <w:r w:rsidRPr="004D6FFD">
        <w:rPr>
          <w:b/>
          <w:bCs/>
        </w:rPr>
        <w:t>6. Limitations and Compliance</w:t>
      </w:r>
    </w:p>
    <w:p w14:paraId="5D8FCCD2" w14:textId="77777777" w:rsidR="004D6FFD" w:rsidRPr="004D6FFD" w:rsidRDefault="004D6FFD" w:rsidP="004D6FFD">
      <w:pPr>
        <w:numPr>
          <w:ilvl w:val="0"/>
          <w:numId w:val="5"/>
        </w:numPr>
      </w:pPr>
      <w:r w:rsidRPr="004D6FFD">
        <w:rPr>
          <w:b/>
          <w:bCs/>
        </w:rPr>
        <w:t>Data Privacy:</w:t>
      </w:r>
      <w:r w:rsidRPr="004D6FFD">
        <w:t xml:space="preserve"> All processing was performed on local credentialed machines in accordance with the PhysioNet Data Use Agreement (DUA). No patient-level data was uploaded to public repositories or online LLM services.</w:t>
      </w:r>
    </w:p>
    <w:p w14:paraId="70B16B6E" w14:textId="77777777" w:rsidR="004D6FFD" w:rsidRPr="004D6FFD" w:rsidRDefault="004D6FFD" w:rsidP="004D6FFD">
      <w:pPr>
        <w:numPr>
          <w:ilvl w:val="0"/>
          <w:numId w:val="5"/>
        </w:numPr>
      </w:pPr>
      <w:r w:rsidRPr="004D6FFD">
        <w:rPr>
          <w:b/>
          <w:bCs/>
        </w:rPr>
        <w:t>Technical Limits:</w:t>
      </w:r>
      <w:r w:rsidRPr="004D6FFD">
        <w:t xml:space="preserve"> The current model relies on the top-N frequent medications. Rare but critical drugs may be under-represented in the current vocabulary filtering rules.</w:t>
      </w:r>
    </w:p>
    <w:p w14:paraId="004AE807" w14:textId="77777777" w:rsidR="00F120D8" w:rsidRDefault="00F120D8"/>
    <w:sectPr w:rsidR="00F120D8" w:rsidSect="004D6FFD">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D4E9C"/>
    <w:multiLevelType w:val="multilevel"/>
    <w:tmpl w:val="06462A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3C05C1"/>
    <w:multiLevelType w:val="multilevel"/>
    <w:tmpl w:val="E56E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B111B1"/>
    <w:multiLevelType w:val="multilevel"/>
    <w:tmpl w:val="B4F83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550B64"/>
    <w:multiLevelType w:val="multilevel"/>
    <w:tmpl w:val="778E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84132D"/>
    <w:multiLevelType w:val="multilevel"/>
    <w:tmpl w:val="CD3E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892885">
    <w:abstractNumId w:val="3"/>
  </w:num>
  <w:num w:numId="2" w16cid:durableId="852694782">
    <w:abstractNumId w:val="2"/>
  </w:num>
  <w:num w:numId="3" w16cid:durableId="1335300574">
    <w:abstractNumId w:val="0"/>
  </w:num>
  <w:num w:numId="4" w16cid:durableId="1209754880">
    <w:abstractNumId w:val="4"/>
  </w:num>
  <w:num w:numId="5" w16cid:durableId="1840539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FFD"/>
    <w:rsid w:val="000715F9"/>
    <w:rsid w:val="000C555A"/>
    <w:rsid w:val="003223D7"/>
    <w:rsid w:val="00324BF2"/>
    <w:rsid w:val="003519C5"/>
    <w:rsid w:val="00352F66"/>
    <w:rsid w:val="00421F76"/>
    <w:rsid w:val="004B238D"/>
    <w:rsid w:val="004D6FFD"/>
    <w:rsid w:val="00605DF0"/>
    <w:rsid w:val="006068EE"/>
    <w:rsid w:val="006730DA"/>
    <w:rsid w:val="00700832"/>
    <w:rsid w:val="00736FF1"/>
    <w:rsid w:val="007D358D"/>
    <w:rsid w:val="007E5B8C"/>
    <w:rsid w:val="00813F82"/>
    <w:rsid w:val="00833FE3"/>
    <w:rsid w:val="00956002"/>
    <w:rsid w:val="00A669FF"/>
    <w:rsid w:val="00A846A1"/>
    <w:rsid w:val="00AC5486"/>
    <w:rsid w:val="00C52DA8"/>
    <w:rsid w:val="00DF308A"/>
    <w:rsid w:val="00E367CA"/>
    <w:rsid w:val="00E6029A"/>
    <w:rsid w:val="00E77628"/>
    <w:rsid w:val="00E8768D"/>
    <w:rsid w:val="00F12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08E64"/>
  <w15:chartTrackingRefBased/>
  <w15:docId w15:val="{467F0A9A-CE92-4978-9F73-D79D476D6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FFD"/>
    <w:rPr>
      <w:rFonts w:eastAsiaTheme="majorEastAsia" w:cstheme="majorBidi"/>
      <w:color w:val="272727" w:themeColor="text1" w:themeTint="D8"/>
    </w:rPr>
  </w:style>
  <w:style w:type="paragraph" w:styleId="Title">
    <w:name w:val="Title"/>
    <w:basedOn w:val="Normal"/>
    <w:next w:val="Normal"/>
    <w:link w:val="TitleChar"/>
    <w:uiPriority w:val="10"/>
    <w:qFormat/>
    <w:rsid w:val="004D6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FFD"/>
    <w:pPr>
      <w:spacing w:before="160"/>
      <w:jc w:val="center"/>
    </w:pPr>
    <w:rPr>
      <w:i/>
      <w:iCs/>
      <w:color w:val="404040" w:themeColor="text1" w:themeTint="BF"/>
    </w:rPr>
  </w:style>
  <w:style w:type="character" w:customStyle="1" w:styleId="QuoteChar">
    <w:name w:val="Quote Char"/>
    <w:basedOn w:val="DefaultParagraphFont"/>
    <w:link w:val="Quote"/>
    <w:uiPriority w:val="29"/>
    <w:rsid w:val="004D6FFD"/>
    <w:rPr>
      <w:i/>
      <w:iCs/>
      <w:color w:val="404040" w:themeColor="text1" w:themeTint="BF"/>
    </w:rPr>
  </w:style>
  <w:style w:type="paragraph" w:styleId="ListParagraph">
    <w:name w:val="List Paragraph"/>
    <w:basedOn w:val="Normal"/>
    <w:uiPriority w:val="34"/>
    <w:qFormat/>
    <w:rsid w:val="004D6FFD"/>
    <w:pPr>
      <w:ind w:left="720"/>
      <w:contextualSpacing/>
    </w:pPr>
  </w:style>
  <w:style w:type="character" w:styleId="IntenseEmphasis">
    <w:name w:val="Intense Emphasis"/>
    <w:basedOn w:val="DefaultParagraphFont"/>
    <w:uiPriority w:val="21"/>
    <w:qFormat/>
    <w:rsid w:val="004D6FFD"/>
    <w:rPr>
      <w:i/>
      <w:iCs/>
      <w:color w:val="0F4761" w:themeColor="accent1" w:themeShade="BF"/>
    </w:rPr>
  </w:style>
  <w:style w:type="paragraph" w:styleId="IntenseQuote">
    <w:name w:val="Intense Quote"/>
    <w:basedOn w:val="Normal"/>
    <w:next w:val="Normal"/>
    <w:link w:val="IntenseQuoteChar"/>
    <w:uiPriority w:val="30"/>
    <w:qFormat/>
    <w:rsid w:val="004D6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FFD"/>
    <w:rPr>
      <w:i/>
      <w:iCs/>
      <w:color w:val="0F4761" w:themeColor="accent1" w:themeShade="BF"/>
    </w:rPr>
  </w:style>
  <w:style w:type="character" w:styleId="IntenseReference">
    <w:name w:val="Intense Reference"/>
    <w:basedOn w:val="DefaultParagraphFont"/>
    <w:uiPriority w:val="32"/>
    <w:qFormat/>
    <w:rsid w:val="004D6F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Shawn</dc:creator>
  <cp:keywords/>
  <dc:description/>
  <cp:lastModifiedBy>Zhang, Shawn</cp:lastModifiedBy>
  <cp:revision>24</cp:revision>
  <dcterms:created xsi:type="dcterms:W3CDTF">2026-04-27T05:03:00Z</dcterms:created>
  <dcterms:modified xsi:type="dcterms:W3CDTF">2026-04-27T05:32:00Z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ff6d80-3782-4df6-bf6c-659f84558040_Enabled">
    <vt:lpwstr>true</vt:lpwstr>
  </property>
  <property fmtid="{D5CDD505-2E9C-101B-9397-08002B2CF9AE}" pid="3" name="MSIP_Label_f3ff6d80-3782-4df6-bf6c-659f84558040_SetDate">
    <vt:lpwstr>2026-04-27T05:03:48Z</vt:lpwstr>
  </property>
  <property fmtid="{D5CDD505-2E9C-101B-9397-08002B2CF9AE}" pid="4" name="MSIP_Label_f3ff6d80-3782-4df6-bf6c-659f84558040_Method">
    <vt:lpwstr>Standard</vt:lpwstr>
  </property>
  <property fmtid="{D5CDD505-2E9C-101B-9397-08002B2CF9AE}" pid="5" name="MSIP_Label_f3ff6d80-3782-4df6-bf6c-659f84558040_Name">
    <vt:lpwstr>f3ff6d80-3782-4df6-bf6c-659f84558040</vt:lpwstr>
  </property>
  <property fmtid="{D5CDD505-2E9C-101B-9397-08002B2CF9AE}" pid="6" name="MSIP_Label_f3ff6d80-3782-4df6-bf6c-659f84558040_SiteId">
    <vt:lpwstr>38d0d425-ba52-4c0a-a03e-2a65c8e82e2d</vt:lpwstr>
  </property>
  <property fmtid="{D5CDD505-2E9C-101B-9397-08002B2CF9AE}" pid="7" name="MSIP_Label_f3ff6d80-3782-4df6-bf6c-659f84558040_ActionId">
    <vt:lpwstr>3ab0e56a-b5a3-48cb-b4b6-2fbe5292134d</vt:lpwstr>
  </property>
  <property fmtid="{D5CDD505-2E9C-101B-9397-08002B2CF9AE}" pid="8" name="MSIP_Label_f3ff6d80-3782-4df6-bf6c-659f84558040_ContentBits">
    <vt:lpwstr>0</vt:lpwstr>
  </property>
  <property fmtid="{D5CDD505-2E9C-101B-9397-08002B2CF9AE}" pid="9" name="MSIP_Label_f3ff6d80-3782-4df6-bf6c-659f84558040_Tag">
    <vt:lpwstr>10, 3, 0, 1</vt:lpwstr>
  </property>
</Properties>
</file>