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D9" w:rsidRDefault="005B79D9">
      <w:pPr>
        <w:rPr>
          <w:lang w:val="es-EC"/>
        </w:rPr>
      </w:pPr>
      <w:r>
        <w:rPr>
          <w:lang w:val="es-EC"/>
        </w:rPr>
        <w:t xml:space="preserve">Motor </w:t>
      </w:r>
      <w:proofErr w:type="spellStart"/>
      <w:r>
        <w:rPr>
          <w:lang w:val="es-EC"/>
        </w:rPr>
        <w:t>characterisation</w:t>
      </w:r>
      <w:proofErr w:type="spellEnd"/>
    </w:p>
    <w:p w:rsidR="005B79D9" w:rsidRDefault="005E262F">
      <w:r>
        <w:t>The motor needed for build our buggy should not exceed some limitations:</w:t>
      </w:r>
    </w:p>
    <w:p w:rsidR="005E262F" w:rsidRDefault="005E262F">
      <w:r>
        <w:t xml:space="preserve">The maximum voltage that will be provided to the motor will be </w:t>
      </w:r>
      <w:r>
        <w:t>approximately</w:t>
      </w:r>
      <w:r>
        <w:t xml:space="preserve"> between 3 and 5 volts. </w:t>
      </w:r>
      <w:r w:rsidR="00262B8A">
        <w:t>The final circuit will send a signal to the motor within this range</w:t>
      </w:r>
      <w:r w:rsidR="0030287F">
        <w:t xml:space="preserve"> and the power supply need to send enough power to feed not only the 2 motors but also all the electronic elements of the buggy</w:t>
      </w:r>
      <w:r w:rsidR="00262B8A">
        <w:t>.</w:t>
      </w:r>
      <w:r w:rsidR="0030287F">
        <w:t xml:space="preserve"> In addition, the current must be enough to overcome the stall position of the buggy and go up through the ramp on the race day. However, the </w:t>
      </w:r>
      <w:r w:rsidR="00B847B8">
        <w:t xml:space="preserve">maximum </w:t>
      </w:r>
      <w:r w:rsidR="0030287F">
        <w:t xml:space="preserve">current demand </w:t>
      </w:r>
      <w:r w:rsidR="00B847B8">
        <w:t>needs to fit with the provided one by the circuit</w:t>
      </w:r>
      <w:r w:rsidR="0004666C">
        <w:t xml:space="preserve"> and if it is too high a big drop of voltage will occur in the leads and that is not good for</w:t>
      </w:r>
      <w:r w:rsidR="00940470">
        <w:t xml:space="preserve"> the</w:t>
      </w:r>
      <w:r w:rsidR="0004666C">
        <w:t xml:space="preserve"> wheels.</w:t>
      </w:r>
      <w:r w:rsidR="00B847B8">
        <w:t xml:space="preserve"> It is necessary to find a balance between the current need for make our buggy </w:t>
      </w:r>
      <w:r w:rsidR="00940470">
        <w:t xml:space="preserve">to </w:t>
      </w:r>
      <w:r w:rsidR="00B847B8">
        <w:t xml:space="preserve">move and go through the ramp and all the current that the batteries can supply.  Batteries running out in the middle of the race will not be </w:t>
      </w:r>
      <w:r w:rsidR="0004666C">
        <w:t xml:space="preserve">acceptable. </w:t>
      </w:r>
    </w:p>
    <w:p w:rsidR="0004666C" w:rsidRDefault="00DB4AE2">
      <w:r>
        <w:t>To</w:t>
      </w:r>
      <w:r w:rsidR="00940470">
        <w:t xml:space="preserve"> calcul</w:t>
      </w:r>
      <w:r>
        <w:t>ate the armature resistance, the motor was stalled, applying a start voltage of 1 volt and a protection current limit of 1.7 amps, measurements were taken increasing each time 0.25 V until the current limit is reached.  Using the formula from the technical handbook, equation 9:</w:t>
      </w:r>
    </w:p>
    <w:p w:rsidR="00AD5610" w:rsidRPr="00AD5610" w:rsidRDefault="00AD56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ω+IR+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AD5610" w:rsidRPr="00AD5610" w:rsidRDefault="00AD56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D5610" w:rsidRDefault="00AD561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i.e. motor is stalled;</w:t>
      </w:r>
    </w:p>
    <w:p w:rsidR="00AD5610" w:rsidRPr="00AD5610" w:rsidRDefault="00AD5610" w:rsidP="00AD561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D5610" w:rsidRDefault="00AD5610" w:rsidP="00AD5610">
      <w:pPr>
        <w:rPr>
          <w:rFonts w:eastAsiaTheme="minorEastAsia"/>
        </w:rPr>
      </w:pPr>
      <w:r>
        <w:rPr>
          <w:rFonts w:eastAsiaTheme="minorEastAsia"/>
        </w:rPr>
        <w:t>Then,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440"/>
        <w:gridCol w:w="1240"/>
        <w:gridCol w:w="1240"/>
      </w:tblGrid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0,956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1,243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1,497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1,748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2,028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2,257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2,546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2,73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3,053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3,247</w:t>
            </w:r>
          </w:p>
        </w:tc>
      </w:tr>
      <w:tr w:rsidR="00AD5610" w:rsidRPr="00AD5610" w:rsidTr="00AD5610">
        <w:trPr>
          <w:trHeight w:val="288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1,37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610" w:rsidRPr="00AD5610" w:rsidRDefault="00AD5610" w:rsidP="00AD5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5610">
              <w:rPr>
                <w:rFonts w:ascii="Calibri" w:eastAsia="Times New Roman" w:hAnsi="Calibri" w:cs="Calibri"/>
                <w:color w:val="000000"/>
                <w:lang w:eastAsia="en-GB"/>
              </w:rPr>
              <w:t>3,517</w:t>
            </w:r>
          </w:p>
        </w:tc>
      </w:tr>
    </w:tbl>
    <w:p w:rsidR="00AD5610" w:rsidRPr="00AD5610" w:rsidRDefault="00060070" w:rsidP="00AD5610">
      <w:pPr>
        <w:jc w:val="center"/>
        <w:rPr>
          <w:rFonts w:eastAsiaTheme="minorEastAsia"/>
        </w:rPr>
      </w:pPr>
      <w:r>
        <w:rPr>
          <w:rFonts w:eastAsiaTheme="minorEastAsia"/>
        </w:rPr>
        <w:t>Table??</w:t>
      </w:r>
    </w:p>
    <w:p w:rsidR="00AD5610" w:rsidRDefault="00AD5610" w:rsidP="00AD5610">
      <w:pPr>
        <w:jc w:val="center"/>
      </w:pPr>
      <w:r>
        <w:rPr>
          <w:noProof/>
        </w:rPr>
        <w:lastRenderedPageBreak/>
        <w:drawing>
          <wp:inline distT="0" distB="0" distL="0" distR="0" wp14:anchorId="710E385D" wp14:editId="7E7ECC16">
            <wp:extent cx="4632960" cy="2491740"/>
            <wp:effectExtent l="0" t="0" r="1524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926990-E6DE-4468-94F1-7E83AFFFC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0070" w:rsidRDefault="00060070" w:rsidP="00AD5610">
      <w:pPr>
        <w:jc w:val="center"/>
      </w:pPr>
      <w:r>
        <w:t>Graph??</w:t>
      </w:r>
    </w:p>
    <w:p w:rsidR="00AD5610" w:rsidRDefault="00AD5610" w:rsidP="00AD5610">
      <w:pPr>
        <w:jc w:val="center"/>
      </w:pPr>
      <w:r>
        <w:t>Armature Resistance=2.42</w:t>
      </w:r>
      <w:r>
        <w:rPr>
          <w:rFonts w:cstheme="minorHAnsi"/>
        </w:rPr>
        <w:t>Ω</w:t>
      </w:r>
    </w:p>
    <w:p w:rsidR="00DB4AE2" w:rsidRDefault="00DB4AE2"/>
    <w:tbl>
      <w:tblPr>
        <w:tblW w:w="9410" w:type="dxa"/>
        <w:tblLook w:val="04A0" w:firstRow="1" w:lastRow="0" w:firstColumn="1" w:lastColumn="0" w:noHBand="0" w:noVBand="1"/>
      </w:tblPr>
      <w:tblGrid>
        <w:gridCol w:w="535"/>
        <w:gridCol w:w="705"/>
        <w:gridCol w:w="363"/>
        <w:gridCol w:w="859"/>
        <w:gridCol w:w="18"/>
        <w:gridCol w:w="841"/>
        <w:gridCol w:w="399"/>
        <w:gridCol w:w="697"/>
        <w:gridCol w:w="959"/>
        <w:gridCol w:w="1200"/>
        <w:gridCol w:w="1281"/>
        <w:gridCol w:w="1553"/>
      </w:tblGrid>
      <w:tr w:rsidR="00060070" w:rsidRPr="00060070" w:rsidTr="00060070">
        <w:trPr>
          <w:trHeight w:val="60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Motor current I(A)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F1(N)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F2(N)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Voltage V at the motor (V)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Motor speed (rpm)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Torque (Nm) T=(F1-F</w:t>
            </w:r>
            <w:proofErr w:type="gramStart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2)x</w:t>
            </w:r>
            <w:proofErr w:type="gramEnd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0.5d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 xml:space="preserve">Motor </w:t>
            </w:r>
            <w:proofErr w:type="spellStart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emf</w:t>
            </w:r>
            <w:proofErr w:type="spellEnd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 xml:space="preserve"> (V) E=V-</w:t>
            </w:r>
            <w:proofErr w:type="spellStart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Vb</w:t>
            </w:r>
            <w:proofErr w:type="spellEnd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-</w:t>
            </w:r>
            <w:proofErr w:type="spellStart"/>
            <w:r w:rsidRPr="00060070">
              <w:rPr>
                <w:rFonts w:ascii="Calibri" w:eastAsia="Times New Roman" w:hAnsi="Calibri" w:cs="Calibri"/>
                <w:color w:val="000000"/>
                <w:lang w:val="es-EC" w:eastAsia="en-GB"/>
              </w:rPr>
              <w:t>IxR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Motor speed (</w:t>
            </w:r>
            <w:proofErr w:type="spellStart"/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rps</w:t>
            </w:r>
            <w:proofErr w:type="spellEnd"/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4890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4,504246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512,079603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0,24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4656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4,262136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487,57518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3,995815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450,294947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3947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3,656861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413,328873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0,62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3,342118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381,389348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3,172641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375,106163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2,809476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337,197611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1,4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2776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2,373678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290,70204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1,12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1,6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2,131568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266,616497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1,23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1,8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0,009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1,865247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232,582576</w:t>
            </w:r>
          </w:p>
        </w:tc>
      </w:tr>
      <w:tr w:rsidR="00060070" w:rsidRPr="00060070" w:rsidTr="00060070">
        <w:trPr>
          <w:trHeight w:val="30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1,502082</w:t>
            </w:r>
          </w:p>
        </w:tc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195,197624</w:t>
            </w:r>
          </w:p>
        </w:tc>
      </w:tr>
      <w:tr w:rsidR="00060070" w:rsidRPr="00060070" w:rsidTr="00060070">
        <w:trPr>
          <w:gridAfter w:val="5"/>
          <w:wAfter w:w="5690" w:type="dxa"/>
          <w:trHeight w:val="579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d (m)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Vb</w:t>
            </w:r>
            <w:proofErr w:type="spellEnd"/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(V)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060070" w:rsidRPr="00060070" w:rsidRDefault="00060070" w:rsidP="00060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R (Ω)</w:t>
            </w:r>
          </w:p>
        </w:tc>
      </w:tr>
      <w:tr w:rsidR="00060070" w:rsidRPr="00060070" w:rsidTr="00060070">
        <w:trPr>
          <w:gridAfter w:val="5"/>
          <w:wAfter w:w="5690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0,01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0,1568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070" w:rsidRPr="00060070" w:rsidRDefault="00060070" w:rsidP="00060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60070">
              <w:rPr>
                <w:rFonts w:ascii="Calibri" w:eastAsia="Times New Roman" w:hAnsi="Calibri" w:cs="Calibri"/>
                <w:color w:val="000000"/>
                <w:lang w:eastAsia="en-GB"/>
              </w:rPr>
              <w:t>2,4211</w:t>
            </w:r>
          </w:p>
        </w:tc>
      </w:tr>
    </w:tbl>
    <w:p w:rsidR="00060070" w:rsidRDefault="00863F81" w:rsidP="00863F81">
      <w:pPr>
        <w:jc w:val="center"/>
      </w:pPr>
      <w:r>
        <w:t>Table??</w:t>
      </w:r>
    </w:p>
    <w:p w:rsidR="005E262F" w:rsidRDefault="00060070">
      <w:r>
        <w:rPr>
          <w:noProof/>
        </w:rPr>
        <w:lastRenderedPageBreak/>
        <w:drawing>
          <wp:inline distT="0" distB="0" distL="0" distR="0" wp14:anchorId="1F464DCC" wp14:editId="4F8AAFB9">
            <wp:extent cx="5731510" cy="2793365"/>
            <wp:effectExtent l="0" t="0" r="2540" b="698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A149BC8-F99E-4CF0-9E94-0A5D59CAA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0070" w:rsidRDefault="00863F81" w:rsidP="00863F81">
      <w:pPr>
        <w:jc w:val="center"/>
      </w:pPr>
      <w:r>
        <w:t>Graph??</w:t>
      </w:r>
    </w:p>
    <w:p w:rsidR="00863F81" w:rsidRDefault="00863F81">
      <w:bookmarkStart w:id="0" w:name="_GoBack"/>
      <w:bookmarkEnd w:id="0"/>
    </w:p>
    <w:p w:rsidR="00863F81" w:rsidRDefault="00863F81"/>
    <w:p w:rsidR="00060070" w:rsidRDefault="00060070">
      <w:r>
        <w:rPr>
          <w:noProof/>
        </w:rPr>
        <w:drawing>
          <wp:inline distT="0" distB="0" distL="0" distR="0" wp14:anchorId="722A1ED8" wp14:editId="2D937F55">
            <wp:extent cx="5731510" cy="2807335"/>
            <wp:effectExtent l="0" t="0" r="2540" b="1206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39F0258-B63A-4FC6-BB23-609CE1335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3F81" w:rsidRPr="00940470" w:rsidRDefault="00863F81" w:rsidP="00863F81">
      <w:pPr>
        <w:jc w:val="center"/>
      </w:pPr>
      <w:r>
        <w:t>Graph??</w:t>
      </w:r>
    </w:p>
    <w:sectPr w:rsidR="00863F81" w:rsidRPr="0094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320"/>
    <w:multiLevelType w:val="hybridMultilevel"/>
    <w:tmpl w:val="59EAC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9"/>
    <w:rsid w:val="0004666C"/>
    <w:rsid w:val="00060070"/>
    <w:rsid w:val="00262B8A"/>
    <w:rsid w:val="0030287F"/>
    <w:rsid w:val="005B79D9"/>
    <w:rsid w:val="005E262F"/>
    <w:rsid w:val="00863F81"/>
    <w:rsid w:val="00940470"/>
    <w:rsid w:val="00AA283C"/>
    <w:rsid w:val="00AD5610"/>
    <w:rsid w:val="00B847B8"/>
    <w:rsid w:val="00D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82D4"/>
  <w15:chartTrackingRefBased/>
  <w15:docId w15:val="{CDF07A94-C6DC-4922-9DB4-88A7A24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D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5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lon%20Guanoluisa\Dropbox\Group%2022\Motors%20and%20GearBox\Graph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lon%20Guanoluisa\Dropbox\Group%2022\Motors%20and%20GearBox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lon%20Guanoluisa\Dropbox\Group%2022\Motors%20and%20GearBox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200"/>
              <a:t>Armature</a:t>
            </a:r>
            <a:r>
              <a:rPr lang="en-GB" sz="1200" baseline="0"/>
              <a:t> Resistance</a:t>
            </a:r>
            <a:endParaRPr lang="en-GB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8.5929729589722337E-2"/>
                  <c:y val="-2.8797145769622834E-2"/>
                </c:manualLayout>
              </c:layout>
              <c:numFmt formatCode="General" sourceLinked="0"/>
            </c:trendlineLbl>
          </c:trendline>
          <c:xVal>
            <c:numRef>
              <c:f>'I vs V'!$C$3:$C$14</c:f>
              <c:numCache>
                <c:formatCode>General</c:formatCode>
                <c:ptCount val="12"/>
                <c:pt idx="0">
                  <c:v>0.34</c:v>
                </c:pt>
                <c:pt idx="1">
                  <c:v>0.44</c:v>
                </c:pt>
                <c:pt idx="2">
                  <c:v>0.55000000000000004</c:v>
                </c:pt>
                <c:pt idx="3">
                  <c:v>0.66</c:v>
                </c:pt>
                <c:pt idx="4">
                  <c:v>0.76</c:v>
                </c:pt>
                <c:pt idx="5">
                  <c:v>0.86</c:v>
                </c:pt>
                <c:pt idx="6">
                  <c:v>0.99</c:v>
                </c:pt>
                <c:pt idx="7">
                  <c:v>1.1000000000000001</c:v>
                </c:pt>
                <c:pt idx="8">
                  <c:v>1.19</c:v>
                </c:pt>
                <c:pt idx="9">
                  <c:v>1.28</c:v>
                </c:pt>
                <c:pt idx="10">
                  <c:v>1.37</c:v>
                </c:pt>
              </c:numCache>
            </c:numRef>
          </c:xVal>
          <c:yVal>
            <c:numRef>
              <c:f>'I vs V'!$D$3:$D$14</c:f>
              <c:numCache>
                <c:formatCode>General</c:formatCode>
                <c:ptCount val="12"/>
                <c:pt idx="0">
                  <c:v>0.95599999999999996</c:v>
                </c:pt>
                <c:pt idx="1">
                  <c:v>1.2430000000000001</c:v>
                </c:pt>
                <c:pt idx="2">
                  <c:v>1.4970000000000001</c:v>
                </c:pt>
                <c:pt idx="3">
                  <c:v>1.748</c:v>
                </c:pt>
                <c:pt idx="4">
                  <c:v>2.028</c:v>
                </c:pt>
                <c:pt idx="5">
                  <c:v>2.2570000000000001</c:v>
                </c:pt>
                <c:pt idx="6">
                  <c:v>2.5459999999999998</c:v>
                </c:pt>
                <c:pt idx="7">
                  <c:v>2.73</c:v>
                </c:pt>
                <c:pt idx="8">
                  <c:v>3.0529999999999999</c:v>
                </c:pt>
                <c:pt idx="9">
                  <c:v>3.2469999999999999</c:v>
                </c:pt>
                <c:pt idx="10">
                  <c:v>3.5169999999999999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2F-4698-8915-1F352F85E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421376"/>
        <c:axId val="94423296"/>
      </c:scatterChart>
      <c:valAx>
        <c:axId val="9442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(A))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23296"/>
        <c:crosses val="autoZero"/>
        <c:crossBetween val="midCat"/>
      </c:valAx>
      <c:valAx>
        <c:axId val="944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2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Torque vs Current</a:t>
            </a:r>
          </a:p>
        </c:rich>
      </c:tx>
      <c:layout>
        <c:manualLayout>
          <c:xMode val="edge"/>
          <c:yMode val="edge"/>
          <c:x val="0.3546248906386701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 vs I, T vs spd and Emf vs spd'!$D$3:$D$17</c:f>
              <c:numCache>
                <c:formatCode>General</c:formatCode>
                <c:ptCount val="15"/>
                <c:pt idx="0">
                  <c:v>0.14000000000000001</c:v>
                </c:pt>
                <c:pt idx="1">
                  <c:v>0.24</c:v>
                </c:pt>
                <c:pt idx="2">
                  <c:v>0.35</c:v>
                </c:pt>
                <c:pt idx="3">
                  <c:v>0.49</c:v>
                </c:pt>
                <c:pt idx="4">
                  <c:v>0.62</c:v>
                </c:pt>
                <c:pt idx="5">
                  <c:v>0.69</c:v>
                </c:pt>
                <c:pt idx="6">
                  <c:v>0.84</c:v>
                </c:pt>
                <c:pt idx="7">
                  <c:v>1.02</c:v>
                </c:pt>
                <c:pt idx="8">
                  <c:v>1.1200000000000001</c:v>
                </c:pt>
                <c:pt idx="9">
                  <c:v>1.23</c:v>
                </c:pt>
                <c:pt idx="10">
                  <c:v>1.38</c:v>
                </c:pt>
              </c:numCache>
            </c:numRef>
          </c:xVal>
          <c:yVal>
            <c:numRef>
              <c:f>'T vs I, T vs spd and Emf vs spd'!$I$3:$I$17</c:f>
              <c:numCache>
                <c:formatCode>General</c:formatCode>
                <c:ptCount val="15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6.9999999999999993E-3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A9-4962-8ACA-45467453D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59008"/>
        <c:axId val="105260928"/>
      </c:scatterChart>
      <c:valAx>
        <c:axId val="10525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I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60928"/>
        <c:crosses val="autoZero"/>
        <c:crossBetween val="midCat"/>
      </c:valAx>
      <c:valAx>
        <c:axId val="10526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5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Emf</a:t>
            </a:r>
            <a:r>
              <a:rPr lang="en-US" baseline="0"/>
              <a:t> vs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 vs I, T vs spd and Emf vs spd'!$N$3:$N$13</c:f>
              <c:numCache>
                <c:formatCode>General</c:formatCode>
                <c:ptCount val="11"/>
                <c:pt idx="0">
                  <c:v>512.07960253513625</c:v>
                </c:pt>
                <c:pt idx="1">
                  <c:v>487.57517983713586</c:v>
                </c:pt>
                <c:pt idx="2">
                  <c:v>450.294947014537</c:v>
                </c:pt>
                <c:pt idx="3">
                  <c:v>413.32887345729711</c:v>
                </c:pt>
                <c:pt idx="4">
                  <c:v>381.38934814580085</c:v>
                </c:pt>
                <c:pt idx="5">
                  <c:v>375.10616283862129</c:v>
                </c:pt>
                <c:pt idx="6">
                  <c:v>337.19761148530444</c:v>
                </c:pt>
                <c:pt idx="7">
                  <c:v>290.70204021217552</c:v>
                </c:pt>
                <c:pt idx="8">
                  <c:v>266.61649653465378</c:v>
                </c:pt>
                <c:pt idx="9">
                  <c:v>232.58257612076434</c:v>
                </c:pt>
                <c:pt idx="10">
                  <c:v>195.19762354304581</c:v>
                </c:pt>
              </c:numCache>
            </c:numRef>
          </c:xVal>
          <c:yVal>
            <c:numRef>
              <c:f>'T vs I, T vs spd and Emf vs spd'!$J$3:$J$17</c:f>
              <c:numCache>
                <c:formatCode>General</c:formatCode>
                <c:ptCount val="15"/>
                <c:pt idx="0">
                  <c:v>4.5042460000000002</c:v>
                </c:pt>
                <c:pt idx="1">
                  <c:v>4.2621359999999999</c:v>
                </c:pt>
                <c:pt idx="2">
                  <c:v>3.9958150000000003</c:v>
                </c:pt>
                <c:pt idx="3">
                  <c:v>3.6568610000000001</c:v>
                </c:pt>
                <c:pt idx="4">
                  <c:v>3.3421180000000001</c:v>
                </c:pt>
                <c:pt idx="5">
                  <c:v>3.1726410000000005</c:v>
                </c:pt>
                <c:pt idx="6">
                  <c:v>2.8094760000000005</c:v>
                </c:pt>
                <c:pt idx="7">
                  <c:v>2.3736780000000004</c:v>
                </c:pt>
                <c:pt idx="8">
                  <c:v>2.1315680000000001</c:v>
                </c:pt>
                <c:pt idx="9">
                  <c:v>1.8652470000000005</c:v>
                </c:pt>
                <c:pt idx="10">
                  <c:v>1.5020820000000006</c:v>
                </c:pt>
                <c:pt idx="11">
                  <c:v>4.8432000000000004</c:v>
                </c:pt>
                <c:pt idx="12">
                  <c:v>4.8432000000000004</c:v>
                </c:pt>
                <c:pt idx="13">
                  <c:v>4.8432000000000004</c:v>
                </c:pt>
                <c:pt idx="14">
                  <c:v>4.8432000000000004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AF-4B64-AD0E-CCF53D09F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018112"/>
        <c:axId val="105020032"/>
      </c:scatterChart>
      <c:valAx>
        <c:axId val="10501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 ꙍ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20032"/>
        <c:crosses val="autoZero"/>
        <c:crossBetween val="midCat"/>
      </c:valAx>
      <c:valAx>
        <c:axId val="10502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Emf</a:t>
                </a:r>
                <a:r>
                  <a:rPr lang="en-GB" baseline="0"/>
                  <a:t> 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1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2</cp:revision>
  <dcterms:created xsi:type="dcterms:W3CDTF">2018-10-14T22:53:00Z</dcterms:created>
  <dcterms:modified xsi:type="dcterms:W3CDTF">2018-10-14T22:53:00Z</dcterms:modified>
</cp:coreProperties>
</file>