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68" w:lineRule="exact" w:before="0" w:after="0"/>
        <w:ind w:left="362" w:right="0" w:firstLine="0"/>
        <w:jc w:val="left"/>
      </w:pPr>
      <w:r>
        <w:rPr>
          <w:rFonts w:ascii="Carlito" w:hAnsi="Carlito" w:eastAsia="Carlito"/>
          <w:b w:val="0"/>
          <w:i w:val="0"/>
          <w:color w:val="000000"/>
          <w:sz w:val="22"/>
        </w:rPr>
        <w:t>Helios Energy Ltd. — Internal report</w:t>
      </w:r>
    </w:p>
    <w:p>
      <w:pPr>
        <w:autoSpaceDN w:val="0"/>
        <w:autoSpaceDE w:val="0"/>
        <w:widowControl/>
        <w:spacing w:line="634" w:lineRule="exact" w:before="452" w:after="0"/>
        <w:ind w:left="362" w:right="0" w:firstLine="0"/>
        <w:jc w:val="left"/>
      </w:pPr>
      <w:r>
        <w:rPr>
          <w:rFonts w:ascii="Carlito" w:hAnsi="Carlito" w:eastAsia="Carlito"/>
          <w:b w:val="0"/>
          <w:i w:val="0"/>
          <w:color w:val="17365D"/>
          <w:sz w:val="52"/>
        </w:rPr>
        <w:t>Quarterly Operations Report</w:t>
      </w:r>
    </w:p>
    <w:p>
      <w:pPr>
        <w:autoSpaceDN w:val="0"/>
        <w:autoSpaceDE w:val="0"/>
        <w:widowControl/>
        <w:spacing w:line="268" w:lineRule="exact" w:before="402" w:after="0"/>
        <w:ind w:left="362" w:right="0" w:firstLine="0"/>
        <w:jc w:val="left"/>
      </w:pPr>
      <w:r>
        <w:rPr>
          <w:rFonts w:ascii="Carlito" w:hAnsi="Carlito" w:eastAsia="Carlito"/>
          <w:b w:val="0"/>
          <w:i/>
          <w:color w:val="000000"/>
          <w:sz w:val="22"/>
        </w:rPr>
        <w:t>Prepared by Noah Schmidt · Reviewed by Lena Tanaka</w:t>
      </w:r>
    </w:p>
    <w:p>
      <w:pPr>
        <w:autoSpaceDN w:val="0"/>
        <w:autoSpaceDE w:val="0"/>
        <w:widowControl/>
        <w:spacing w:line="320" w:lineRule="exact" w:before="542" w:after="0"/>
        <w:ind w:left="362" w:right="864" w:firstLine="0"/>
        <w:jc w:val="left"/>
      </w:pPr>
      <w:r>
        <w:rPr>
          <w:rFonts w:ascii="Carlito" w:hAnsi="Carlito" w:eastAsia="Carlito"/>
          <w:b/>
          <w:i w:val="0"/>
          <w:color w:val="365F91"/>
          <w:sz w:val="28"/>
        </w:rPr>
        <w:t xml:space="preserve">1. Executive summary </w:t>
      </w:r>
      <w:r>
        <w:br/>
      </w: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Market budget budget supplier deployment contract supplier capacity efficiency contract. </w:t>
      </w:r>
    </w:p>
    <w:p>
      <w:pPr>
        <w:autoSpaceDN w:val="0"/>
        <w:autoSpaceDE w:val="0"/>
        <w:widowControl/>
        <w:spacing w:line="308" w:lineRule="exact" w:before="0" w:after="0"/>
        <w:ind w:left="362" w:right="432" w:firstLine="0"/>
        <w:jc w:val="left"/>
      </w:pP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Market energy budget network project install project pilot energy risk efficiency risk region </w:t>
      </w: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growth team solar. Revenue team capacity forecast pricing network capacity region network </w:t>
      </w: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supplier supplier install install pilot. Pricing roadmap roadmap contract install energy roadmap </w:t>
      </w: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revenue revenue pilot deployment. Team contract supplier efficiency project deployment </w:t>
      </w: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forecast budget efficiency team. Solar deployment contract efficiency forecast forecast energy </w:t>
      </w:r>
      <w:r>
        <w:rPr>
          <w:rFonts w:ascii="Carlito" w:hAnsi="Carlito" w:eastAsia="Carlito"/>
          <w:b w:val="0"/>
          <w:i w:val="0"/>
          <w:color w:val="000000"/>
          <w:sz w:val="22"/>
        </w:rPr>
        <w:t>contract market customer storage roadmap forecast risk project roadmap budget.</w:t>
      </w:r>
    </w:p>
    <w:p>
      <w:pPr>
        <w:autoSpaceDN w:val="0"/>
        <w:tabs>
          <w:tab w:pos="722" w:val="left"/>
        </w:tabs>
        <w:autoSpaceDE w:val="0"/>
        <w:widowControl/>
        <w:spacing w:line="278" w:lineRule="exact" w:before="234" w:after="0"/>
        <w:ind w:left="36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2"/>
        </w:rPr>
        <w:t></w:t>
      </w:r>
      <w:r>
        <w:tab/>
      </w:r>
      <w:r>
        <w:rPr>
          <w:rFonts w:ascii="Carlito" w:hAnsi="Carlito" w:eastAsia="Carlito"/>
          <w:b w:val="0"/>
          <w:i w:val="0"/>
          <w:color w:val="000000"/>
          <w:sz w:val="22"/>
        </w:rPr>
        <w:t>Deployment efficiency customer efficiency market project pricing roadmap pilot risk.</w:t>
      </w:r>
    </w:p>
    <w:p>
      <w:pPr>
        <w:autoSpaceDN w:val="0"/>
        <w:tabs>
          <w:tab w:pos="722" w:val="left"/>
        </w:tabs>
        <w:autoSpaceDE w:val="0"/>
        <w:widowControl/>
        <w:spacing w:line="310" w:lineRule="exact" w:before="0" w:after="0"/>
        <w:ind w:left="362" w:right="1152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2"/>
        </w:rPr>
        <w:t></w:t>
      </w:r>
      <w:r>
        <w:tab/>
      </w:r>
      <w:r>
        <w:rPr>
          <w:rFonts w:ascii="Carlito" w:hAnsi="Carlito" w:eastAsia="Carlito"/>
          <w:b w:val="0"/>
          <w:i w:val="0"/>
          <w:color w:val="000000"/>
          <w:sz w:val="22"/>
        </w:rPr>
        <w:t>Efficiency roadmap supplier solar supplier team risk install supplier pricing.</w:t>
      </w:r>
      <w:r>
        <w:rPr>
          <w:rFonts w:ascii="OpenSymbol" w:hAnsi="OpenSymbol" w:eastAsia="OpenSymbol"/>
          <w:b w:val="0"/>
          <w:i w:val="0"/>
          <w:color w:val="000000"/>
          <w:sz w:val="22"/>
        </w:rPr>
        <w:t></w:t>
      </w:r>
      <w:r>
        <w:tab/>
      </w:r>
      <w:r>
        <w:rPr>
          <w:rFonts w:ascii="Carlito" w:hAnsi="Carlito" w:eastAsia="Carlito"/>
          <w:b w:val="0"/>
          <w:i w:val="0"/>
          <w:color w:val="000000"/>
          <w:sz w:val="22"/>
        </w:rPr>
        <w:t>Forecast roadmap efficiency team deployment growth install solar energy storage.</w:t>
      </w:r>
      <w:r>
        <w:rPr>
          <w:rFonts w:ascii="OpenSymbol" w:hAnsi="OpenSymbol" w:eastAsia="OpenSymbol"/>
          <w:b w:val="0"/>
          <w:i w:val="0"/>
          <w:color w:val="000000"/>
          <w:sz w:val="22"/>
        </w:rPr>
        <w:t></w:t>
      </w:r>
      <w:r>
        <w:tab/>
      </w:r>
      <w:r>
        <w:rPr>
          <w:rFonts w:ascii="Carlito" w:hAnsi="Carlito" w:eastAsia="Carlito"/>
          <w:b w:val="0"/>
          <w:i w:val="0"/>
          <w:color w:val="000000"/>
          <w:sz w:val="22"/>
        </w:rPr>
        <w:t>Customer pricing budget pilot forecast efficiency revenue growth solar roadmap.</w:t>
      </w:r>
    </w:p>
    <w:p>
      <w:pPr>
        <w:autoSpaceDN w:val="0"/>
        <w:autoSpaceDE w:val="0"/>
        <w:widowControl/>
        <w:spacing w:line="312" w:lineRule="exact" w:before="540" w:after="240"/>
        <w:ind w:left="362" w:right="288" w:firstLine="0"/>
        <w:jc w:val="left"/>
      </w:pPr>
      <w:r>
        <w:rPr>
          <w:rFonts w:ascii="Carlito" w:hAnsi="Carlito" w:eastAsia="Carlito"/>
          <w:b/>
          <w:i w:val="0"/>
          <w:color w:val="365F91"/>
          <w:sz w:val="28"/>
        </w:rPr>
        <w:t xml:space="preserve">2. Results by region </w:t>
      </w:r>
      <w:r>
        <w:br/>
      </w: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Pilot forecast efficiency deployment supplier risk storage install region pilot project pilot </w:t>
      </w: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roadmap roadmap forecast solar. Quarterly deployment capacity efficiency network pricing </w:t>
      </w: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solar efficiency revenue project growth capacity deployment customer pilot energy. Energy pilot </w:t>
      </w: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contract supplier network budget growth market project budget. Supplier solar risk pricing </w:t>
      </w:r>
      <w:r>
        <w:rPr>
          <w:rFonts w:ascii="Carlito" w:hAnsi="Carlito" w:eastAsia="Carlito"/>
          <w:b w:val="0"/>
          <w:i w:val="0"/>
          <w:color w:val="000000"/>
          <w:sz w:val="22"/>
        </w:rPr>
        <w:t>revenue customer energy region risk.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04"/>
        </w:trPr>
        <w:tc>
          <w:tcPr>
            <w:tcW w:type="dxa" w:w="1728"/>
            <w:tcBorders>
              <w:start w:sz="8.0" w:val="single" w:color="#4F80BD"/>
              <w:top w:sz="8.0" w:val="single" w:color="#4F80BD"/>
              <w:end w:sz="8.0" w:val="single" w:color="#4F80BD"/>
              <w:bottom w:sz="18.0" w:val="single" w:color="#4F80B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2"/>
              </w:rPr>
              <w:t>Region</w:t>
            </w:r>
          </w:p>
        </w:tc>
        <w:tc>
          <w:tcPr>
            <w:tcW w:type="dxa" w:w="1728"/>
            <w:tcBorders>
              <w:start w:sz="8.0" w:val="single" w:color="#4F80BD"/>
              <w:top w:sz="8.0" w:val="single" w:color="#4F80BD"/>
              <w:end w:sz="8.0" w:val="single" w:color="#4F80BD"/>
              <w:bottom w:sz="18.0" w:val="single" w:color="#4F80B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2"/>
              </w:rPr>
              <w:t>Installs</w:t>
            </w:r>
          </w:p>
        </w:tc>
        <w:tc>
          <w:tcPr>
            <w:tcW w:type="dxa" w:w="1728"/>
            <w:tcBorders>
              <w:start w:sz="8.0" w:val="single" w:color="#4F80BD"/>
              <w:top w:sz="8.0" w:val="single" w:color="#4F80BD"/>
              <w:end w:sz="8.0" w:val="single" w:color="#4F80BD"/>
              <w:bottom w:sz="18.0" w:val="single" w:color="#4F80B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2"/>
              </w:rPr>
              <w:t>Revenue (€)</w:t>
            </w:r>
          </w:p>
        </w:tc>
        <w:tc>
          <w:tcPr>
            <w:tcW w:type="dxa" w:w="1728"/>
            <w:tcBorders>
              <w:start w:sz="8.0" w:val="single" w:color="#4F80BD"/>
              <w:top w:sz="8.0" w:val="single" w:color="#4F80BD"/>
              <w:end w:sz="8.0" w:val="single" w:color="#4F80BD"/>
              <w:bottom w:sz="18.0" w:val="single" w:color="#4F80B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2"/>
              </w:rPr>
              <w:t>Growth</w:t>
            </w:r>
          </w:p>
        </w:tc>
        <w:tc>
          <w:tcPr>
            <w:tcW w:type="dxa" w:w="1728"/>
            <w:tcBorders>
              <w:start w:sz="8.0" w:val="single" w:color="#4F80BD"/>
              <w:top w:sz="8.0" w:val="single" w:color="#4F80BD"/>
              <w:end w:sz="8.0" w:val="single" w:color="#4F80BD"/>
              <w:bottom w:sz="18.0" w:val="single" w:color="#4F80B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2"/>
              </w:rPr>
              <w:t>Owner</w:t>
            </w:r>
          </w:p>
        </w:tc>
      </w:tr>
      <w:tr>
        <w:trPr>
          <w:trHeight w:hRule="exact" w:val="300"/>
        </w:trPr>
        <w:tc>
          <w:tcPr>
            <w:tcW w:type="dxa" w:w="1728"/>
            <w:tcBorders>
              <w:start w:sz="8.0" w:val="single" w:color="#4F80BD"/>
              <w:top w:sz="18.0" w:val="single" w:color="#4F80BD"/>
              <w:end w:sz="8.0" w:val="single" w:color="#4F80BD"/>
              <w:bottom w:sz="8.0" w:val="single" w:color="#4F80BD"/>
            </w:tcBorders>
            <w:shd w:fill="d3df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2"/>
              </w:rPr>
              <w:t>North</w:t>
            </w:r>
          </w:p>
        </w:tc>
        <w:tc>
          <w:tcPr>
            <w:tcW w:type="dxa" w:w="1728"/>
            <w:tcBorders>
              <w:start w:sz="8.0" w:val="single" w:color="#4F80BD"/>
              <w:top w:sz="18.0" w:val="single" w:color="#4F80BD"/>
              <w:end w:sz="8.0" w:val="single" w:color="#4F80BD"/>
              <w:bottom w:sz="8.0" w:val="single" w:color="#4F80BD"/>
            </w:tcBorders>
            <w:shd w:fill="d3df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637</w:t>
            </w:r>
          </w:p>
        </w:tc>
        <w:tc>
          <w:tcPr>
            <w:tcW w:type="dxa" w:w="1728"/>
            <w:tcBorders>
              <w:start w:sz="8.0" w:val="single" w:color="#4F80BD"/>
              <w:top w:sz="18.0" w:val="single" w:color="#4F80BD"/>
              <w:end w:sz="8.0" w:val="single" w:color="#4F80BD"/>
              <w:bottom w:sz="8.0" w:val="single" w:color="#4F80BD"/>
            </w:tcBorders>
            <w:shd w:fill="d3df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1,254,359</w:t>
            </w:r>
          </w:p>
        </w:tc>
        <w:tc>
          <w:tcPr>
            <w:tcW w:type="dxa" w:w="1728"/>
            <w:tcBorders>
              <w:start w:sz="8.0" w:val="single" w:color="#4F80BD"/>
              <w:top w:sz="18.0" w:val="single" w:color="#4F80BD"/>
              <w:end w:sz="8.0" w:val="single" w:color="#4F80BD"/>
              <w:bottom w:sz="8.0" w:val="single" w:color="#4F80BD"/>
            </w:tcBorders>
            <w:shd w:fill="d3df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25.1%</w:t>
            </w:r>
          </w:p>
        </w:tc>
        <w:tc>
          <w:tcPr>
            <w:tcW w:type="dxa" w:w="1728"/>
            <w:tcBorders>
              <w:start w:sz="8.0" w:val="single" w:color="#4F80BD"/>
              <w:top w:sz="18.0" w:val="single" w:color="#4F80BD"/>
              <w:end w:sz="8.0" w:val="single" w:color="#4F80BD"/>
              <w:bottom w:sz="8.0" w:val="single" w:color="#4F80BD"/>
            </w:tcBorders>
            <w:shd w:fill="d3df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Omar Rossi</w:t>
            </w:r>
          </w:p>
        </w:tc>
      </w:tr>
      <w:tr>
        <w:trPr>
          <w:trHeight w:hRule="exact" w:val="288"/>
        </w:trPr>
        <w:tc>
          <w:tcPr>
            <w:tcW w:type="dxa" w:w="1728"/>
            <w:tcBorders>
              <w:start w:sz="8.0" w:val="single" w:color="#4F80BD"/>
              <w:top w:sz="8.0" w:val="single" w:color="#4F80BD"/>
              <w:end w:sz="8.0" w:val="single" w:color="#4F80BD"/>
              <w:bottom w:sz="8.0" w:val="single" w:color="#4F80B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2"/>
              </w:rPr>
              <w:t>South</w:t>
            </w:r>
          </w:p>
        </w:tc>
        <w:tc>
          <w:tcPr>
            <w:tcW w:type="dxa" w:w="1728"/>
            <w:tcBorders>
              <w:start w:sz="8.0" w:val="single" w:color="#4F80BD"/>
              <w:top w:sz="8.0" w:val="single" w:color="#4F80BD"/>
              <w:end w:sz="8.0" w:val="single" w:color="#4F80BD"/>
              <w:bottom w:sz="8.0" w:val="single" w:color="#4F80B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598</w:t>
            </w:r>
          </w:p>
        </w:tc>
        <w:tc>
          <w:tcPr>
            <w:tcW w:type="dxa" w:w="1728"/>
            <w:tcBorders>
              <w:start w:sz="8.0" w:val="single" w:color="#4F80BD"/>
              <w:top w:sz="8.0" w:val="single" w:color="#4F80BD"/>
              <w:end w:sz="8.0" w:val="single" w:color="#4F80BD"/>
              <w:bottom w:sz="8.0" w:val="single" w:color="#4F80B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517,513</w:t>
            </w:r>
          </w:p>
        </w:tc>
        <w:tc>
          <w:tcPr>
            <w:tcW w:type="dxa" w:w="1728"/>
            <w:tcBorders>
              <w:start w:sz="8.0" w:val="single" w:color="#4F80BD"/>
              <w:top w:sz="8.0" w:val="single" w:color="#4F80BD"/>
              <w:end w:sz="8.0" w:val="single" w:color="#4F80BD"/>
              <w:bottom w:sz="8.0" w:val="single" w:color="#4F80B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12.3%</w:t>
            </w:r>
          </w:p>
        </w:tc>
        <w:tc>
          <w:tcPr>
            <w:tcW w:type="dxa" w:w="1728"/>
            <w:tcBorders>
              <w:start w:sz="8.0" w:val="single" w:color="#4F80BD"/>
              <w:top w:sz="8.0" w:val="single" w:color="#4F80BD"/>
              <w:end w:sz="8.0" w:val="single" w:color="#4F80BD"/>
              <w:bottom w:sz="8.0" w:val="single" w:color="#4F80B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Sofia Dos Santos</w:t>
            </w:r>
          </w:p>
        </w:tc>
      </w:tr>
      <w:tr>
        <w:trPr>
          <w:trHeight w:hRule="exact" w:val="290"/>
        </w:trPr>
        <w:tc>
          <w:tcPr>
            <w:tcW w:type="dxa" w:w="1728"/>
            <w:tcBorders>
              <w:start w:sz="8.0" w:val="single" w:color="#4F80BD"/>
              <w:top w:sz="8.0" w:val="single" w:color="#4F80BD"/>
              <w:end w:sz="8.0" w:val="single" w:color="#4F80BD"/>
              <w:bottom w:sz="8.0" w:val="single" w:color="#4F80BD"/>
            </w:tcBorders>
            <w:shd w:fill="d3df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2"/>
              </w:rPr>
              <w:t>East</w:t>
            </w:r>
          </w:p>
        </w:tc>
        <w:tc>
          <w:tcPr>
            <w:tcW w:type="dxa" w:w="1728"/>
            <w:tcBorders>
              <w:start w:sz="8.0" w:val="single" w:color="#4F80BD"/>
              <w:top w:sz="8.0" w:val="single" w:color="#4F80BD"/>
              <w:end w:sz="8.0" w:val="single" w:color="#4F80BD"/>
              <w:bottom w:sz="8.0" w:val="single" w:color="#4F80BD"/>
            </w:tcBorders>
            <w:shd w:fill="d3df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749</w:t>
            </w:r>
          </w:p>
        </w:tc>
        <w:tc>
          <w:tcPr>
            <w:tcW w:type="dxa" w:w="1728"/>
            <w:tcBorders>
              <w:start w:sz="8.0" w:val="single" w:color="#4F80BD"/>
              <w:top w:sz="8.0" w:val="single" w:color="#4F80BD"/>
              <w:end w:sz="8.0" w:val="single" w:color="#4F80BD"/>
              <w:bottom w:sz="8.0" w:val="single" w:color="#4F80BD"/>
            </w:tcBorders>
            <w:shd w:fill="d3df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1,108,477</w:t>
            </w:r>
          </w:p>
        </w:tc>
        <w:tc>
          <w:tcPr>
            <w:tcW w:type="dxa" w:w="1728"/>
            <w:tcBorders>
              <w:start w:sz="8.0" w:val="single" w:color="#4F80BD"/>
              <w:top w:sz="8.0" w:val="single" w:color="#4F80BD"/>
              <w:end w:sz="8.0" w:val="single" w:color="#4F80BD"/>
              <w:bottom w:sz="8.0" w:val="single" w:color="#4F80BD"/>
            </w:tcBorders>
            <w:shd w:fill="d3df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4.5%</w:t>
            </w:r>
          </w:p>
        </w:tc>
        <w:tc>
          <w:tcPr>
            <w:tcW w:type="dxa" w:w="1728"/>
            <w:tcBorders>
              <w:start w:sz="8.0" w:val="single" w:color="#4F80BD"/>
              <w:top w:sz="8.0" w:val="single" w:color="#4F80BD"/>
              <w:end w:sz="8.0" w:val="single" w:color="#4F80BD"/>
              <w:bottom w:sz="8.0" w:val="single" w:color="#4F80BD"/>
            </w:tcBorders>
            <w:shd w:fill="d3df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Chloé Rossi</w:t>
            </w:r>
          </w:p>
        </w:tc>
      </w:tr>
      <w:tr>
        <w:trPr>
          <w:trHeight w:hRule="exact" w:val="288"/>
        </w:trPr>
        <w:tc>
          <w:tcPr>
            <w:tcW w:type="dxa" w:w="1728"/>
            <w:tcBorders>
              <w:start w:sz="8.0" w:val="single" w:color="#4F80BD"/>
              <w:top w:sz="8.0" w:val="single" w:color="#4F80BD"/>
              <w:end w:sz="8.0" w:val="single" w:color="#4F80BD"/>
              <w:bottom w:sz="8.0" w:val="single" w:color="#4F80B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2"/>
              </w:rPr>
              <w:t>West</w:t>
            </w:r>
          </w:p>
        </w:tc>
        <w:tc>
          <w:tcPr>
            <w:tcW w:type="dxa" w:w="1728"/>
            <w:tcBorders>
              <w:start w:sz="8.0" w:val="single" w:color="#4F80BD"/>
              <w:top w:sz="8.0" w:val="single" w:color="#4F80BD"/>
              <w:end w:sz="8.0" w:val="single" w:color="#4F80BD"/>
              <w:bottom w:sz="8.0" w:val="single" w:color="#4F80B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178</w:t>
            </w:r>
          </w:p>
        </w:tc>
        <w:tc>
          <w:tcPr>
            <w:tcW w:type="dxa" w:w="1728"/>
            <w:tcBorders>
              <w:start w:sz="8.0" w:val="single" w:color="#4F80BD"/>
              <w:top w:sz="8.0" w:val="single" w:color="#4F80BD"/>
              <w:end w:sz="8.0" w:val="single" w:color="#4F80BD"/>
              <w:bottom w:sz="8.0" w:val="single" w:color="#4F80B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1,692,988</w:t>
            </w:r>
          </w:p>
        </w:tc>
        <w:tc>
          <w:tcPr>
            <w:tcW w:type="dxa" w:w="1728"/>
            <w:tcBorders>
              <w:start w:sz="8.0" w:val="single" w:color="#4F80BD"/>
              <w:top w:sz="8.0" w:val="single" w:color="#4F80BD"/>
              <w:end w:sz="8.0" w:val="single" w:color="#4F80BD"/>
              <w:bottom w:sz="8.0" w:val="single" w:color="#4F80B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25.6%</w:t>
            </w:r>
          </w:p>
        </w:tc>
        <w:tc>
          <w:tcPr>
            <w:tcW w:type="dxa" w:w="1728"/>
            <w:tcBorders>
              <w:start w:sz="8.0" w:val="single" w:color="#4F80BD"/>
              <w:top w:sz="8.0" w:val="single" w:color="#4F80BD"/>
              <w:end w:sz="8.0" w:val="single" w:color="#4F80BD"/>
              <w:bottom w:sz="8.0" w:val="single" w:color="#4F80B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Hiro Dubois</w:t>
            </w:r>
          </w:p>
        </w:tc>
      </w:tr>
      <w:tr>
        <w:trPr>
          <w:trHeight w:hRule="exact" w:val="290"/>
        </w:trPr>
        <w:tc>
          <w:tcPr>
            <w:tcW w:type="dxa" w:w="1728"/>
            <w:tcBorders>
              <w:start w:sz="8.0" w:val="single" w:color="#4F80BD"/>
              <w:top w:sz="8.0" w:val="single" w:color="#4F80BD"/>
              <w:end w:sz="8.0" w:val="single" w:color="#4F80BD"/>
              <w:bottom w:sz="8.0" w:val="single" w:color="#4F80BD"/>
            </w:tcBorders>
            <w:shd w:fill="d3df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2"/>
              </w:rPr>
              <w:t>Islands</w:t>
            </w:r>
          </w:p>
        </w:tc>
        <w:tc>
          <w:tcPr>
            <w:tcW w:type="dxa" w:w="1728"/>
            <w:tcBorders>
              <w:start w:sz="8.0" w:val="single" w:color="#4F80BD"/>
              <w:top w:sz="8.0" w:val="single" w:color="#4F80BD"/>
              <w:end w:sz="8.0" w:val="single" w:color="#4F80BD"/>
              <w:bottom w:sz="8.0" w:val="single" w:color="#4F80BD"/>
            </w:tcBorders>
            <w:shd w:fill="d3df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559</w:t>
            </w:r>
          </w:p>
        </w:tc>
        <w:tc>
          <w:tcPr>
            <w:tcW w:type="dxa" w:w="1728"/>
            <w:tcBorders>
              <w:start w:sz="8.0" w:val="single" w:color="#4F80BD"/>
              <w:top w:sz="8.0" w:val="single" w:color="#4F80BD"/>
              <w:end w:sz="8.0" w:val="single" w:color="#4F80BD"/>
              <w:bottom w:sz="8.0" w:val="single" w:color="#4F80BD"/>
            </w:tcBorders>
            <w:shd w:fill="d3df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914,108</w:t>
            </w:r>
          </w:p>
        </w:tc>
        <w:tc>
          <w:tcPr>
            <w:tcW w:type="dxa" w:w="1728"/>
            <w:tcBorders>
              <w:start w:sz="8.0" w:val="single" w:color="#4F80BD"/>
              <w:top w:sz="8.0" w:val="single" w:color="#4F80BD"/>
              <w:end w:sz="8.0" w:val="single" w:color="#4F80BD"/>
              <w:bottom w:sz="8.0" w:val="single" w:color="#4F80BD"/>
            </w:tcBorders>
            <w:shd w:fill="d3df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8.8%</w:t>
            </w:r>
          </w:p>
        </w:tc>
        <w:tc>
          <w:tcPr>
            <w:tcW w:type="dxa" w:w="1728"/>
            <w:tcBorders>
              <w:start w:sz="8.0" w:val="single" w:color="#4F80BD"/>
              <w:top w:sz="8.0" w:val="single" w:color="#4F80BD"/>
              <w:end w:sz="8.0" w:val="single" w:color="#4F80BD"/>
              <w:bottom w:sz="8.0" w:val="single" w:color="#4F80BD"/>
            </w:tcBorders>
            <w:shd w:fill="d3df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Sofia Tanaka</w:t>
            </w:r>
          </w:p>
        </w:tc>
      </w:tr>
      <w:tr>
        <w:trPr>
          <w:trHeight w:hRule="exact" w:val="288"/>
        </w:trPr>
        <w:tc>
          <w:tcPr>
            <w:tcW w:type="dxa" w:w="1728"/>
            <w:tcBorders>
              <w:start w:sz="8.0" w:val="single" w:color="#4F80BD"/>
              <w:top w:sz="8.0" w:val="single" w:color="#4F80BD"/>
              <w:end w:sz="8.0" w:val="single" w:color="#4F80BD"/>
              <w:bottom w:sz="8.0" w:val="single" w:color="#4F80B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2"/>
              </w:rPr>
              <w:t>Export</w:t>
            </w:r>
          </w:p>
        </w:tc>
        <w:tc>
          <w:tcPr>
            <w:tcW w:type="dxa" w:w="1728"/>
            <w:tcBorders>
              <w:start w:sz="8.0" w:val="single" w:color="#4F80BD"/>
              <w:top w:sz="8.0" w:val="single" w:color="#4F80BD"/>
              <w:end w:sz="8.0" w:val="single" w:color="#4F80BD"/>
              <w:bottom w:sz="8.0" w:val="single" w:color="#4F80B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866</w:t>
            </w:r>
          </w:p>
        </w:tc>
        <w:tc>
          <w:tcPr>
            <w:tcW w:type="dxa" w:w="1728"/>
            <w:tcBorders>
              <w:start w:sz="8.0" w:val="single" w:color="#4F80BD"/>
              <w:top w:sz="8.0" w:val="single" w:color="#4F80BD"/>
              <w:end w:sz="8.0" w:val="single" w:color="#4F80BD"/>
              <w:bottom w:sz="8.0" w:val="single" w:color="#4F80B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462,503</w:t>
            </w:r>
          </w:p>
        </w:tc>
        <w:tc>
          <w:tcPr>
            <w:tcW w:type="dxa" w:w="1728"/>
            <w:tcBorders>
              <w:start w:sz="8.0" w:val="single" w:color="#4F80BD"/>
              <w:top w:sz="8.0" w:val="single" w:color="#4F80BD"/>
              <w:end w:sz="8.0" w:val="single" w:color="#4F80BD"/>
              <w:bottom w:sz="8.0" w:val="single" w:color="#4F80B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8.2%</w:t>
            </w:r>
          </w:p>
        </w:tc>
        <w:tc>
          <w:tcPr>
            <w:tcW w:type="dxa" w:w="1728"/>
            <w:tcBorders>
              <w:start w:sz="8.0" w:val="single" w:color="#4F80BD"/>
              <w:top w:sz="8.0" w:val="single" w:color="#4F80BD"/>
              <w:end w:sz="8.0" w:val="single" w:color="#4F80BD"/>
              <w:bottom w:sz="8.0" w:val="single" w:color="#4F80B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Noah García</w:t>
            </w:r>
          </w:p>
        </w:tc>
      </w:tr>
    </w:tbl>
    <w:p>
      <w:pPr>
        <w:autoSpaceDN w:val="0"/>
        <w:autoSpaceDE w:val="0"/>
        <w:widowControl/>
        <w:spacing w:line="268" w:lineRule="exact" w:before="2910" w:after="0"/>
        <w:ind w:left="0" w:right="0" w:firstLine="0"/>
        <w:jc w:val="center"/>
      </w:pPr>
      <w:r>
        <w:rPr>
          <w:rFonts w:ascii="Carlito" w:hAnsi="Carlito" w:eastAsia="Carlito"/>
          <w:b w:val="0"/>
          <w:i w:val="0"/>
          <w:color w:val="000000"/>
          <w:sz w:val="22"/>
        </w:rPr>
        <w:t>Page 1</w:t>
      </w:r>
    </w:p>
    <w:p>
      <w:pPr>
        <w:sectPr>
          <w:pgSz w:w="12240" w:h="15840"/>
          <w:pgMar w:top="360" w:right="144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68" w:lineRule="exact" w:before="0" w:after="0"/>
        <w:ind w:left="362" w:right="0" w:firstLine="0"/>
        <w:jc w:val="left"/>
      </w:pPr>
      <w:r>
        <w:rPr>
          <w:rFonts w:ascii="Carlito" w:hAnsi="Carlito" w:eastAsia="Carlito"/>
          <w:b w:val="0"/>
          <w:i w:val="0"/>
          <w:color w:val="000000"/>
          <w:sz w:val="22"/>
        </w:rPr>
        <w:t>Helios Energy Ltd. — Internal report</w:t>
      </w:r>
    </w:p>
    <w:p>
      <w:pPr>
        <w:autoSpaceDN w:val="0"/>
        <w:autoSpaceDE w:val="0"/>
        <w:widowControl/>
        <w:spacing w:line="240" w:lineRule="auto" w:before="452" w:after="0"/>
        <w:ind w:left="5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98770" cy="25196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2519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8" w:lineRule="exact" w:before="242" w:after="0"/>
        <w:ind w:left="0" w:right="0" w:firstLine="0"/>
        <w:jc w:val="center"/>
      </w:pPr>
      <w:r>
        <w:rPr>
          <w:rFonts w:ascii="Carlito" w:hAnsi="Carlito" w:eastAsia="Carlito"/>
          <w:b w:val="0"/>
          <w:i w:val="0"/>
          <w:color w:val="555555"/>
          <w:sz w:val="22"/>
        </w:rPr>
        <w:t>Figure 1 – Installed capacity per quarter</w:t>
      </w:r>
    </w:p>
    <w:p>
      <w:pPr>
        <w:autoSpaceDN w:val="0"/>
        <w:autoSpaceDE w:val="0"/>
        <w:widowControl/>
        <w:spacing w:line="268" w:lineRule="exact" w:before="8934" w:after="0"/>
        <w:ind w:left="0" w:right="0" w:firstLine="0"/>
        <w:jc w:val="center"/>
      </w:pPr>
      <w:r>
        <w:rPr>
          <w:rFonts w:ascii="Carlito" w:hAnsi="Carlito" w:eastAsia="Carlito"/>
          <w:b w:val="0"/>
          <w:i w:val="0"/>
          <w:color w:val="000000"/>
          <w:sz w:val="22"/>
        </w:rPr>
        <w:t>Page 2</w:t>
      </w:r>
    </w:p>
    <w:p>
      <w:pPr>
        <w:sectPr>
          <w:pgSz w:w="12240" w:h="15840"/>
          <w:pgMar w:top="360" w:right="144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68" w:lineRule="exact" w:before="0" w:after="0"/>
        <w:ind w:left="362" w:right="0" w:firstLine="0"/>
        <w:jc w:val="left"/>
      </w:pPr>
      <w:r>
        <w:rPr>
          <w:rFonts w:ascii="Carlito" w:hAnsi="Carlito" w:eastAsia="Carlito"/>
          <w:b w:val="0"/>
          <w:i w:val="0"/>
          <w:color w:val="000000"/>
          <w:sz w:val="22"/>
        </w:rPr>
        <w:t>Helios Energy Ltd. — Internal report</w:t>
      </w:r>
    </w:p>
    <w:p>
      <w:pPr>
        <w:autoSpaceDN w:val="0"/>
        <w:tabs>
          <w:tab w:pos="722" w:val="left"/>
        </w:tabs>
        <w:autoSpaceDE w:val="0"/>
        <w:widowControl/>
        <w:spacing w:line="320" w:lineRule="exact" w:before="474" w:after="0"/>
        <w:ind w:left="362" w:right="3888" w:firstLine="0"/>
        <w:jc w:val="left"/>
      </w:pPr>
      <w:r>
        <w:rPr>
          <w:rFonts w:ascii="Carlito" w:hAnsi="Carlito" w:eastAsia="Carlito"/>
          <w:b/>
          <w:i w:val="0"/>
          <w:color w:val="365F91"/>
          <w:sz w:val="28"/>
        </w:rPr>
        <w:t xml:space="preserve">3. Risks and next steps </w:t>
      </w:r>
      <w:r>
        <w:br/>
      </w: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1. </w:t>
      </w:r>
      <w:r>
        <w:tab/>
      </w:r>
      <w:r>
        <w:rPr>
          <w:rFonts w:ascii="Carlito" w:hAnsi="Carlito" w:eastAsia="Carlito"/>
          <w:b w:val="0"/>
          <w:i w:val="0"/>
          <w:color w:val="000000"/>
          <w:sz w:val="22"/>
        </w:rPr>
        <w:t>Region risk install pilot region project efficiency pilot.</w:t>
      </w:r>
    </w:p>
    <w:p>
      <w:pPr>
        <w:autoSpaceDN w:val="0"/>
        <w:tabs>
          <w:tab w:pos="722" w:val="left"/>
        </w:tabs>
        <w:autoSpaceDE w:val="0"/>
        <w:widowControl/>
        <w:spacing w:line="310" w:lineRule="exact" w:before="0" w:after="0"/>
        <w:ind w:left="362" w:right="1872" w:firstLine="0"/>
        <w:jc w:val="left"/>
      </w:pP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2. </w:t>
      </w:r>
      <w:r>
        <w:tab/>
      </w: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Contract budget quarterly customer contract forecast growth deployment. </w:t>
      </w: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3. </w:t>
      </w:r>
      <w:r>
        <w:tab/>
      </w:r>
      <w:r>
        <w:rPr>
          <w:rFonts w:ascii="Carlito" w:hAnsi="Carlito" w:eastAsia="Carlito"/>
          <w:b w:val="0"/>
          <w:i w:val="0"/>
          <w:color w:val="000000"/>
          <w:sz w:val="22"/>
        </w:rPr>
        <w:t>Budget region pilot budget market risk roadmap network.</w:t>
      </w:r>
    </w:p>
    <w:p>
      <w:pPr>
        <w:autoSpaceDN w:val="0"/>
        <w:tabs>
          <w:tab w:pos="722" w:val="left"/>
        </w:tabs>
        <w:autoSpaceDE w:val="0"/>
        <w:widowControl/>
        <w:spacing w:line="268" w:lineRule="exact" w:before="40" w:after="0"/>
        <w:ind w:left="362" w:right="0" w:firstLine="0"/>
        <w:jc w:val="left"/>
      </w:pP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4. </w:t>
      </w:r>
      <w:r>
        <w:tab/>
      </w:r>
      <w:r>
        <w:rPr>
          <w:rFonts w:ascii="Carlito" w:hAnsi="Carlito" w:eastAsia="Carlito"/>
          <w:b w:val="0"/>
          <w:i w:val="0"/>
          <w:color w:val="000000"/>
          <w:sz w:val="22"/>
        </w:rPr>
        <w:t>Supplier team storage growth pricing quarterly storage pricing.</w:t>
      </w:r>
    </w:p>
    <w:p>
      <w:pPr>
        <w:autoSpaceDN w:val="0"/>
        <w:tabs>
          <w:tab w:pos="722" w:val="left"/>
        </w:tabs>
        <w:autoSpaceDE w:val="0"/>
        <w:widowControl/>
        <w:spacing w:line="268" w:lineRule="exact" w:before="42" w:after="0"/>
        <w:ind w:left="362" w:right="0" w:firstLine="0"/>
        <w:jc w:val="left"/>
      </w:pP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5. </w:t>
      </w:r>
      <w:r>
        <w:tab/>
      </w:r>
      <w:r>
        <w:rPr>
          <w:rFonts w:ascii="Carlito" w:hAnsi="Carlito" w:eastAsia="Carlito"/>
          <w:b w:val="0"/>
          <w:i w:val="0"/>
          <w:color w:val="000000"/>
          <w:sz w:val="22"/>
        </w:rPr>
        <w:t>Supplier storage pilot pricing growth efficiency roadmap risk.</w:t>
      </w:r>
    </w:p>
    <w:p>
      <w:pPr>
        <w:autoSpaceDN w:val="0"/>
        <w:autoSpaceDE w:val="0"/>
        <w:widowControl/>
        <w:spacing w:line="310" w:lineRule="exact" w:before="248" w:after="0"/>
        <w:ind w:left="362" w:right="432" w:firstLine="0"/>
        <w:jc w:val="left"/>
      </w:pPr>
      <w:r>
        <w:rPr>
          <w:rFonts w:ascii="Carlito" w:hAnsi="Carlito" w:eastAsia="Carlito"/>
          <w:b/>
          <w:i w:val="0"/>
          <w:color w:val="4F81BD"/>
          <w:sz w:val="26"/>
        </w:rPr>
        <w:t xml:space="preserve">3.1 Detailed analysis </w:t>
      </w:r>
      <w:r>
        <w:br/>
      </w: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Customer pricing forecast growth forecast customer quarterly risk quarterly. Solar deployment </w:t>
      </w: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supplier deployment network team install quarterly revenue quarterly solar pilot efficiency </w:t>
      </w: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deployment install. Quarterly region forecast efficiency pilot project forecast forecast solar </w:t>
      </w: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project growth market energy network pilot pricing. Deployment supplier risk quarterly energy </w:t>
      </w: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revenue quarterly revenue supplier risk contract supplier growth project. Roadmap solar </w:t>
      </w: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supplier contract capacity growth contract install contract solar risk supplier customer project </w:t>
      </w:r>
      <w:r>
        <w:rPr>
          <w:rFonts w:ascii="Carlito" w:hAnsi="Carlito" w:eastAsia="Carlito"/>
          <w:b w:val="0"/>
          <w:i w:val="0"/>
          <w:color w:val="000000"/>
          <w:sz w:val="22"/>
        </w:rPr>
        <w:t>solar project deployment quarterly.</w:t>
      </w:r>
    </w:p>
    <w:p>
      <w:pPr>
        <w:autoSpaceDN w:val="0"/>
        <w:autoSpaceDE w:val="0"/>
        <w:widowControl/>
        <w:spacing w:line="310" w:lineRule="exact" w:before="200" w:after="0"/>
        <w:ind w:left="362" w:right="288" w:firstLine="0"/>
        <w:jc w:val="left"/>
      </w:pP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Risk storage revenue capacity quarterly pricing pricing project forecast region. Contract network </w:t>
      </w: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install region quarterly solar solar network energy deployment solar deployment energy. Project </w:t>
      </w: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market energy install project project risk supplier contract. Region pilot budget pricing pricing </w:t>
      </w: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roadmap budget storage team region budget growth budget pilot. Risk project risk revenue </w:t>
      </w:r>
      <w:r>
        <w:rPr>
          <w:rFonts w:ascii="Carlito" w:hAnsi="Carlito" w:eastAsia="Carlito"/>
          <w:b w:val="0"/>
          <w:i w:val="0"/>
          <w:color w:val="000000"/>
          <w:sz w:val="22"/>
        </w:rPr>
        <w:t>forecast risk solar team install revenue storage capacity roadmap deployment energy.</w:t>
      </w:r>
    </w:p>
    <w:p>
      <w:pPr>
        <w:autoSpaceDN w:val="0"/>
        <w:autoSpaceDE w:val="0"/>
        <w:widowControl/>
        <w:spacing w:line="310" w:lineRule="exact" w:before="198" w:after="0"/>
        <w:ind w:left="362" w:right="288" w:firstLine="0"/>
        <w:jc w:val="left"/>
      </w:pP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Roadmap region install capacity project install deployment region contract energy supplier </w:t>
      </w: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region growth. Storage capacity project quarterly budget project project storage customer </w:t>
      </w: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forecast revenue budget pricing pricing install energy deployment. Customer revenue </w:t>
      </w:r>
      <w:r>
        <w:br/>
      </w: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deployment team team market deployment risk market customer quarterly supplier energy risk </w:t>
      </w: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roadmap supplier risk supplier. Solar customer market energy energy solar supplier efficiency </w:t>
      </w: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deployment solar region customer pricing contract network. Supplier storage pricing forecast </w:t>
      </w:r>
      <w:r>
        <w:rPr>
          <w:rFonts w:ascii="Carlito" w:hAnsi="Carlito" w:eastAsia="Carlito"/>
          <w:b w:val="0"/>
          <w:i w:val="0"/>
          <w:color w:val="000000"/>
          <w:sz w:val="22"/>
        </w:rPr>
        <w:t>solar region pricing forecast capacity region storage.</w:t>
      </w:r>
    </w:p>
    <w:p>
      <w:pPr>
        <w:autoSpaceDN w:val="0"/>
        <w:autoSpaceDE w:val="0"/>
        <w:widowControl/>
        <w:spacing w:line="308" w:lineRule="exact" w:before="202" w:after="0"/>
        <w:ind w:left="362" w:right="432" w:firstLine="0"/>
        <w:jc w:val="left"/>
      </w:pP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Pricing market efficiency storage market risk forecast customer capacity. Roadmap revenue </w:t>
      </w: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market supplier solar region growth revenue revenue pilot pricing pilot supplier efficiency risk. </w:t>
      </w:r>
    </w:p>
    <w:p>
      <w:pPr>
        <w:autoSpaceDN w:val="0"/>
        <w:autoSpaceDE w:val="0"/>
        <w:widowControl/>
        <w:spacing w:line="308" w:lineRule="exact" w:before="2" w:after="0"/>
        <w:ind w:left="362" w:right="288" w:firstLine="0"/>
        <w:jc w:val="left"/>
      </w:pP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Install growth quarterly pricing deployment customer efficiency energy revenue forecast </w:t>
      </w: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roadmap deployment storage pricing quarterly network install revenue. Capacity solar customer </w:t>
      </w: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roadmap capacity project energy supplier growth roadmap contract install contract storage </w:t>
      </w: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team team supplier. Pricing risk quarterly forecast project network customer capacity team </w:t>
      </w:r>
      <w:r>
        <w:rPr>
          <w:rFonts w:ascii="Carlito" w:hAnsi="Carlito" w:eastAsia="Carlito"/>
          <w:b w:val="0"/>
          <w:i w:val="0"/>
          <w:color w:val="000000"/>
          <w:sz w:val="22"/>
        </w:rPr>
        <w:t>region supplier solar install storage capacity contract risk.</w:t>
      </w:r>
    </w:p>
    <w:p>
      <w:pPr>
        <w:autoSpaceDN w:val="0"/>
        <w:autoSpaceDE w:val="0"/>
        <w:widowControl/>
        <w:spacing w:line="310" w:lineRule="exact" w:before="198" w:after="0"/>
        <w:ind w:left="362" w:right="432" w:firstLine="0"/>
        <w:jc w:val="left"/>
      </w:pP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Quarterly install install supplier install revenue customer team growth capacity pricing energy. </w:t>
      </w: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Pricing efficiency deployment revenue supplier quarterly capacity forecast energy quarterly </w:t>
      </w: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region supplier customer quarterly energy project forecast risk. Revenue network revenue </w:t>
      </w: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install growth supplier customer budget budget. Customer project region efficiency project </w:t>
      </w:r>
    </w:p>
    <w:p>
      <w:pPr>
        <w:autoSpaceDN w:val="0"/>
        <w:autoSpaceDE w:val="0"/>
        <w:widowControl/>
        <w:spacing w:line="268" w:lineRule="exact" w:before="880" w:after="0"/>
        <w:ind w:left="0" w:right="0" w:firstLine="0"/>
        <w:jc w:val="center"/>
      </w:pPr>
      <w:r>
        <w:rPr>
          <w:rFonts w:ascii="Carlito" w:hAnsi="Carlito" w:eastAsia="Carlito"/>
          <w:b w:val="0"/>
          <w:i w:val="0"/>
          <w:color w:val="000000"/>
          <w:sz w:val="22"/>
        </w:rPr>
        <w:t>Page 3</w:t>
      </w:r>
    </w:p>
    <w:p>
      <w:pPr>
        <w:sectPr>
          <w:pgSz w:w="12240" w:h="15840"/>
          <w:pgMar w:top="360" w:right="144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68" w:lineRule="exact" w:before="0" w:after="0"/>
        <w:ind w:left="362" w:right="0" w:firstLine="0"/>
        <w:jc w:val="left"/>
      </w:pPr>
      <w:r>
        <w:rPr>
          <w:rFonts w:ascii="Carlito" w:hAnsi="Carlito" w:eastAsia="Carlito"/>
          <w:b w:val="0"/>
          <w:i w:val="0"/>
          <w:color w:val="000000"/>
          <w:sz w:val="22"/>
        </w:rPr>
        <w:t>Helios Energy Ltd. — Internal report</w:t>
      </w:r>
    </w:p>
    <w:p>
      <w:pPr>
        <w:autoSpaceDN w:val="0"/>
        <w:autoSpaceDE w:val="0"/>
        <w:widowControl/>
        <w:spacing w:line="310" w:lineRule="exact" w:before="410" w:after="0"/>
        <w:ind w:left="362" w:right="288" w:firstLine="0"/>
        <w:jc w:val="left"/>
      </w:pP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capacity network team solar budget install pricing. Revenue efficiency efficiency project supplier </w:t>
      </w:r>
      <w:r>
        <w:rPr>
          <w:rFonts w:ascii="Carlito" w:hAnsi="Carlito" w:eastAsia="Carlito"/>
          <w:b w:val="0"/>
          <w:i w:val="0"/>
          <w:color w:val="000000"/>
          <w:sz w:val="22"/>
        </w:rPr>
        <w:t>forecast market revenue risk pilot.</w:t>
      </w:r>
    </w:p>
    <w:p>
      <w:pPr>
        <w:autoSpaceDN w:val="0"/>
        <w:autoSpaceDE w:val="0"/>
        <w:widowControl/>
        <w:spacing w:line="310" w:lineRule="exact" w:before="198" w:after="0"/>
        <w:ind w:left="1212" w:right="1008" w:firstLine="0"/>
        <w:jc w:val="left"/>
      </w:pPr>
      <w:r>
        <w:rPr>
          <w:rFonts w:ascii="Carlito" w:hAnsi="Carlito" w:eastAsia="Carlito"/>
          <w:b w:val="0"/>
          <w:i/>
          <w:color w:val="000000"/>
          <w:sz w:val="22"/>
        </w:rPr>
        <w:t xml:space="preserve">“Contract revenue network network network efficiency install solar risk market </w:t>
      </w:r>
      <w:r>
        <w:rPr>
          <w:rFonts w:ascii="Carlito" w:hAnsi="Carlito" w:eastAsia="Carlito"/>
          <w:b w:val="0"/>
          <w:i/>
          <w:color w:val="000000"/>
          <w:sz w:val="22"/>
        </w:rPr>
        <w:t>quarterly region deployment forecast supplier region.” — Ethan Kowalski</w:t>
      </w:r>
    </w:p>
    <w:p>
      <w:pPr>
        <w:autoSpaceDN w:val="0"/>
        <w:autoSpaceDE w:val="0"/>
        <w:widowControl/>
        <w:spacing w:line="268" w:lineRule="exact" w:before="12016" w:after="0"/>
        <w:ind w:left="0" w:right="0" w:firstLine="0"/>
        <w:jc w:val="center"/>
      </w:pPr>
      <w:r>
        <w:rPr>
          <w:rFonts w:ascii="Carlito" w:hAnsi="Carlito" w:eastAsia="Carlito"/>
          <w:b w:val="0"/>
          <w:i w:val="0"/>
          <w:color w:val="000000"/>
          <w:sz w:val="22"/>
        </w:rPr>
        <w:t>Page 4</w:t>
      </w:r>
    </w:p>
    <w:sectPr w:rsidR="00FC693F" w:rsidRPr="0006063C" w:rsidSect="00034616">
      <w:pgSz w:w="12240" w:h="15840"/>
      <w:pgMar w:top="360" w:right="1440" w:bottom="36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