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Quarterly Operations Report</w:t>
      </w:r>
    </w:p>
    <w:p>
      <w:r>
        <w:rPr>
          <w:i/>
        </w:rPr>
        <w:t>Prepared by Noah Schmidt · Reviewed by Lena Tanaka</w:t>
      </w:r>
    </w:p>
    <w:p>
      <w:pPr>
        <w:pStyle w:val="Heading1"/>
      </w:pPr>
      <w:r>
        <w:t>1. Executive summary</w:t>
      </w:r>
    </w:p>
    <w:p>
      <w:r>
        <w:t>Market budget budget supplier deployment contract supplier capacity efficiency contract. Market energy budget network project install project pilot energy risk efficiency risk region growth team solar. Revenue team capacity forecast pricing network capacity region network supplier supplier install install pilot. Pricing roadmap roadmap contract install energy roadmap revenue revenue pilot deployment. Team contract supplier efficiency project deployment forecast budget efficiency team. Solar deployment contract efficiency forecast forecast energy contract market customer storage roadmap forecast risk project roadmap budget.</w:t>
      </w:r>
    </w:p>
    <w:p>
      <w:pPr>
        <w:pStyle w:val="ListBullet"/>
      </w:pPr>
      <w:r>
        <w:t>Deployment efficiency customer efficiency market project pricing roadmap pilot risk.</w:t>
      </w:r>
    </w:p>
    <w:p>
      <w:pPr>
        <w:pStyle w:val="ListBullet"/>
      </w:pPr>
      <w:r>
        <w:t>Efficiency roadmap supplier solar supplier team risk install supplier pricing.</w:t>
      </w:r>
    </w:p>
    <w:p>
      <w:pPr>
        <w:pStyle w:val="ListBullet"/>
      </w:pPr>
      <w:r>
        <w:t>Forecast roadmap efficiency team deployment growth install solar energy storage.</w:t>
      </w:r>
    </w:p>
    <w:p>
      <w:pPr>
        <w:pStyle w:val="ListBullet"/>
      </w:pPr>
      <w:r>
        <w:t>Customer pricing budget pilot forecast efficiency revenue growth solar roadmap.</w:t>
      </w:r>
    </w:p>
    <w:p>
      <w:pPr>
        <w:pStyle w:val="Heading1"/>
      </w:pPr>
      <w:r>
        <w:t>2. Results by region</w:t>
      </w:r>
    </w:p>
    <w:p>
      <w:r>
        <w:t>Pilot forecast efficiency deployment supplier risk storage install region pilot project pilot roadmap roadmap forecast solar. Quarterly deployment capacity efficiency network pricing solar efficiency revenue project growth capacity deployment customer pilot energy. Energy pilot contract supplier network budget growth market project budget. Supplier solar risk pricing revenue customer energy region risk.</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Region</w:t>
            </w:r>
          </w:p>
        </w:tc>
        <w:tc>
          <w:tcPr>
            <w:tcW w:type="dxa" w:w="1728"/>
          </w:tcPr>
          <w:p>
            <w:r>
              <w:t>Installs</w:t>
            </w:r>
          </w:p>
        </w:tc>
        <w:tc>
          <w:tcPr>
            <w:tcW w:type="dxa" w:w="1728"/>
          </w:tcPr>
          <w:p>
            <w:r>
              <w:t>Revenue (€)</w:t>
            </w:r>
          </w:p>
        </w:tc>
        <w:tc>
          <w:tcPr>
            <w:tcW w:type="dxa" w:w="1728"/>
          </w:tcPr>
          <w:p>
            <w:r>
              <w:t>Growth</w:t>
            </w:r>
          </w:p>
        </w:tc>
        <w:tc>
          <w:tcPr>
            <w:tcW w:type="dxa" w:w="1728"/>
          </w:tcPr>
          <w:p>
            <w:r>
              <w:t>Owner</w:t>
            </w:r>
          </w:p>
        </w:tc>
      </w:tr>
      <w:tr>
        <w:tc>
          <w:tcPr>
            <w:tcW w:type="dxa" w:w="1728"/>
          </w:tcPr>
          <w:p>
            <w:r>
              <w:t>North</w:t>
            </w:r>
          </w:p>
        </w:tc>
        <w:tc>
          <w:tcPr>
            <w:tcW w:type="dxa" w:w="1728"/>
          </w:tcPr>
          <w:p>
            <w:r>
              <w:t>637</w:t>
            </w:r>
          </w:p>
        </w:tc>
        <w:tc>
          <w:tcPr>
            <w:tcW w:type="dxa" w:w="1728"/>
          </w:tcPr>
          <w:p>
            <w:r>
              <w:t>1,254,359</w:t>
            </w:r>
          </w:p>
        </w:tc>
        <w:tc>
          <w:tcPr>
            <w:tcW w:type="dxa" w:w="1728"/>
          </w:tcPr>
          <w:p>
            <w:r>
              <w:t>25.1%</w:t>
            </w:r>
          </w:p>
        </w:tc>
        <w:tc>
          <w:tcPr>
            <w:tcW w:type="dxa" w:w="1728"/>
          </w:tcPr>
          <w:p>
            <w:r>
              <w:t>Omar Rossi</w:t>
            </w:r>
          </w:p>
        </w:tc>
      </w:tr>
      <w:tr>
        <w:tc>
          <w:tcPr>
            <w:tcW w:type="dxa" w:w="1728"/>
          </w:tcPr>
          <w:p>
            <w:r>
              <w:t>South</w:t>
            </w:r>
          </w:p>
        </w:tc>
        <w:tc>
          <w:tcPr>
            <w:tcW w:type="dxa" w:w="1728"/>
          </w:tcPr>
          <w:p>
            <w:r>
              <w:t>598</w:t>
            </w:r>
          </w:p>
        </w:tc>
        <w:tc>
          <w:tcPr>
            <w:tcW w:type="dxa" w:w="1728"/>
          </w:tcPr>
          <w:p>
            <w:r>
              <w:t>517,513</w:t>
            </w:r>
          </w:p>
        </w:tc>
        <w:tc>
          <w:tcPr>
            <w:tcW w:type="dxa" w:w="1728"/>
          </w:tcPr>
          <w:p>
            <w:r>
              <w:t>12.3%</w:t>
            </w:r>
          </w:p>
        </w:tc>
        <w:tc>
          <w:tcPr>
            <w:tcW w:type="dxa" w:w="1728"/>
          </w:tcPr>
          <w:p>
            <w:r>
              <w:t>Sofia Dos Santos</w:t>
            </w:r>
          </w:p>
        </w:tc>
      </w:tr>
      <w:tr>
        <w:tc>
          <w:tcPr>
            <w:tcW w:type="dxa" w:w="1728"/>
          </w:tcPr>
          <w:p>
            <w:r>
              <w:t>East</w:t>
            </w:r>
          </w:p>
        </w:tc>
        <w:tc>
          <w:tcPr>
            <w:tcW w:type="dxa" w:w="1728"/>
          </w:tcPr>
          <w:p>
            <w:r>
              <w:t>749</w:t>
            </w:r>
          </w:p>
        </w:tc>
        <w:tc>
          <w:tcPr>
            <w:tcW w:type="dxa" w:w="1728"/>
          </w:tcPr>
          <w:p>
            <w:r>
              <w:t>1,108,477</w:t>
            </w:r>
          </w:p>
        </w:tc>
        <w:tc>
          <w:tcPr>
            <w:tcW w:type="dxa" w:w="1728"/>
          </w:tcPr>
          <w:p>
            <w:r>
              <w:t>4.5%</w:t>
            </w:r>
          </w:p>
        </w:tc>
        <w:tc>
          <w:tcPr>
            <w:tcW w:type="dxa" w:w="1728"/>
          </w:tcPr>
          <w:p>
            <w:r>
              <w:t>Chloé Rossi</w:t>
            </w:r>
          </w:p>
        </w:tc>
      </w:tr>
      <w:tr>
        <w:tc>
          <w:tcPr>
            <w:tcW w:type="dxa" w:w="1728"/>
          </w:tcPr>
          <w:p>
            <w:r>
              <w:t>West</w:t>
            </w:r>
          </w:p>
        </w:tc>
        <w:tc>
          <w:tcPr>
            <w:tcW w:type="dxa" w:w="1728"/>
          </w:tcPr>
          <w:p>
            <w:r>
              <w:t>178</w:t>
            </w:r>
          </w:p>
        </w:tc>
        <w:tc>
          <w:tcPr>
            <w:tcW w:type="dxa" w:w="1728"/>
          </w:tcPr>
          <w:p>
            <w:r>
              <w:t>1,692,988</w:t>
            </w:r>
          </w:p>
        </w:tc>
        <w:tc>
          <w:tcPr>
            <w:tcW w:type="dxa" w:w="1728"/>
          </w:tcPr>
          <w:p>
            <w:r>
              <w:t>25.6%</w:t>
            </w:r>
          </w:p>
        </w:tc>
        <w:tc>
          <w:tcPr>
            <w:tcW w:type="dxa" w:w="1728"/>
          </w:tcPr>
          <w:p>
            <w:r>
              <w:t>Hiro Dubois</w:t>
            </w:r>
          </w:p>
        </w:tc>
      </w:tr>
      <w:tr>
        <w:tc>
          <w:tcPr>
            <w:tcW w:type="dxa" w:w="1728"/>
          </w:tcPr>
          <w:p>
            <w:r>
              <w:t>Islands</w:t>
            </w:r>
          </w:p>
        </w:tc>
        <w:tc>
          <w:tcPr>
            <w:tcW w:type="dxa" w:w="1728"/>
          </w:tcPr>
          <w:p>
            <w:r>
              <w:t>559</w:t>
            </w:r>
          </w:p>
        </w:tc>
        <w:tc>
          <w:tcPr>
            <w:tcW w:type="dxa" w:w="1728"/>
          </w:tcPr>
          <w:p>
            <w:r>
              <w:t>914,108</w:t>
            </w:r>
          </w:p>
        </w:tc>
        <w:tc>
          <w:tcPr>
            <w:tcW w:type="dxa" w:w="1728"/>
          </w:tcPr>
          <w:p>
            <w:r>
              <w:t>8.8%</w:t>
            </w:r>
          </w:p>
        </w:tc>
        <w:tc>
          <w:tcPr>
            <w:tcW w:type="dxa" w:w="1728"/>
          </w:tcPr>
          <w:p>
            <w:r>
              <w:t>Sofia Tanaka</w:t>
            </w:r>
          </w:p>
        </w:tc>
      </w:tr>
      <w:tr>
        <w:tc>
          <w:tcPr>
            <w:tcW w:type="dxa" w:w="1728"/>
          </w:tcPr>
          <w:p>
            <w:r>
              <w:t>Export</w:t>
            </w:r>
          </w:p>
        </w:tc>
        <w:tc>
          <w:tcPr>
            <w:tcW w:type="dxa" w:w="1728"/>
          </w:tcPr>
          <w:p>
            <w:r>
              <w:t>866</w:t>
            </w:r>
          </w:p>
        </w:tc>
        <w:tc>
          <w:tcPr>
            <w:tcW w:type="dxa" w:w="1728"/>
          </w:tcPr>
          <w:p>
            <w:r>
              <w:t>462,503</w:t>
            </w:r>
          </w:p>
        </w:tc>
        <w:tc>
          <w:tcPr>
            <w:tcW w:type="dxa" w:w="1728"/>
          </w:tcPr>
          <w:p>
            <w:r>
              <w:t>8.2%</w:t>
            </w:r>
          </w:p>
        </w:tc>
        <w:tc>
          <w:tcPr>
            <w:tcW w:type="dxa" w:w="1728"/>
          </w:tcPr>
          <w:p>
            <w:r>
              <w:t>Noah García</w:t>
            </w:r>
          </w:p>
        </w:tc>
      </w:tr>
    </w:tbl>
    <w:p/>
    <w:p>
      <w:r>
        <w:drawing>
          <wp:inline xmlns:a="http://schemas.openxmlformats.org/drawingml/2006/main" xmlns:pic="http://schemas.openxmlformats.org/drawingml/2006/picture">
            <wp:extent cx="5400000" cy="2520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00000" cy="2520000"/>
                    </a:xfrm>
                    <a:prstGeom prst="rect"/>
                  </pic:spPr>
                </pic:pic>
              </a:graphicData>
            </a:graphic>
          </wp:inline>
        </w:drawing>
      </w:r>
    </w:p>
    <w:p>
      <w:pPr>
        <w:jc w:val="center"/>
      </w:pPr>
      <w:r>
        <w:rPr>
          <w:color w:val="555555"/>
        </w:rPr>
        <w:t>Figure 1 – Installed capacity per quarter</w:t>
      </w:r>
    </w:p>
    <w:p>
      <w:r>
        <w:br w:type="page"/>
      </w:r>
    </w:p>
    <w:p>
      <w:pPr>
        <w:pStyle w:val="Heading1"/>
      </w:pPr>
      <w:r>
        <w:t>3. Risks and next steps</w:t>
      </w:r>
    </w:p>
    <w:p>
      <w:pPr>
        <w:pStyle w:val="ListNumber"/>
      </w:pPr>
      <w:r>
        <w:t>Region risk install pilot region project efficiency pilot.</w:t>
      </w:r>
    </w:p>
    <w:p>
      <w:pPr>
        <w:pStyle w:val="ListNumber"/>
      </w:pPr>
      <w:r>
        <w:t>Contract budget quarterly customer contract forecast growth deployment.</w:t>
      </w:r>
    </w:p>
    <w:p>
      <w:pPr>
        <w:pStyle w:val="ListNumber"/>
      </w:pPr>
      <w:r>
        <w:t>Budget region pilot budget market risk roadmap network.</w:t>
      </w:r>
    </w:p>
    <w:p>
      <w:pPr>
        <w:pStyle w:val="ListNumber"/>
      </w:pPr>
      <w:r>
        <w:t>Supplier team storage growth pricing quarterly storage pricing.</w:t>
      </w:r>
    </w:p>
    <w:p>
      <w:pPr>
        <w:pStyle w:val="ListNumber"/>
      </w:pPr>
      <w:r>
        <w:t>Supplier storage pilot pricing growth efficiency roadmap risk.</w:t>
      </w:r>
    </w:p>
    <w:p>
      <w:pPr>
        <w:pStyle w:val="Heading2"/>
      </w:pPr>
      <w:r>
        <w:t>3.1 Detailed analysis</w:t>
      </w:r>
    </w:p>
    <w:p>
      <w:r>
        <w:t>Customer pricing forecast growth forecast customer quarterly risk quarterly. Solar deployment supplier deployment network team install quarterly revenue quarterly solar pilot efficiency deployment install. Quarterly region forecast efficiency pilot project forecast forecast solar project growth market energy network pilot pricing. Deployment supplier risk quarterly energy revenue quarterly revenue supplier risk contract supplier growth project. Roadmap solar supplier contract capacity growth contract install contract solar risk supplier customer project solar project deployment quarterly.</w:t>
      </w:r>
    </w:p>
    <w:p>
      <w:r>
        <w:t>Risk storage revenue capacity quarterly pricing pricing project forecast region. Contract network install region quarterly solar solar network energy deployment solar deployment energy. Project market energy install project project risk supplier contract. Region pilot budget pricing pricing roadmap budget storage team region budget growth budget pilot. Risk project risk revenue forecast risk solar team install revenue storage capacity roadmap deployment energy.</w:t>
      </w:r>
    </w:p>
    <w:p>
      <w:r>
        <w:t>Roadmap region install capacity project install deployment region contract energy supplier region growth. Storage capacity project quarterly budget project project storage customer forecast revenue budget pricing pricing install energy deployment. Customer revenue deployment team team market deployment risk market customer quarterly supplier energy risk roadmap supplier risk supplier. Solar customer market energy energy solar supplier efficiency deployment solar region customer pricing contract network. Supplier storage pricing forecast solar region pricing forecast capacity region storage.</w:t>
      </w:r>
    </w:p>
    <w:p>
      <w:r>
        <w:t>Pricing market efficiency storage market risk forecast customer capacity. Roadmap revenue market supplier solar region growth revenue revenue pilot pricing pilot supplier efficiency risk. Install growth quarterly pricing deployment customer efficiency energy revenue forecast roadmap deployment storage pricing quarterly network install revenue. Capacity solar customer roadmap capacity project energy supplier growth roadmap contract install contract storage team team supplier. Pricing risk quarterly forecast project network customer capacity team region supplier solar install storage capacity contract risk.</w:t>
      </w:r>
    </w:p>
    <w:p>
      <w:r>
        <w:t>Quarterly install install supplier install revenue customer team growth capacity pricing energy. Pricing efficiency deployment revenue supplier quarterly capacity forecast energy quarterly region supplier customer quarterly energy project forecast risk. Revenue network revenue install growth supplier customer budget budget. Customer project region efficiency project capacity network team solar budget install pricing. Revenue efficiency efficiency project supplier forecast market revenue risk pilot.</w:t>
      </w:r>
    </w:p>
    <w:p>
      <w:pPr>
        <w:ind w:left="850"/>
      </w:pPr>
      <w:r>
        <w:rPr>
          <w:i/>
        </w:rPr>
        <w:t>“Contract revenue network network network efficiency install solar risk market quarterly region deployment forecast supplier region.” — Ethan Kowalski</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Helios Energy Ltd. — Internal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rlito" w:hAnsi="Carlito"/>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